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spacing w:after="100"/>
        <w:rPr/>
      </w:pPr>
      <w:r>
        <w:t>Empowering Single Mothers in Myanzi</w:t>
      </w:r>
    </w:p>
    <w:p>
      <w:pPr>
        <w:pStyle w:val="style0"/>
        <w:spacing w:after="300"/>
        <w:rPr/>
      </w:pPr>
      <w:r>
        <w:rPr>
          <w:i/>
          <w:iCs/>
        </w:rPr>
        <w:t>Bell Foundation for the Less Privileged (BFTLP) — Myanzi, Kassanda District, Uganda</w:t>
      </w:r>
    </w:p>
    <w:p>
      <w:pPr>
        <w:pStyle w:val="style4098"/>
        <w:spacing w:before="300" w:after="150"/>
        <w:rPr/>
      </w:pPr>
      <w:r>
        <w:t>Summary</w:t>
      </w:r>
    </w:p>
    <w:p>
      <w:pPr>
        <w:pStyle w:val="style0"/>
        <w:spacing w:after="200"/>
        <w:rPr/>
      </w:pPr>
      <w:r>
        <w:t>Bell Foundation for the Less Privileged (BFTLP) supports single mothers in Myanzi, Kassanda District, Uganda, through vocational skills training and startup capital to help them build sustainable livelihoods and provide for their children. Having supported an initial group of 10 women toward self-employment, BFTLP now seeks to deepen this support with savings groups and business mentorship, while extending the program to 10–20 additional single mothers who could not previously be supported due to limited funding.</w:t>
      </w:r>
    </w:p>
    <w:p>
      <w:pPr>
        <w:pStyle w:val="style4098"/>
        <w:spacing w:before="300" w:after="150"/>
        <w:rPr/>
      </w:pPr>
      <w:r>
        <w:t>The Need</w:t>
      </w:r>
    </w:p>
    <w:p>
      <w:pPr>
        <w:pStyle w:val="style0"/>
        <w:spacing w:after="200"/>
        <w:rPr/>
      </w:pPr>
      <w:r>
        <w:t>Single mothers in Myanzi face significant barriers to economic independence, including limited access to startup capital, vocational skills, and stable housing, making it difficult to consistently provide for their children. Demand for BFTLP's program already exceeds its current capacity: the foundation has identified 10–20 additional single mothers in the community who require the same support but could not be enrolled due to funding constraints. Without continued support, women who have started small businesses can also struggle to sustain or grow them, due to limited financial literacy and lack of ongoing mentorship.</w:t>
      </w:r>
    </w:p>
    <w:p>
      <w:pPr>
        <w:pStyle w:val="style0"/>
        <w:spacing w:after="200"/>
        <w:rPr/>
      </w:pPr>
    </w:p>
    <w:p>
      <w:pPr>
        <w:pStyle w:val="style4098"/>
        <w:spacing w:before="300" w:after="150"/>
        <w:rPr/>
      </w:pPr>
      <w:r>
        <w:t>Track Record</w:t>
      </w:r>
    </w:p>
    <w:p>
      <w:pPr>
        <w:pStyle w:val="style0"/>
        <w:spacing w:after="200"/>
        <w:rPr/>
      </w:pPr>
      <w:r>
        <w:t>BFTLP currently supports 10 single mothers through this program, providing vocational skills training, startup capital of 1,500,000 UGX per participant, and rent support (250,000 UGX per month, duration varies by participant) for those who need it. Training includes practical trades such as tailoring, soap making, liquid soap production, and book making, delivered using equipment including donated sewing machines at a vocational school. The large majority of participants have successfully launched their own small businesses. Two participants are still working toward stability and require additional targeted support.</w:t>
      </w:r>
    </w:p>
    <w:p>
      <w:pPr>
        <w:pStyle w:val="style0"/>
        <w:spacing w:before="150" w:after="100"/>
        <w:rPr/>
      </w:pPr>
      <w:r>
        <w:rPr/>
        <w:drawing>
          <wp:inline distL="0" distT="0" distB="0" distR="0">
            <wp:extent cx="3048000" cy="4067174"/>
            <wp:effectExtent l="0" t="0" r="0" b="0"/>
            <wp:docPr id="1026"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srcRect l="0" t="0" r="0" b="0"/>
                    <a:stretch/>
                  </pic:blipFill>
                  <pic:spPr>
                    <a:xfrm rot="0">
                      <a:off x="0" y="0"/>
                      <a:ext cx="3048000" cy="4067174"/>
                    </a:xfrm>
                    <a:prstGeom prst="rect"/>
                  </pic:spPr>
                </pic:pic>
              </a:graphicData>
            </a:graphic>
          </wp:inline>
        </w:drawing>
      </w:r>
    </w:p>
    <w:p>
      <w:pPr>
        <w:pStyle w:val="style0"/>
        <w:spacing w:after="250"/>
        <w:rPr/>
      </w:pPr>
      <w:r>
        <w:rPr>
          <w:i/>
          <w:iCs/>
          <w:sz w:val="18"/>
          <w:szCs w:val="18"/>
        </w:rPr>
        <w:t>Single mothers receiving practical tailoring training</w:t>
      </w:r>
    </w:p>
    <w:p>
      <w:pPr>
        <w:pStyle w:val="style4098"/>
        <w:spacing w:before="300" w:after="150"/>
        <w:rPr/>
      </w:pPr>
      <w:r>
        <w:t>Activities (Next Phase)</w:t>
      </w:r>
    </w:p>
    <w:p>
      <w:pPr>
        <w:pStyle w:val="style179"/>
        <w:numPr>
          <w:ilvl w:val="0"/>
          <w:numId w:val="1"/>
        </w:numPr>
        <w:spacing w:after="100"/>
        <w:rPr/>
      </w:pPr>
      <w:r>
        <w:t>Identify and enroll 10–20 additional single mothers in Myanzi</w:t>
      </w:r>
    </w:p>
    <w:p>
      <w:pPr>
        <w:pStyle w:val="style179"/>
        <w:numPr>
          <w:ilvl w:val="0"/>
          <w:numId w:val="1"/>
        </w:numPr>
        <w:spacing w:after="100"/>
        <w:rPr/>
      </w:pPr>
      <w:r>
        <w:t>Vocational skills training in trades including tailoring, soap making, liquid soap production, and book making</w:t>
      </w:r>
    </w:p>
    <w:p>
      <w:pPr>
        <w:pStyle w:val="style179"/>
        <w:numPr>
          <w:ilvl w:val="0"/>
          <w:numId w:val="1"/>
        </w:numPr>
        <w:spacing w:after="100"/>
        <w:rPr/>
      </w:pPr>
      <w:r>
        <w:t>Startup capital for new participants to launch their businesses</w:t>
      </w:r>
    </w:p>
    <w:p>
      <w:pPr>
        <w:pStyle w:val="style179"/>
        <w:numPr>
          <w:ilvl w:val="0"/>
          <w:numId w:val="1"/>
        </w:numPr>
        <w:spacing w:after="100"/>
        <w:rPr/>
      </w:pPr>
      <w:r>
        <w:t>Rent support for participants who need it, for an average of 8 months</w:t>
      </w:r>
    </w:p>
    <w:p>
      <w:pPr>
        <w:pStyle w:val="style179"/>
        <w:numPr>
          <w:ilvl w:val="0"/>
          <w:numId w:val="1"/>
        </w:numPr>
        <w:spacing w:after="100"/>
        <w:rPr/>
      </w:pPr>
      <w:r>
        <w:t>Formation of savings groups across all 25 participants to build financial discipline and resilience</w:t>
      </w:r>
    </w:p>
    <w:p>
      <w:pPr>
        <w:pStyle w:val="style179"/>
        <w:numPr>
          <w:ilvl w:val="0"/>
          <w:numId w:val="1"/>
        </w:numPr>
        <w:spacing w:after="100"/>
        <w:rPr/>
      </w:pPr>
      <w:r>
        <w:t>Business mentorship for all 25 participants to strengthen management, growth, and sustainability of their businesses</w:t>
      </w:r>
    </w:p>
    <w:p>
      <w:pPr>
        <w:pStyle w:val="style179"/>
        <w:numPr>
          <w:ilvl w:val="0"/>
          <w:numId w:val="1"/>
        </w:numPr>
        <w:spacing w:after="100"/>
        <w:rPr/>
      </w:pPr>
      <w:r>
        <w:t>Targeted additional support for the 2 current participants still working toward self-sufficiency</w:t>
      </w:r>
    </w:p>
    <w:p>
      <w:pPr>
        <w:pStyle w:val="style0"/>
        <w:spacing w:before="150" w:after="100"/>
        <w:rPr/>
      </w:pPr>
      <w:r>
        <w:rPr/>
        <w:drawing>
          <wp:inline distL="0" distT="0" distB="0" distR="0">
            <wp:extent cx="4191000" cy="3143250"/>
            <wp:effectExtent l="0" t="0" r="0" b="0"/>
            <wp:docPr id="1027"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srcRect l="0" t="0" r="0" b="0"/>
                    <a:stretch/>
                  </pic:blipFill>
                  <pic:spPr>
                    <a:xfrm rot="0">
                      <a:off x="0" y="0"/>
                      <a:ext cx="4191000" cy="3143250"/>
                    </a:xfrm>
                    <a:prstGeom prst="rect"/>
                  </pic:spPr>
                </pic:pic>
              </a:graphicData>
            </a:graphic>
          </wp:inline>
        </w:drawing>
      </w:r>
    </w:p>
    <w:p>
      <w:pPr>
        <w:pStyle w:val="style0"/>
        <w:spacing w:after="250"/>
        <w:rPr/>
      </w:pPr>
      <w:r>
        <w:rPr>
          <w:i/>
          <w:iCs/>
          <w:sz w:val="18"/>
          <w:szCs w:val="18"/>
        </w:rPr>
        <w:t>Vocational school: donated sewing machines used in tailoring training</w:t>
      </w:r>
    </w:p>
    <w:p>
      <w:pPr>
        <w:pStyle w:val="style4098"/>
        <w:spacing w:before="300" w:after="150"/>
        <w:rPr/>
      </w:pPr>
      <w:r>
        <w:t>Timeline (12 months)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000"/>
        <w:gridCol w:w="7000"/>
      </w:tblGrid>
      <w:tr>
        <w:trPr/>
        <w:tc>
          <w:tcPr>
            <w:tcW w:w="2000" w:type="dxa"/>
            <w:tcBorders/>
            <w:shd w:val="clear" w:color="auto" w:fill="6b2d5c"/>
          </w:tcPr>
          <w:p>
            <w:pPr>
              <w:pStyle w:val="style0"/>
              <w:rPr/>
            </w:pPr>
            <w:r>
              <w:rPr>
                <w:b/>
                <w:bCs/>
                <w:color w:val="ffffff"/>
              </w:rPr>
              <w:t>Timeframe</w:t>
            </w:r>
          </w:p>
        </w:tc>
        <w:tc>
          <w:tcPr>
            <w:tcW w:w="7000" w:type="dxa"/>
            <w:tcBorders/>
            <w:shd w:val="clear" w:color="auto" w:fill="6b2d5c"/>
          </w:tcPr>
          <w:p>
            <w:pPr>
              <w:pStyle w:val="style0"/>
              <w:rPr/>
            </w:pPr>
            <w:r>
              <w:rPr>
                <w:b/>
                <w:bCs/>
                <w:color w:val="ffffff"/>
              </w:rPr>
              <w:t>Milestone</w:t>
            </w:r>
          </w:p>
        </w:tc>
      </w:tr>
      <w:tr>
        <w:tblPrEx/>
        <w:trPr/>
        <w:tc>
          <w:tcPr>
            <w:tcW w:w="2000" w:type="dxa"/>
            <w:tcBorders/>
          </w:tcPr>
          <w:p>
            <w:pPr>
              <w:pStyle w:val="style0"/>
              <w:rPr/>
            </w:pPr>
            <w:r>
              <w:rPr>
                <w:b w:val="false"/>
                <w:bCs w:val="false"/>
              </w:rPr>
              <w:t>Month 1</w:t>
            </w:r>
          </w:p>
        </w:tc>
        <w:tc>
          <w:tcPr>
            <w:tcW w:w="7000" w:type="dxa"/>
            <w:tcBorders/>
          </w:tcPr>
          <w:p>
            <w:pPr>
              <w:pStyle w:val="style0"/>
              <w:rPr/>
            </w:pPr>
            <w:r>
              <w:rPr>
                <w:b w:val="false"/>
                <w:bCs w:val="false"/>
              </w:rPr>
              <w:t>Identify and enroll new participants; conduct baseline assessment; confirm trades/training tracks</w:t>
            </w:r>
          </w:p>
        </w:tc>
      </w:tr>
      <w:tr>
        <w:tblPrEx/>
        <w:trPr/>
        <w:tc>
          <w:tcPr>
            <w:tcW w:w="2000" w:type="dxa"/>
            <w:tcBorders/>
          </w:tcPr>
          <w:p>
            <w:pPr>
              <w:pStyle w:val="style0"/>
              <w:rPr/>
            </w:pPr>
            <w:r>
              <w:rPr>
                <w:b w:val="false"/>
                <w:bCs w:val="false"/>
              </w:rPr>
              <w:t>Months 1–2</w:t>
            </w:r>
          </w:p>
        </w:tc>
        <w:tc>
          <w:tcPr>
            <w:tcW w:w="7000" w:type="dxa"/>
            <w:tcBorders/>
          </w:tcPr>
          <w:p>
            <w:pPr>
              <w:pStyle w:val="style0"/>
              <w:rPr/>
            </w:pPr>
            <w:r>
              <w:rPr>
                <w:b w:val="false"/>
                <w:bCs w:val="false"/>
              </w:rPr>
              <w:t>Procure training materials; engage trainers for each trade (soap making, liquid soap, book making, tailoring, etc.)</w:t>
            </w:r>
          </w:p>
        </w:tc>
      </w:tr>
      <w:tr>
        <w:tblPrEx/>
        <w:trPr/>
        <w:tc>
          <w:tcPr>
            <w:tcW w:w="2000" w:type="dxa"/>
            <w:tcBorders/>
          </w:tcPr>
          <w:p>
            <w:pPr>
              <w:pStyle w:val="style0"/>
              <w:rPr/>
            </w:pPr>
            <w:r>
              <w:rPr>
                <w:b w:val="false"/>
                <w:bCs w:val="false"/>
              </w:rPr>
              <w:t>Months 2–4</w:t>
            </w:r>
          </w:p>
        </w:tc>
        <w:tc>
          <w:tcPr>
            <w:tcW w:w="7000" w:type="dxa"/>
            <w:tcBorders/>
          </w:tcPr>
          <w:p>
            <w:pPr>
              <w:pStyle w:val="style0"/>
              <w:rPr/>
            </w:pPr>
            <w:r>
              <w:rPr>
                <w:b w:val="false"/>
                <w:bCs w:val="false"/>
              </w:rPr>
              <w:t>Vocational skills training delivered to new participants</w:t>
            </w:r>
          </w:p>
        </w:tc>
      </w:tr>
      <w:tr>
        <w:tblPrEx/>
        <w:trPr/>
        <w:tc>
          <w:tcPr>
            <w:tcW w:w="2000" w:type="dxa"/>
            <w:tcBorders/>
          </w:tcPr>
          <w:p>
            <w:pPr>
              <w:pStyle w:val="style0"/>
              <w:rPr/>
            </w:pPr>
            <w:r>
              <w:rPr>
                <w:b w:val="false"/>
                <w:bCs w:val="false"/>
              </w:rPr>
              <w:t>Months 2–3</w:t>
            </w:r>
          </w:p>
        </w:tc>
        <w:tc>
          <w:tcPr>
            <w:tcW w:w="7000" w:type="dxa"/>
            <w:tcBorders/>
          </w:tcPr>
          <w:p>
            <w:pPr>
              <w:pStyle w:val="style0"/>
              <w:rPr/>
            </w:pPr>
            <w:r>
              <w:rPr>
                <w:b w:val="false"/>
                <w:bCs w:val="false"/>
              </w:rPr>
              <w:t>Disburse startup capital to new participants as training concludes per trade</w:t>
            </w:r>
          </w:p>
        </w:tc>
      </w:tr>
      <w:tr>
        <w:tblPrEx/>
        <w:trPr/>
        <w:tc>
          <w:tcPr>
            <w:tcW w:w="2000" w:type="dxa"/>
            <w:tcBorders/>
          </w:tcPr>
          <w:p>
            <w:pPr>
              <w:pStyle w:val="style0"/>
              <w:rPr/>
            </w:pPr>
            <w:r>
              <w:rPr>
                <w:b w:val="false"/>
                <w:bCs w:val="false"/>
              </w:rPr>
              <w:t>Months 1–9</w:t>
            </w:r>
          </w:p>
        </w:tc>
        <w:tc>
          <w:tcPr>
            <w:tcW w:w="7000" w:type="dxa"/>
            <w:tcBorders/>
          </w:tcPr>
          <w:p>
            <w:pPr>
              <w:pStyle w:val="style0"/>
              <w:rPr/>
            </w:pPr>
            <w:r>
              <w:rPr>
                <w:b w:val="false"/>
                <w:bCs w:val="false"/>
              </w:rPr>
              <w:t>Rent support disbursed monthly to eligible participants (avg. 8 months)</w:t>
            </w:r>
          </w:p>
        </w:tc>
      </w:tr>
      <w:tr>
        <w:tblPrEx/>
        <w:trPr/>
        <w:tc>
          <w:tcPr>
            <w:tcW w:w="2000" w:type="dxa"/>
            <w:tcBorders/>
          </w:tcPr>
          <w:p>
            <w:pPr>
              <w:pStyle w:val="style0"/>
              <w:rPr/>
            </w:pPr>
            <w:r>
              <w:rPr>
                <w:b w:val="false"/>
                <w:bCs w:val="false"/>
              </w:rPr>
              <w:t>Month 3</w:t>
            </w:r>
          </w:p>
        </w:tc>
        <w:tc>
          <w:tcPr>
            <w:tcW w:w="7000" w:type="dxa"/>
            <w:tcBorders/>
          </w:tcPr>
          <w:p>
            <w:pPr>
              <w:pStyle w:val="style0"/>
              <w:rPr/>
            </w:pPr>
            <w:r>
              <w:rPr>
                <w:b w:val="false"/>
                <w:bCs w:val="false"/>
              </w:rPr>
              <w:t>Form savings groups across all 25 participants; initial training on group savings</w:t>
            </w:r>
          </w:p>
        </w:tc>
      </w:tr>
      <w:tr>
        <w:tblPrEx/>
        <w:trPr/>
        <w:tc>
          <w:tcPr>
            <w:tcW w:w="2000" w:type="dxa"/>
            <w:tcBorders/>
          </w:tcPr>
          <w:p>
            <w:pPr>
              <w:pStyle w:val="style0"/>
              <w:rPr/>
            </w:pPr>
            <w:r>
              <w:rPr>
                <w:b w:val="false"/>
                <w:bCs w:val="false"/>
              </w:rPr>
              <w:t>Months 3–12</w:t>
            </w:r>
          </w:p>
        </w:tc>
        <w:tc>
          <w:tcPr>
            <w:tcW w:w="7000" w:type="dxa"/>
            <w:tcBorders/>
          </w:tcPr>
          <w:p>
            <w:pPr>
              <w:pStyle w:val="style0"/>
              <w:rPr/>
            </w:pPr>
            <w:r>
              <w:rPr>
                <w:b w:val="false"/>
                <w:bCs w:val="false"/>
              </w:rPr>
              <w:t>Business mentorship delivered to all 25 participants</w:t>
            </w:r>
          </w:p>
        </w:tc>
      </w:tr>
      <w:tr>
        <w:tblPrEx/>
        <w:trPr/>
        <w:tc>
          <w:tcPr>
            <w:tcW w:w="2000" w:type="dxa"/>
            <w:tcBorders/>
          </w:tcPr>
          <w:p>
            <w:pPr>
              <w:pStyle w:val="style0"/>
              <w:rPr/>
            </w:pPr>
            <w:r>
              <w:rPr>
                <w:b w:val="false"/>
                <w:bCs w:val="false"/>
              </w:rPr>
              <w:t>Months 3–12</w:t>
            </w:r>
          </w:p>
        </w:tc>
        <w:tc>
          <w:tcPr>
            <w:tcW w:w="7000" w:type="dxa"/>
            <w:tcBorders/>
          </w:tcPr>
          <w:p>
            <w:pPr>
              <w:pStyle w:val="style0"/>
              <w:rPr/>
            </w:pPr>
            <w:r>
              <w:rPr>
                <w:b w:val="false"/>
                <w:bCs w:val="false"/>
              </w:rPr>
              <w:t>Targeted additional support for the 2 current participants still stabilizing their businesses</w:t>
            </w:r>
          </w:p>
        </w:tc>
      </w:tr>
      <w:tr>
        <w:tblPrEx/>
        <w:trPr/>
        <w:tc>
          <w:tcPr>
            <w:tcW w:w="2000" w:type="dxa"/>
            <w:tcBorders/>
          </w:tcPr>
          <w:p>
            <w:pPr>
              <w:pStyle w:val="style0"/>
              <w:rPr/>
            </w:pPr>
            <w:r>
              <w:rPr>
                <w:b w:val="false"/>
                <w:bCs w:val="false"/>
              </w:rPr>
              <w:t>Ongoing</w:t>
            </w:r>
          </w:p>
        </w:tc>
        <w:tc>
          <w:tcPr>
            <w:tcW w:w="7000" w:type="dxa"/>
            <w:tcBorders/>
          </w:tcPr>
          <w:p>
            <w:pPr>
              <w:pStyle w:val="style0"/>
              <w:rPr/>
            </w:pPr>
            <w:r>
              <w:rPr>
                <w:b w:val="false"/>
                <w:bCs w:val="false"/>
              </w:rPr>
              <w:t>Program monitoring, field visits, and progress reporting</w:t>
            </w:r>
          </w:p>
        </w:tc>
      </w:tr>
    </w:tbl>
    <w:p>
      <w:pPr>
        <w:pStyle w:val="style0"/>
        <w:spacing w:after="200"/>
        <w:rPr/>
      </w:pPr>
    </w:p>
    <w:p>
      <w:pPr>
        <w:pStyle w:val="style4098"/>
        <w:spacing w:before="300" w:after="150"/>
        <w:rPr/>
      </w:pPr>
      <w:r>
        <w:t>Beneficiaries</w:t>
      </w:r>
    </w:p>
    <w:p>
      <w:pPr>
        <w:pStyle w:val="style0"/>
        <w:spacing w:after="200"/>
        <w:rPr/>
      </w:pPr>
      <w:r>
        <w:t>This project will directly benefit approximately 25 single mothers in Myanzi: the 10 women currently in the program, plus 10–20 new participants. Indirectly, the project benefits the children of these women, whose stability and school attendance are closely tied to their mothers' economic security.</w:t>
      </w:r>
    </w:p>
    <w:p>
      <w:pPr>
        <w:pStyle w:val="style4098"/>
        <w:spacing w:before="300" w:after="150"/>
        <w:rPr/>
      </w:pPr>
    </w:p>
    <w:p>
      <w:pPr>
        <w:pStyle w:val="style4098"/>
        <w:spacing w:before="300" w:after="150"/>
        <w:rPr/>
      </w:pPr>
      <w:r>
        <w:t>Budget: $30,000 (112,500,000 UGX)</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600"/>
        <w:gridCol w:w="2200"/>
        <w:gridCol w:w="2200"/>
      </w:tblGrid>
      <w:tr>
        <w:trPr/>
        <w:tc>
          <w:tcPr>
            <w:tcW w:w="4600" w:type="dxa"/>
            <w:tcBorders/>
            <w:shd w:val="clear" w:color="auto" w:fill="6b2d5c"/>
          </w:tcPr>
          <w:p>
            <w:pPr>
              <w:pStyle w:val="style0"/>
              <w:rPr/>
            </w:pPr>
            <w:r>
              <w:rPr>
                <w:b/>
                <w:bCs/>
                <w:color w:val="ffffff"/>
              </w:rPr>
              <w:t>Line Item</w:t>
            </w:r>
          </w:p>
        </w:tc>
        <w:tc>
          <w:tcPr>
            <w:tcW w:w="2200" w:type="dxa"/>
            <w:tcBorders/>
            <w:shd w:val="clear" w:color="auto" w:fill="6b2d5c"/>
          </w:tcPr>
          <w:p>
            <w:pPr>
              <w:pStyle w:val="style0"/>
              <w:rPr/>
            </w:pPr>
            <w:r>
              <w:rPr>
                <w:b/>
                <w:bCs/>
                <w:color w:val="ffffff"/>
              </w:rPr>
              <w:t>UGX</w:t>
            </w:r>
          </w:p>
        </w:tc>
        <w:tc>
          <w:tcPr>
            <w:tcW w:w="2200" w:type="dxa"/>
            <w:tcBorders/>
            <w:shd w:val="clear" w:color="auto" w:fill="6b2d5c"/>
          </w:tcPr>
          <w:p>
            <w:pPr>
              <w:pStyle w:val="style0"/>
              <w:rPr/>
            </w:pPr>
            <w:r>
              <w:rPr>
                <w:b/>
                <w:bCs/>
                <w:color w:val="ffffff"/>
              </w:rPr>
              <w:t>USD</w:t>
            </w:r>
          </w:p>
        </w:tc>
      </w:tr>
      <w:tr>
        <w:tblPrEx/>
        <w:trPr/>
        <w:tc>
          <w:tcPr>
            <w:tcW w:w="4600" w:type="dxa"/>
            <w:tcBorders/>
          </w:tcPr>
          <w:p>
            <w:pPr>
              <w:pStyle w:val="style0"/>
              <w:rPr/>
            </w:pPr>
            <w:r>
              <w:rPr>
                <w:b w:val="false"/>
                <w:bCs w:val="false"/>
              </w:rPr>
              <w:t>Rent support (new participants)</w:t>
            </w:r>
          </w:p>
        </w:tc>
        <w:tc>
          <w:tcPr>
            <w:tcW w:w="2200" w:type="dxa"/>
            <w:tcBorders/>
          </w:tcPr>
          <w:p>
            <w:pPr>
              <w:pStyle w:val="style0"/>
              <w:rPr/>
            </w:pPr>
            <w:r>
              <w:rPr>
                <w:b w:val="false"/>
                <w:bCs w:val="false"/>
              </w:rPr>
              <w:t>30,000,000</w:t>
            </w:r>
          </w:p>
        </w:tc>
        <w:tc>
          <w:tcPr>
            <w:tcW w:w="2200" w:type="dxa"/>
            <w:tcBorders/>
          </w:tcPr>
          <w:p>
            <w:pPr>
              <w:pStyle w:val="style0"/>
              <w:rPr/>
            </w:pPr>
            <w:r>
              <w:rPr>
                <w:b w:val="false"/>
                <w:bCs w:val="false"/>
              </w:rPr>
              <w:t>$8,000</w:t>
            </w:r>
          </w:p>
        </w:tc>
      </w:tr>
      <w:tr>
        <w:tblPrEx/>
        <w:trPr/>
        <w:tc>
          <w:tcPr>
            <w:tcW w:w="4600" w:type="dxa"/>
            <w:tcBorders/>
          </w:tcPr>
          <w:p>
            <w:pPr>
              <w:pStyle w:val="style0"/>
              <w:rPr/>
            </w:pPr>
            <w:r>
              <w:rPr>
                <w:b w:val="false"/>
                <w:bCs w:val="false"/>
              </w:rPr>
              <w:t>Startup capital (new participants)</w:t>
            </w:r>
          </w:p>
        </w:tc>
        <w:tc>
          <w:tcPr>
            <w:tcW w:w="2200" w:type="dxa"/>
            <w:tcBorders/>
          </w:tcPr>
          <w:p>
            <w:pPr>
              <w:pStyle w:val="style0"/>
              <w:rPr/>
            </w:pPr>
            <w:r>
              <w:rPr>
                <w:b w:val="false"/>
                <w:bCs w:val="false"/>
              </w:rPr>
              <w:t>22,500,000</w:t>
            </w:r>
          </w:p>
        </w:tc>
        <w:tc>
          <w:tcPr>
            <w:tcW w:w="2200" w:type="dxa"/>
            <w:tcBorders/>
          </w:tcPr>
          <w:p>
            <w:pPr>
              <w:pStyle w:val="style0"/>
              <w:rPr/>
            </w:pPr>
            <w:r>
              <w:rPr>
                <w:b w:val="false"/>
                <w:bCs w:val="false"/>
              </w:rPr>
              <w:t>$6,000</w:t>
            </w:r>
          </w:p>
        </w:tc>
      </w:tr>
      <w:tr>
        <w:tblPrEx/>
        <w:trPr/>
        <w:tc>
          <w:tcPr>
            <w:tcW w:w="4600" w:type="dxa"/>
            <w:tcBorders/>
          </w:tcPr>
          <w:p>
            <w:pPr>
              <w:pStyle w:val="style0"/>
              <w:rPr/>
            </w:pPr>
            <w:r>
              <w:rPr>
                <w:b w:val="false"/>
                <w:bCs w:val="false"/>
              </w:rPr>
              <w:t>Training materials &amp; trainer fees (new participants)</w:t>
            </w:r>
          </w:p>
        </w:tc>
        <w:tc>
          <w:tcPr>
            <w:tcW w:w="2200" w:type="dxa"/>
            <w:tcBorders/>
          </w:tcPr>
          <w:p>
            <w:pPr>
              <w:pStyle w:val="style0"/>
              <w:rPr/>
            </w:pPr>
            <w:r>
              <w:rPr>
                <w:b w:val="false"/>
                <w:bCs w:val="false"/>
              </w:rPr>
              <w:t>11,250,000</w:t>
            </w:r>
          </w:p>
        </w:tc>
        <w:tc>
          <w:tcPr>
            <w:tcW w:w="2200" w:type="dxa"/>
            <w:tcBorders/>
          </w:tcPr>
          <w:p>
            <w:pPr>
              <w:pStyle w:val="style0"/>
              <w:rPr/>
            </w:pPr>
            <w:r>
              <w:rPr>
                <w:b w:val="false"/>
                <w:bCs w:val="false"/>
              </w:rPr>
              <w:t>$3,000</w:t>
            </w:r>
          </w:p>
        </w:tc>
      </w:tr>
      <w:tr>
        <w:tblPrEx/>
        <w:trPr/>
        <w:tc>
          <w:tcPr>
            <w:tcW w:w="4600" w:type="dxa"/>
            <w:tcBorders/>
          </w:tcPr>
          <w:p>
            <w:pPr>
              <w:pStyle w:val="style0"/>
              <w:rPr/>
            </w:pPr>
            <w:r>
              <w:rPr>
                <w:b w:val="false"/>
                <w:bCs w:val="false"/>
              </w:rPr>
              <w:t>Savings group setup (all 25 participants)</w:t>
            </w:r>
          </w:p>
        </w:tc>
        <w:tc>
          <w:tcPr>
            <w:tcW w:w="2200" w:type="dxa"/>
            <w:tcBorders/>
          </w:tcPr>
          <w:p>
            <w:pPr>
              <w:pStyle w:val="style0"/>
              <w:rPr/>
            </w:pPr>
            <w:r>
              <w:rPr>
                <w:b w:val="false"/>
                <w:bCs w:val="false"/>
              </w:rPr>
              <w:t>4,500,000</w:t>
            </w:r>
          </w:p>
        </w:tc>
        <w:tc>
          <w:tcPr>
            <w:tcW w:w="2200" w:type="dxa"/>
            <w:tcBorders/>
          </w:tcPr>
          <w:p>
            <w:pPr>
              <w:pStyle w:val="style0"/>
              <w:rPr/>
            </w:pPr>
            <w:r>
              <w:rPr>
                <w:b w:val="false"/>
                <w:bCs w:val="false"/>
              </w:rPr>
              <w:t>$1,200</w:t>
            </w:r>
          </w:p>
        </w:tc>
      </w:tr>
      <w:tr>
        <w:tblPrEx/>
        <w:trPr/>
        <w:tc>
          <w:tcPr>
            <w:tcW w:w="4600" w:type="dxa"/>
            <w:tcBorders/>
          </w:tcPr>
          <w:p>
            <w:pPr>
              <w:pStyle w:val="style0"/>
              <w:rPr/>
            </w:pPr>
            <w:r>
              <w:rPr>
                <w:b w:val="false"/>
                <w:bCs w:val="false"/>
              </w:rPr>
              <w:t>Business mentorship (all 25 participants, 12 months)</w:t>
            </w:r>
          </w:p>
        </w:tc>
        <w:tc>
          <w:tcPr>
            <w:tcW w:w="2200" w:type="dxa"/>
            <w:tcBorders/>
          </w:tcPr>
          <w:p>
            <w:pPr>
              <w:pStyle w:val="style0"/>
              <w:rPr/>
            </w:pPr>
            <w:r>
              <w:rPr>
                <w:b w:val="false"/>
                <w:bCs w:val="false"/>
              </w:rPr>
              <w:t>18,750,000</w:t>
            </w:r>
          </w:p>
        </w:tc>
        <w:tc>
          <w:tcPr>
            <w:tcW w:w="2200" w:type="dxa"/>
            <w:tcBorders/>
          </w:tcPr>
          <w:p>
            <w:pPr>
              <w:pStyle w:val="style0"/>
              <w:rPr/>
            </w:pPr>
            <w:r>
              <w:rPr>
                <w:b w:val="false"/>
                <w:bCs w:val="false"/>
              </w:rPr>
              <w:t>$5,000</w:t>
            </w:r>
          </w:p>
        </w:tc>
      </w:tr>
      <w:tr>
        <w:tblPrEx/>
        <w:trPr/>
        <w:tc>
          <w:tcPr>
            <w:tcW w:w="4600" w:type="dxa"/>
            <w:tcBorders/>
          </w:tcPr>
          <w:p>
            <w:pPr>
              <w:pStyle w:val="style0"/>
              <w:rPr/>
            </w:pPr>
            <w:r>
              <w:rPr>
                <w:b w:val="false"/>
                <w:bCs w:val="false"/>
              </w:rPr>
              <w:t>Additional support for current lagging participants</w:t>
            </w:r>
          </w:p>
        </w:tc>
        <w:tc>
          <w:tcPr>
            <w:tcW w:w="2200" w:type="dxa"/>
            <w:tcBorders/>
          </w:tcPr>
          <w:p>
            <w:pPr>
              <w:pStyle w:val="style0"/>
              <w:rPr/>
            </w:pPr>
            <w:r>
              <w:rPr>
                <w:b w:val="false"/>
                <w:bCs w:val="false"/>
              </w:rPr>
              <w:t>4,500,000</w:t>
            </w:r>
          </w:p>
        </w:tc>
        <w:tc>
          <w:tcPr>
            <w:tcW w:w="2200" w:type="dxa"/>
            <w:tcBorders/>
          </w:tcPr>
          <w:p>
            <w:pPr>
              <w:pStyle w:val="style0"/>
              <w:rPr/>
            </w:pPr>
            <w:r>
              <w:rPr>
                <w:b w:val="false"/>
                <w:bCs w:val="false"/>
              </w:rPr>
              <w:t>$1,200</w:t>
            </w:r>
          </w:p>
        </w:tc>
      </w:tr>
      <w:tr>
        <w:tblPrEx/>
        <w:trPr/>
        <w:tc>
          <w:tcPr>
            <w:tcW w:w="4600" w:type="dxa"/>
            <w:tcBorders/>
          </w:tcPr>
          <w:p>
            <w:pPr>
              <w:pStyle w:val="style0"/>
              <w:rPr/>
            </w:pPr>
            <w:r>
              <w:rPr>
                <w:b w:val="false"/>
                <w:bCs w:val="false"/>
              </w:rPr>
              <w:t>Program monitoring &amp; staff time</w:t>
            </w:r>
          </w:p>
        </w:tc>
        <w:tc>
          <w:tcPr>
            <w:tcW w:w="2200" w:type="dxa"/>
            <w:tcBorders/>
          </w:tcPr>
          <w:p>
            <w:pPr>
              <w:pStyle w:val="style0"/>
              <w:rPr/>
            </w:pPr>
            <w:r>
              <w:rPr>
                <w:b w:val="false"/>
                <w:bCs w:val="false"/>
              </w:rPr>
              <w:t>13,500,000</w:t>
            </w:r>
          </w:p>
        </w:tc>
        <w:tc>
          <w:tcPr>
            <w:tcW w:w="2200" w:type="dxa"/>
            <w:tcBorders/>
          </w:tcPr>
          <w:p>
            <w:pPr>
              <w:pStyle w:val="style0"/>
              <w:rPr/>
            </w:pPr>
            <w:r>
              <w:rPr>
                <w:b w:val="false"/>
                <w:bCs w:val="false"/>
              </w:rPr>
              <w:t>$3,600</w:t>
            </w:r>
          </w:p>
        </w:tc>
      </w:tr>
      <w:tr>
        <w:tblPrEx/>
        <w:trPr/>
        <w:tc>
          <w:tcPr>
            <w:tcW w:w="4600" w:type="dxa"/>
            <w:tcBorders/>
          </w:tcPr>
          <w:p>
            <w:pPr>
              <w:pStyle w:val="style0"/>
              <w:rPr/>
            </w:pPr>
            <w:r>
              <w:rPr>
                <w:b w:val="false"/>
                <w:bCs w:val="false"/>
              </w:rPr>
              <w:t>Contingency (~5%)</w:t>
            </w:r>
          </w:p>
        </w:tc>
        <w:tc>
          <w:tcPr>
            <w:tcW w:w="2200" w:type="dxa"/>
            <w:tcBorders/>
          </w:tcPr>
          <w:p>
            <w:pPr>
              <w:pStyle w:val="style0"/>
              <w:rPr/>
            </w:pPr>
            <w:r>
              <w:rPr>
                <w:b w:val="false"/>
                <w:bCs w:val="false"/>
              </w:rPr>
              <w:t>7,500,000</w:t>
            </w:r>
          </w:p>
        </w:tc>
        <w:tc>
          <w:tcPr>
            <w:tcW w:w="2200" w:type="dxa"/>
            <w:tcBorders/>
          </w:tcPr>
          <w:p>
            <w:pPr>
              <w:pStyle w:val="style0"/>
              <w:rPr/>
            </w:pPr>
            <w:r>
              <w:rPr>
                <w:b w:val="false"/>
                <w:bCs w:val="false"/>
              </w:rPr>
              <w:t>$2,000</w:t>
            </w:r>
          </w:p>
        </w:tc>
      </w:tr>
      <w:tr>
        <w:tblPrEx/>
        <w:trPr/>
        <w:tc>
          <w:tcPr>
            <w:tcW w:w="4600" w:type="dxa"/>
            <w:tcBorders/>
          </w:tcPr>
          <w:p>
            <w:pPr>
              <w:pStyle w:val="style0"/>
              <w:rPr/>
            </w:pPr>
            <w:r>
              <w:rPr>
                <w:b/>
                <w:bCs/>
              </w:rPr>
              <w:t>Total</w:t>
            </w:r>
          </w:p>
        </w:tc>
        <w:tc>
          <w:tcPr>
            <w:tcW w:w="2200" w:type="dxa"/>
            <w:tcBorders/>
          </w:tcPr>
          <w:p>
            <w:pPr>
              <w:pStyle w:val="style0"/>
              <w:rPr/>
            </w:pPr>
            <w:r>
              <w:rPr>
                <w:b/>
                <w:bCs/>
              </w:rPr>
              <w:t>112,500,000</w:t>
            </w:r>
          </w:p>
        </w:tc>
        <w:tc>
          <w:tcPr>
            <w:tcW w:w="2200" w:type="dxa"/>
            <w:tcBorders/>
          </w:tcPr>
          <w:p>
            <w:pPr>
              <w:pStyle w:val="style0"/>
              <w:rPr/>
            </w:pPr>
            <w:r>
              <w:rPr>
                <w:b/>
                <w:bCs/>
              </w:rPr>
              <w:t>$30,000</w:t>
            </w:r>
          </w:p>
        </w:tc>
      </w:tr>
    </w:tbl>
    <w:p>
      <w:pPr>
        <w:pStyle w:val="style0"/>
        <w:spacing w:after="100"/>
        <w:rPr/>
      </w:pPr>
    </w:p>
    <w:p>
      <w:pPr>
        <w:pStyle w:val="style0"/>
        <w:spacing w:after="200"/>
        <w:rPr>
          <w:b/>
          <w:bCs/>
          <w:color w:val="36363d"/>
        </w:rPr>
      </w:pPr>
      <w:r>
        <w:rPr>
          <w:b/>
          <w:bCs/>
          <w:i/>
          <w:iCs/>
          <w:color w:val="36363d"/>
        </w:rPr>
        <w:t>[Note: Rent duration (avg. 8 months) and training material costs (avg. 750,000 UGX/participant) are working averages, since both vary by individual participant and trade. Actual costs will be tracked and reported per participant.]</w:t>
      </w:r>
    </w:p>
    <w:p>
      <w:pPr>
        <w:pStyle w:val="style4098"/>
        <w:spacing w:before="300" w:after="150"/>
        <w:rPr/>
      </w:pPr>
      <w:r>
        <w:t>Sustainability</w:t>
      </w:r>
    </w:p>
    <w:p>
      <w:pPr>
        <w:pStyle w:val="style0"/>
        <w:spacing w:after="200"/>
        <w:rPr/>
      </w:pPr>
      <w:r>
        <w:t>Savings groups and business mentorship are designed to reduce long-term dependency on external funding by building participants' financial skills and peer support networks that continue independently of BFTLP's direct involvement. Startup capital and training are one-time investments intended to establish businesses capable of sustaining themselves beyond the life of the project.</w:t>
      </w:r>
    </w:p>
    <w:p>
      <w:pPr>
        <w:pStyle w:val="style4098"/>
        <w:spacing w:before="300" w:after="150"/>
        <w:rPr/>
      </w:pPr>
      <w:r>
        <w:t>Community &amp; Local Support</w:t>
      </w:r>
    </w:p>
    <w:p>
      <w:pPr>
        <w:pStyle w:val="style0"/>
        <w:spacing w:after="200"/>
        <w:rPr/>
      </w:pPr>
      <w:r>
        <w:t>BFTLP's programs, including this single mothers empowerment initiative, are known to the District Community Development Officer (DCDO), reflecting engagement with local government structures responsible for community welfare in Kassanda District.</w:t>
      </w:r>
    </w:p>
    <w:sectPr>
      <w:pgSz w:w="12240" w:h="15840" w:orient="portrait"/>
      <w:pgMar w:top="1440" w:right="1440" w:bottom="1440" w:left="1440" w:header="708" w:footer="708"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compatSetting w:name="compatibilityMode" w:uri="http://schemas.microsoft.com/office/word" w:val="15"/>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styleId="style62">
    <w:name w:val="Title"/>
    <w:next w:val="style62"/>
    <w:qFormat/>
    <w:pPr/>
    <w:rPr>
      <w:sz w:val="56"/>
      <w:szCs w:val="56"/>
    </w:rPr>
  </w:style>
  <w:style w:type="paragraph" w:customStyle="1" w:styleId="style4097">
    <w:name w:val="Heading 1"/>
    <w:next w:val="style4097"/>
    <w:qFormat/>
    <w:pPr/>
    <w:rPr>
      <w:color w:val="2e74b5"/>
      <w:sz w:val="32"/>
      <w:szCs w:val="32"/>
    </w:rPr>
  </w:style>
  <w:style w:type="paragraph" w:customStyle="1" w:styleId="style4098">
    <w:name w:val="Heading 2"/>
    <w:next w:val="style4098"/>
    <w:qFormat/>
    <w:pPr/>
    <w:rPr>
      <w:color w:val="2e74b5"/>
      <w:sz w:val="26"/>
      <w:szCs w:val="26"/>
    </w:rPr>
  </w:style>
  <w:style w:type="paragraph" w:customStyle="1" w:styleId="style4099">
    <w:name w:val="Heading 3"/>
    <w:next w:val="style4099"/>
    <w:qFormat/>
    <w:pPr/>
    <w:rPr>
      <w:color w:val="1f4d78"/>
      <w:sz w:val="24"/>
      <w:szCs w:val="24"/>
    </w:rPr>
  </w:style>
  <w:style w:type="paragraph" w:customStyle="1" w:styleId="style4100">
    <w:name w:val="Heading 4"/>
    <w:next w:val="style4100"/>
    <w:qFormat/>
    <w:pPr/>
    <w:rPr>
      <w:i/>
      <w:iCs/>
      <w:color w:val="2e74b5"/>
    </w:rPr>
  </w:style>
  <w:style w:type="paragraph" w:customStyle="1" w:styleId="style4101">
    <w:name w:val="Heading 5"/>
    <w:next w:val="style4101"/>
    <w:qFormat/>
    <w:pPr/>
    <w:rPr>
      <w:color w:val="2e74b5"/>
    </w:rPr>
  </w:style>
  <w:style w:type="paragraph" w:customStyle="1" w:styleId="style4102">
    <w:name w:val="Heading 6"/>
    <w:next w:val="style4102"/>
    <w:qFormat/>
    <w:pPr/>
    <w:rPr>
      <w:color w:val="1f4d78"/>
    </w:rPr>
  </w:style>
  <w:style w:type="paragraph" w:customStyle="1" w:styleId="style4103">
    <w:name w:val="Strong_ba65ab3d-6584-41a4-945c-c021e1f17e99"/>
    <w:next w:val="style4103"/>
    <w:qFormat/>
    <w:pPr/>
    <w:rPr>
      <w:b/>
      <w:bCs/>
    </w:rPr>
  </w:style>
  <w:style w:type="paragraph" w:styleId="style179">
    <w:name w:val="List Paragraph"/>
    <w:next w:val="style179"/>
    <w:qFormat/>
    <w:pPr/>
  </w:style>
  <w:style w:type="character" w:styleId="style85">
    <w:name w:val="Hyperlink"/>
    <w:next w:val="style85"/>
    <w:uiPriority w:val="99"/>
    <w:rPr>
      <w:color w:val="0563c1"/>
      <w:u w:val="single"/>
    </w:rPr>
  </w:style>
  <w:style w:type="character" w:styleId="style38">
    <w:name w:val="footnote reference"/>
    <w:next w:val="style38"/>
    <w:uiPriority w:val="99"/>
    <w:rPr>
      <w:vertAlign w:val="superscript"/>
    </w:rPr>
  </w:style>
  <w:style w:type="paragraph" w:styleId="style29">
    <w:name w:val="footnote text"/>
    <w:next w:val="style29"/>
    <w:link w:val="style4104"/>
    <w:uiPriority w:val="99"/>
    <w:pPr>
      <w:spacing w:after="0" w:lineRule="auto" w:line="240"/>
    </w:pPr>
    <w:rPr>
      <w:sz w:val="20"/>
      <w:szCs w:val="20"/>
    </w:rPr>
  </w:style>
  <w:style w:type="character" w:customStyle="1" w:styleId="style4104">
    <w:name w:val="Footnote Text Char"/>
    <w:next w:val="style4104"/>
    <w:link w:val="style29"/>
    <w:uiPriority w:val="99"/>
    <w:rPr>
      <w:sz w:val="20"/>
      <w:szCs w:val="20"/>
    </w:rPr>
  </w:style>
  <w:style w:type="character" w:styleId="style42">
    <w:name w:val="endnote reference"/>
    <w:next w:val="style42"/>
    <w:uiPriority w:val="99"/>
    <w:rPr>
      <w:vertAlign w:val="superscript"/>
    </w:rPr>
  </w:style>
  <w:style w:type="paragraph" w:styleId="style43">
    <w:name w:val="endnote text"/>
    <w:next w:val="style43"/>
    <w:link w:val="style4105"/>
    <w:uiPriority w:val="99"/>
    <w:pPr>
      <w:spacing w:after="0" w:lineRule="auto" w:line="240"/>
    </w:pPr>
    <w:rPr>
      <w:sz w:val="20"/>
      <w:szCs w:val="20"/>
    </w:rPr>
  </w:style>
  <w:style w:type="character" w:customStyle="1" w:styleId="style4105">
    <w:name w:val="Endnote Text Char"/>
    <w:next w:val="style4105"/>
    <w:link w:val="style43"/>
    <w:uiPriority w:val="99"/>
    <w:rPr>
      <w:sz w:val="20"/>
      <w:szCs w:val="20"/>
    </w:r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735</Words>
  <Characters>4555</Characters>
  <Application>WPS Office</Application>
  <Paragraphs>103</Paragraphs>
  <CharactersWithSpaces>5204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2026-08-02T12:03:58Z</dcterms:created>
  <dc:creator>Un-named</dc:creator>
  <lastModifiedBy>21121119SC</lastModifiedBy>
  <dcterms:modified xsi:type="dcterms:W3CDTF">2026-08-02T12:03:58Z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6e24b66ea6784ddba122024bb20d5e62</vt:lpwstr>
  </property>
</Properties>
</file>