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B0F2F" w14:textId="77777777" w:rsidR="00E6396C" w:rsidRDefault="00E6396C">
      <w:pPr>
        <w:pStyle w:val="Title"/>
        <w:widowControl w:val="0"/>
        <w:spacing w:before="160" w:line="240" w:lineRule="auto"/>
        <w:jc w:val="center"/>
        <w:rPr>
          <w:sz w:val="60"/>
          <w:szCs w:val="60"/>
        </w:rPr>
      </w:pPr>
      <w:bookmarkStart w:id="0" w:name="_jex7ex6zyinf" w:colFirst="0" w:colLast="0"/>
      <w:bookmarkEnd w:id="0"/>
    </w:p>
    <w:p w14:paraId="68B243AE" w14:textId="77777777" w:rsidR="00E6396C" w:rsidRDefault="00000000">
      <w:pPr>
        <w:pStyle w:val="Title"/>
        <w:widowControl w:val="0"/>
        <w:spacing w:before="160" w:line="240" w:lineRule="auto"/>
        <w:jc w:val="center"/>
        <w:rPr>
          <w:sz w:val="60"/>
          <w:szCs w:val="60"/>
        </w:rPr>
      </w:pPr>
      <w:bookmarkStart w:id="1" w:name="_3c6xi0df8uhj" w:colFirst="0" w:colLast="0"/>
      <w:bookmarkEnd w:id="1"/>
      <w:r>
        <w:rPr>
          <w:sz w:val="60"/>
          <w:szCs w:val="60"/>
        </w:rPr>
        <w:t>Storytelling Worksheet</w:t>
      </w:r>
    </w:p>
    <w:p w14:paraId="19DB609A" w14:textId="77777777" w:rsidR="00E6396C" w:rsidRDefault="00000000">
      <w:pPr>
        <w:widowControl w:val="0"/>
        <w:spacing w:before="160" w:line="240" w:lineRule="auto"/>
        <w:jc w:val="center"/>
        <w:rPr>
          <w:color w:val="726C61"/>
          <w:sz w:val="24"/>
          <w:szCs w:val="24"/>
        </w:rPr>
      </w:pPr>
      <w:r>
        <w:rPr>
          <w:color w:val="726C61"/>
          <w:sz w:val="24"/>
          <w:szCs w:val="24"/>
        </w:rPr>
        <w:t xml:space="preserve">Use this worksheet to outline the essential elements of your organization's work you’d like to fundraise for. This storytelling format mirrors </w:t>
      </w:r>
      <w:proofErr w:type="spellStart"/>
      <w:r>
        <w:rPr>
          <w:color w:val="726C61"/>
          <w:sz w:val="24"/>
          <w:szCs w:val="24"/>
        </w:rPr>
        <w:t>GlobalGiving</w:t>
      </w:r>
      <w:proofErr w:type="spellEnd"/>
      <w:r>
        <w:rPr>
          <w:color w:val="726C61"/>
          <w:sz w:val="24"/>
          <w:szCs w:val="24"/>
        </w:rPr>
        <w:t xml:space="preserve"> project pages, which you can view on </w:t>
      </w:r>
      <w:hyperlink r:id="rId7">
        <w:r w:rsidR="00E6396C">
          <w:rPr>
            <w:color w:val="1155CC"/>
            <w:sz w:val="24"/>
            <w:szCs w:val="24"/>
            <w:u w:val="single"/>
          </w:rPr>
          <w:t>GlobalGiving.org</w:t>
        </w:r>
      </w:hyperlink>
      <w:r>
        <w:rPr>
          <w:color w:val="726C61"/>
          <w:sz w:val="24"/>
          <w:szCs w:val="24"/>
        </w:rPr>
        <w:t xml:space="preserve"> for inspiration. </w:t>
      </w:r>
    </w:p>
    <w:p w14:paraId="1015A720" w14:textId="77777777" w:rsidR="00E6396C" w:rsidRDefault="00E6396C">
      <w:pPr>
        <w:widowControl w:val="0"/>
        <w:spacing w:before="160" w:line="240" w:lineRule="auto"/>
        <w:jc w:val="center"/>
        <w:rPr>
          <w:color w:val="726C61"/>
          <w:sz w:val="24"/>
          <w:szCs w:val="24"/>
        </w:rPr>
      </w:pPr>
    </w:p>
    <w:p w14:paraId="29B92C6D" w14:textId="77777777" w:rsidR="00E6396C" w:rsidRDefault="00000000">
      <w:pPr>
        <w:pStyle w:val="Title"/>
        <w:widowControl w:val="0"/>
        <w:spacing w:before="160" w:line="240" w:lineRule="auto"/>
        <w:jc w:val="center"/>
        <w:rPr>
          <w:color w:val="726C61"/>
          <w:sz w:val="24"/>
          <w:szCs w:val="24"/>
        </w:rPr>
      </w:pPr>
      <w:bookmarkStart w:id="2" w:name="_6adccy9rhbda" w:colFirst="0" w:colLast="0"/>
      <w:bookmarkEnd w:id="2"/>
      <w:r>
        <w:rPr>
          <w:sz w:val="60"/>
          <w:szCs w:val="60"/>
        </w:rPr>
        <w:t>Let’s Get Started!</w:t>
      </w:r>
    </w:p>
    <w:p w14:paraId="3FEA151C" w14:textId="77777777" w:rsidR="00E6396C" w:rsidRDefault="00000000">
      <w:pPr>
        <w:widowControl w:val="0"/>
        <w:numPr>
          <w:ilvl w:val="0"/>
          <w:numId w:val="2"/>
        </w:numPr>
        <w:spacing w:before="160" w:line="240" w:lineRule="auto"/>
        <w:jc w:val="center"/>
        <w:rPr>
          <w:color w:val="726C61"/>
          <w:sz w:val="24"/>
          <w:szCs w:val="24"/>
        </w:rPr>
      </w:pPr>
      <w:r>
        <w:rPr>
          <w:b/>
          <w:bCs/>
          <w:color w:val="726C61"/>
          <w:sz w:val="24"/>
          <w:szCs w:val="24"/>
        </w:rPr>
        <w:t xml:space="preserve">Get familiar with </w:t>
      </w:r>
      <w:proofErr w:type="spellStart"/>
      <w:r>
        <w:rPr>
          <w:b/>
          <w:bCs/>
          <w:color w:val="726C61"/>
          <w:sz w:val="24"/>
          <w:szCs w:val="24"/>
        </w:rPr>
        <w:t>GlobalGiving’s</w:t>
      </w:r>
      <w:proofErr w:type="spellEnd"/>
      <w:r>
        <w:rPr>
          <w:b/>
          <w:bCs/>
          <w:color w:val="726C61"/>
          <w:sz w:val="24"/>
          <w:szCs w:val="24"/>
        </w:rPr>
        <w:t xml:space="preserve"> project page format by </w:t>
      </w:r>
      <w:hyperlink r:id="rId8">
        <w:r w:rsidR="00E6396C">
          <w:rPr>
            <w:b/>
            <w:bCs/>
            <w:color w:val="1155CC"/>
            <w:sz w:val="24"/>
            <w:szCs w:val="24"/>
            <w:u w:val="single"/>
          </w:rPr>
          <w:t>finding three projects</w:t>
        </w:r>
      </w:hyperlink>
      <w:r>
        <w:rPr>
          <w:b/>
          <w:bCs/>
          <w:color w:val="726C61"/>
          <w:sz w:val="24"/>
          <w:szCs w:val="24"/>
        </w:rPr>
        <w:t xml:space="preserve"> you would support if you were a donor.</w:t>
      </w:r>
      <w:r>
        <w:rPr>
          <w:color w:val="726C61"/>
          <w:sz w:val="24"/>
          <w:szCs w:val="24"/>
        </w:rPr>
        <w:t xml:space="preserve"> We encourage you to filter by “Location” and “Theme” to streamline your exploration. This first step aims to familiarize you with the project page format and help you understand what potential donors see when they visit </w:t>
      </w:r>
      <w:proofErr w:type="spellStart"/>
      <w:r>
        <w:rPr>
          <w:color w:val="726C61"/>
          <w:sz w:val="24"/>
          <w:szCs w:val="24"/>
        </w:rPr>
        <w:t>GlobalGiving</w:t>
      </w:r>
      <w:proofErr w:type="spellEnd"/>
      <w:r>
        <w:rPr>
          <w:color w:val="726C61"/>
          <w:sz w:val="24"/>
          <w:szCs w:val="24"/>
        </w:rPr>
        <w:t xml:space="preserve">. </w:t>
      </w:r>
    </w:p>
    <w:p w14:paraId="12389FE7" w14:textId="77777777" w:rsidR="00E6396C" w:rsidRDefault="00E6396C">
      <w:pPr>
        <w:widowControl w:val="0"/>
        <w:spacing w:before="160" w:line="240" w:lineRule="auto"/>
        <w:ind w:left="720"/>
        <w:jc w:val="center"/>
        <w:rPr>
          <w:color w:val="726C61"/>
          <w:sz w:val="24"/>
          <w:szCs w:val="24"/>
        </w:rPr>
      </w:pPr>
    </w:p>
    <w:p w14:paraId="215B1465" w14:textId="77777777" w:rsidR="00E6396C" w:rsidRDefault="00000000">
      <w:pPr>
        <w:widowControl w:val="0"/>
        <w:numPr>
          <w:ilvl w:val="0"/>
          <w:numId w:val="2"/>
        </w:numPr>
        <w:spacing w:before="160" w:line="240" w:lineRule="auto"/>
        <w:jc w:val="center"/>
        <w:rPr>
          <w:color w:val="726C61"/>
          <w:sz w:val="24"/>
          <w:szCs w:val="24"/>
        </w:rPr>
      </w:pPr>
      <w:r>
        <w:rPr>
          <w:b/>
          <w:bCs/>
          <w:color w:val="726C61"/>
          <w:sz w:val="24"/>
          <w:szCs w:val="24"/>
        </w:rPr>
        <w:t>Review the “Tell Your Story” content (page 2) to help you complete the Storytelling Worksheet (pages 3-5).</w:t>
      </w:r>
      <w:r>
        <w:rPr>
          <w:color w:val="726C61"/>
          <w:sz w:val="24"/>
          <w:szCs w:val="24"/>
        </w:rPr>
        <w:t xml:space="preserve"> We hope this worksheet will help you outline a project you hope to fundraise for soon. Ideally, the project you feature in the worksheet is the first project you wish to fundraise on </w:t>
      </w:r>
      <w:proofErr w:type="spellStart"/>
      <w:r>
        <w:rPr>
          <w:color w:val="726C61"/>
          <w:sz w:val="24"/>
          <w:szCs w:val="24"/>
        </w:rPr>
        <w:t>GlobalGiving</w:t>
      </w:r>
      <w:proofErr w:type="spellEnd"/>
      <w:r>
        <w:rPr>
          <w:color w:val="726C61"/>
          <w:sz w:val="24"/>
          <w:szCs w:val="24"/>
        </w:rPr>
        <w:t xml:space="preserve"> to save yourself some time and effort. However, you are not limited to one project once you're a </w:t>
      </w:r>
      <w:proofErr w:type="spellStart"/>
      <w:r>
        <w:rPr>
          <w:color w:val="726C61"/>
          <w:sz w:val="24"/>
          <w:szCs w:val="24"/>
        </w:rPr>
        <w:t>GlobalGiving</w:t>
      </w:r>
      <w:proofErr w:type="spellEnd"/>
      <w:r>
        <w:rPr>
          <w:color w:val="726C61"/>
          <w:sz w:val="24"/>
          <w:szCs w:val="24"/>
        </w:rPr>
        <w:t xml:space="preserve"> partner. </w:t>
      </w:r>
    </w:p>
    <w:p w14:paraId="3E2A385D" w14:textId="77777777" w:rsidR="00E6396C" w:rsidRDefault="00E6396C">
      <w:pPr>
        <w:widowControl w:val="0"/>
        <w:spacing w:before="160" w:line="240" w:lineRule="auto"/>
        <w:jc w:val="center"/>
        <w:rPr>
          <w:color w:val="726C61"/>
          <w:sz w:val="24"/>
          <w:szCs w:val="24"/>
        </w:rPr>
      </w:pPr>
    </w:p>
    <w:p w14:paraId="74C1212C" w14:textId="77777777" w:rsidR="00E6396C" w:rsidRDefault="00000000">
      <w:pPr>
        <w:widowControl w:val="0"/>
        <w:numPr>
          <w:ilvl w:val="0"/>
          <w:numId w:val="2"/>
        </w:numPr>
        <w:spacing w:before="160" w:line="240" w:lineRule="auto"/>
        <w:jc w:val="center"/>
        <w:rPr>
          <w:color w:val="726C61"/>
          <w:sz w:val="24"/>
          <w:szCs w:val="24"/>
        </w:rPr>
      </w:pPr>
      <w:r>
        <w:rPr>
          <w:b/>
          <w:bCs/>
          <w:color w:val="726C61"/>
          <w:sz w:val="24"/>
          <w:szCs w:val="24"/>
        </w:rPr>
        <w:t>Submit your completed worksheet</w:t>
      </w:r>
      <w:r>
        <w:rPr>
          <w:b/>
          <w:bCs/>
        </w:rPr>
        <w:t xml:space="preserve"> </w:t>
      </w:r>
      <w:hyperlink r:id="rId9">
        <w:r w:rsidR="00E6396C">
          <w:rPr>
            <w:b/>
            <w:bCs/>
            <w:color w:val="1155CC"/>
            <w:u w:val="single"/>
          </w:rPr>
          <w:t>USING THIS FORM</w:t>
        </w:r>
      </w:hyperlink>
      <w:r>
        <w:rPr>
          <w:b/>
          <w:bCs/>
          <w:color w:val="726C61"/>
          <w:sz w:val="24"/>
          <w:szCs w:val="24"/>
        </w:rPr>
        <w:t xml:space="preserve"> by Friday, Feb. 27 </w:t>
      </w:r>
      <w:r>
        <w:rPr>
          <w:color w:val="726C61"/>
          <w:sz w:val="24"/>
          <w:szCs w:val="24"/>
        </w:rPr>
        <w:t xml:space="preserve">to access </w:t>
      </w:r>
      <w:proofErr w:type="spellStart"/>
      <w:r>
        <w:rPr>
          <w:color w:val="726C61"/>
          <w:sz w:val="24"/>
          <w:szCs w:val="24"/>
        </w:rPr>
        <w:t>GlobalGiving’s</w:t>
      </w:r>
      <w:proofErr w:type="spellEnd"/>
      <w:r>
        <w:rPr>
          <w:color w:val="726C61"/>
          <w:sz w:val="24"/>
          <w:szCs w:val="24"/>
        </w:rPr>
        <w:t xml:space="preserve"> due diligence application. </w:t>
      </w:r>
    </w:p>
    <w:p w14:paraId="30228993" w14:textId="77777777" w:rsidR="00E6396C" w:rsidRDefault="00E6396C">
      <w:pPr>
        <w:widowControl w:val="0"/>
        <w:spacing w:before="160" w:line="240" w:lineRule="auto"/>
        <w:jc w:val="center"/>
        <w:rPr>
          <w:color w:val="726C61"/>
          <w:sz w:val="24"/>
          <w:szCs w:val="24"/>
        </w:rPr>
      </w:pPr>
    </w:p>
    <w:p w14:paraId="38049828" w14:textId="77777777" w:rsidR="00E6396C" w:rsidRDefault="00E6396C">
      <w:pPr>
        <w:widowControl w:val="0"/>
        <w:spacing w:before="160" w:line="240" w:lineRule="auto"/>
        <w:jc w:val="center"/>
        <w:rPr>
          <w:color w:val="726C61"/>
          <w:sz w:val="24"/>
          <w:szCs w:val="24"/>
        </w:rPr>
      </w:pPr>
    </w:p>
    <w:p w14:paraId="234E0283" w14:textId="77777777" w:rsidR="00E6396C" w:rsidRDefault="00E6396C">
      <w:pPr>
        <w:widowControl w:val="0"/>
        <w:spacing w:before="160" w:line="240" w:lineRule="auto"/>
        <w:jc w:val="center"/>
        <w:rPr>
          <w:b/>
          <w:bCs/>
          <w:color w:val="726C61"/>
          <w:sz w:val="24"/>
          <w:szCs w:val="24"/>
        </w:rPr>
      </w:pPr>
    </w:p>
    <w:p w14:paraId="02C3161D" w14:textId="77777777" w:rsidR="00E6396C" w:rsidRDefault="00E6396C">
      <w:pPr>
        <w:widowControl w:val="0"/>
        <w:spacing w:before="160" w:line="240" w:lineRule="auto"/>
        <w:jc w:val="center"/>
        <w:rPr>
          <w:b/>
          <w:bCs/>
          <w:color w:val="726C61"/>
          <w:sz w:val="24"/>
          <w:szCs w:val="24"/>
        </w:rPr>
      </w:pPr>
    </w:p>
    <w:p w14:paraId="113404B2" w14:textId="77777777" w:rsidR="00E6396C" w:rsidRDefault="00E6396C">
      <w:pPr>
        <w:widowControl w:val="0"/>
        <w:spacing w:before="160" w:line="240" w:lineRule="auto"/>
        <w:jc w:val="center"/>
        <w:rPr>
          <w:b/>
          <w:bCs/>
          <w:color w:val="726C61"/>
          <w:sz w:val="24"/>
          <w:szCs w:val="24"/>
        </w:rPr>
      </w:pPr>
    </w:p>
    <w:p w14:paraId="13A4CFF3" w14:textId="77777777" w:rsidR="00E6396C" w:rsidRDefault="00E6396C">
      <w:pPr>
        <w:widowControl w:val="0"/>
        <w:spacing w:before="160" w:line="240" w:lineRule="auto"/>
        <w:rPr>
          <w:b/>
          <w:bCs/>
          <w:color w:val="726C61"/>
          <w:sz w:val="24"/>
          <w:szCs w:val="24"/>
        </w:rPr>
      </w:pPr>
    </w:p>
    <w:p w14:paraId="34CA58FF" w14:textId="77777777" w:rsidR="00E6396C" w:rsidRDefault="00000000">
      <w:pPr>
        <w:widowControl w:val="0"/>
        <w:spacing w:before="160" w:line="240" w:lineRule="auto"/>
        <w:jc w:val="center"/>
        <w:rPr>
          <w:rFonts w:ascii="Aleo" w:eastAsia="Aleo" w:hAnsi="Aleo" w:cs="Aleo"/>
          <w:color w:val="F08B1D"/>
          <w:sz w:val="60"/>
          <w:szCs w:val="60"/>
        </w:rPr>
      </w:pPr>
      <w:r>
        <w:rPr>
          <w:rFonts w:ascii="Aleo" w:eastAsia="Aleo" w:hAnsi="Aleo" w:cs="Aleo"/>
          <w:color w:val="F08B1D"/>
          <w:sz w:val="60"/>
          <w:szCs w:val="60"/>
        </w:rPr>
        <w:t xml:space="preserve">Tell Your Story </w:t>
      </w:r>
    </w:p>
    <w:p w14:paraId="51C4FF8F" w14:textId="77777777" w:rsidR="00E6396C" w:rsidRDefault="00E6396C"/>
    <w:p w14:paraId="0D8CF163" w14:textId="77777777" w:rsidR="00E6396C" w:rsidRDefault="00000000">
      <w:r>
        <w:t xml:space="preserve">Donors are more likely to support your work when they understand how you will channel their generosity to make a difference. Good storytelling is essential to your sustainable fundraising strategy because it keeps people giving! </w:t>
      </w:r>
    </w:p>
    <w:p w14:paraId="73150DAC" w14:textId="77777777" w:rsidR="00E6396C" w:rsidRDefault="00E6396C"/>
    <w:p w14:paraId="09BA6DDB" w14:textId="77777777" w:rsidR="00E6396C" w:rsidRDefault="00000000">
      <w:pPr>
        <w:rPr>
          <w:b/>
          <w:bCs/>
          <w:sz w:val="34"/>
          <w:szCs w:val="34"/>
        </w:rPr>
      </w:pPr>
      <w:r>
        <w:rPr>
          <w:b/>
          <w:bCs/>
          <w:sz w:val="34"/>
          <w:szCs w:val="34"/>
        </w:rPr>
        <w:t>Key Lessons</w:t>
      </w:r>
    </w:p>
    <w:p w14:paraId="50153377" w14:textId="77777777" w:rsidR="00E6396C" w:rsidRDefault="00E6396C"/>
    <w:p w14:paraId="58642BF4" w14:textId="77777777" w:rsidR="00E6396C" w:rsidRDefault="00000000">
      <w:pPr>
        <w:numPr>
          <w:ilvl w:val="0"/>
          <w:numId w:val="1"/>
        </w:numPr>
      </w:pPr>
      <w:r>
        <w:t xml:space="preserve">Inspire connection through personal storytelling. The people closest to the problem community members and/or staff) are often the most influential storytellers. Here is a </w:t>
      </w:r>
      <w:hyperlink r:id="rId10">
        <w:r w:rsidR="00E6396C">
          <w:rPr>
            <w:b/>
            <w:bCs/>
            <w:color w:val="1155CC"/>
            <w:u w:val="single"/>
          </w:rPr>
          <w:t>downloadable checklist to master the basics of nonprofit storytelling</w:t>
        </w:r>
      </w:hyperlink>
      <w:r>
        <w:t xml:space="preserve">. </w:t>
      </w:r>
    </w:p>
    <w:p w14:paraId="15F713AC" w14:textId="77777777" w:rsidR="00E6396C" w:rsidRDefault="00E6396C"/>
    <w:p w14:paraId="42BA73C4" w14:textId="77777777" w:rsidR="00E6396C" w:rsidRDefault="00000000">
      <w:pPr>
        <w:numPr>
          <w:ilvl w:val="0"/>
          <w:numId w:val="4"/>
        </w:numPr>
      </w:pPr>
      <w:r>
        <w:t>Talk about impact in terms of transformation. Combine data, photographs, and individual stories to show rather than tell how things have changed because of your work.</w:t>
      </w:r>
    </w:p>
    <w:p w14:paraId="05F80E95" w14:textId="77777777" w:rsidR="00E6396C" w:rsidRDefault="00E6396C"/>
    <w:p w14:paraId="18541E95" w14:textId="77777777" w:rsidR="00E6396C" w:rsidRDefault="00000000">
      <w:pPr>
        <w:numPr>
          <w:ilvl w:val="0"/>
          <w:numId w:val="3"/>
        </w:numPr>
      </w:pPr>
      <w:r>
        <w:t xml:space="preserve">Portray your community with dignity and strength to inspire empathy and connection rather than pity. Choose photos that show the positive impact that you are making and leave out images of despair. We encourage you to review the </w:t>
      </w:r>
      <w:hyperlink r:id="rId11">
        <w:proofErr w:type="spellStart"/>
        <w:r w:rsidR="00E6396C">
          <w:rPr>
            <w:b/>
            <w:bCs/>
            <w:color w:val="1155CC"/>
            <w:u w:val="single"/>
          </w:rPr>
          <w:t>GlobalGiving</w:t>
        </w:r>
        <w:proofErr w:type="spellEnd"/>
        <w:r w:rsidR="00E6396C">
          <w:rPr>
            <w:b/>
            <w:bCs/>
            <w:color w:val="1155CC"/>
            <w:u w:val="single"/>
          </w:rPr>
          <w:t xml:space="preserve"> Community Photo Standards</w:t>
        </w:r>
      </w:hyperlink>
      <w:r>
        <w:t xml:space="preserve">. </w:t>
      </w:r>
    </w:p>
    <w:p w14:paraId="6E25F34C" w14:textId="77777777" w:rsidR="00E6396C" w:rsidRDefault="00E6396C">
      <w:pPr>
        <w:ind w:left="720"/>
      </w:pPr>
    </w:p>
    <w:p w14:paraId="40F39B27" w14:textId="77777777" w:rsidR="00E6396C" w:rsidRDefault="00E6396C">
      <w:pPr>
        <w:numPr>
          <w:ilvl w:val="0"/>
          <w:numId w:val="3"/>
        </w:numPr>
      </w:pPr>
      <w:hyperlink r:id="rId12">
        <w:r>
          <w:rPr>
            <w:b/>
            <w:bCs/>
            <w:color w:val="1155CC"/>
            <w:u w:val="single"/>
          </w:rPr>
          <w:t>Watch this 3-minute video</w:t>
        </w:r>
      </w:hyperlink>
      <w:r>
        <w:t xml:space="preserve"> to hear how </w:t>
      </w:r>
      <w:proofErr w:type="spellStart"/>
      <w:r>
        <w:t>GlobalGiving</w:t>
      </w:r>
      <w:proofErr w:type="spellEnd"/>
      <w:r>
        <w:t xml:space="preserve"> community leaders inspire donors through storytelling!</w:t>
      </w:r>
    </w:p>
    <w:p w14:paraId="5C93FA69" w14:textId="77777777" w:rsidR="00E6396C" w:rsidRDefault="00E6396C"/>
    <w:p w14:paraId="33FA86C8" w14:textId="77777777" w:rsidR="00E6396C" w:rsidRDefault="00E6396C"/>
    <w:p w14:paraId="2D116B11" w14:textId="77777777" w:rsidR="00E6396C" w:rsidRDefault="00E6396C">
      <w:pPr>
        <w:spacing w:before="240" w:after="240"/>
        <w:rPr>
          <w:b/>
          <w:bCs/>
          <w:color w:val="1155CC"/>
          <w:u w:val="single"/>
        </w:rPr>
      </w:pPr>
    </w:p>
    <w:p w14:paraId="10453ECD" w14:textId="77777777" w:rsidR="00E6396C" w:rsidRDefault="00E6396C">
      <w:pPr>
        <w:rPr>
          <w:b/>
          <w:bCs/>
        </w:rPr>
      </w:pPr>
    </w:p>
    <w:p w14:paraId="4B86E6DC" w14:textId="77777777" w:rsidR="00E6396C" w:rsidRDefault="00E6396C">
      <w:pPr>
        <w:rPr>
          <w:b/>
          <w:bCs/>
        </w:rPr>
      </w:pPr>
    </w:p>
    <w:p w14:paraId="11535C18" w14:textId="77777777" w:rsidR="00E6396C" w:rsidRDefault="00E6396C">
      <w:pPr>
        <w:rPr>
          <w:b/>
          <w:bCs/>
        </w:rPr>
      </w:pPr>
    </w:p>
    <w:p w14:paraId="4600B3D9" w14:textId="77777777" w:rsidR="00E6396C" w:rsidRDefault="00E6396C">
      <w:pPr>
        <w:rPr>
          <w:b/>
          <w:bCs/>
        </w:rPr>
      </w:pPr>
    </w:p>
    <w:p w14:paraId="24006F57" w14:textId="77777777" w:rsidR="00E6396C" w:rsidRDefault="00000000">
      <w:pPr>
        <w:pStyle w:val="Heading1"/>
        <w:widowControl w:val="0"/>
        <w:spacing w:before="160" w:line="240" w:lineRule="auto"/>
      </w:pPr>
      <w:bookmarkStart w:id="3" w:name="_g9pxeu6fsaud" w:colFirst="0" w:colLast="0"/>
      <w:bookmarkEnd w:id="3"/>
      <w:r>
        <w:rPr>
          <w:noProof/>
          <w:color w:val="6AA84F"/>
        </w:rPr>
        <w:lastRenderedPageBreak/>
        <w:drawing>
          <wp:inline distT="114300" distB="114300" distL="114300" distR="114300" wp14:anchorId="727DD5CC" wp14:editId="607FE141">
            <wp:extent cx="461963" cy="4619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61963" cy="461963"/>
                    </a:xfrm>
                    <a:prstGeom prst="rect">
                      <a:avLst/>
                    </a:prstGeom>
                    <a:ln/>
                  </pic:spPr>
                </pic:pic>
              </a:graphicData>
            </a:graphic>
          </wp:inline>
        </w:drawing>
      </w:r>
      <w:r>
        <w:rPr>
          <w:color w:val="6AA84F"/>
        </w:rPr>
        <w:t xml:space="preserve">   </w:t>
      </w:r>
      <w:r>
        <w:rPr>
          <w:color w:val="9FA617"/>
        </w:rPr>
        <w:t>Tell Our Story</w:t>
      </w:r>
    </w:p>
    <w:p w14:paraId="3FBC1879" w14:textId="77777777" w:rsidR="00E6396C" w:rsidRDefault="00E6396C">
      <w:pPr>
        <w:widowControl w:val="0"/>
        <w:spacing w:before="160" w:line="240" w:lineRule="auto"/>
        <w:rPr>
          <w:color w:val="726C61"/>
        </w:rPr>
      </w:pPr>
    </w:p>
    <w:tbl>
      <w:tblPr>
        <w:tblStyle w:val="a"/>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E6396C" w14:paraId="301C0AB9" w14:textId="77777777">
        <w:trPr>
          <w:trHeight w:val="597"/>
          <w:jc w:val="center"/>
        </w:trPr>
        <w:tc>
          <w:tcPr>
            <w:tcW w:w="9360" w:type="dxa"/>
            <w:gridSpan w:val="3"/>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14:paraId="2E03B8D1" w14:textId="77777777" w:rsidR="00E6396C" w:rsidRDefault="00000000">
            <w:pPr>
              <w:widowControl w:val="0"/>
              <w:spacing w:line="240" w:lineRule="auto"/>
              <w:rPr>
                <w:rFonts w:ascii="Aleo" w:eastAsia="Aleo" w:hAnsi="Aleo" w:cs="Aleo"/>
                <w:b/>
                <w:bCs/>
                <w:color w:val="FFFFFF"/>
                <w:sz w:val="36"/>
                <w:szCs w:val="36"/>
              </w:rPr>
            </w:pPr>
            <w:r>
              <w:rPr>
                <w:rFonts w:ascii="Aleo" w:eastAsia="Aleo" w:hAnsi="Aleo" w:cs="Aleo"/>
                <w:b/>
                <w:bCs/>
                <w:color w:val="FFFFFF"/>
                <w:sz w:val="36"/>
                <w:szCs w:val="36"/>
              </w:rPr>
              <w:t xml:space="preserve">Project Title: </w:t>
            </w:r>
          </w:p>
          <w:p w14:paraId="5FD6021D" w14:textId="333885B7" w:rsidR="00E6396C" w:rsidRDefault="00000000">
            <w:pPr>
              <w:widowControl w:val="0"/>
              <w:spacing w:line="240" w:lineRule="auto"/>
              <w:rPr>
                <w:i/>
                <w:iCs/>
                <w:color w:val="FFFFFF"/>
                <w:sz w:val="18"/>
                <w:szCs w:val="18"/>
              </w:rPr>
            </w:pPr>
            <w:r>
              <w:rPr>
                <w:i/>
                <w:iCs/>
                <w:color w:val="FFFFFF"/>
                <w:sz w:val="18"/>
                <w:szCs w:val="18"/>
              </w:rPr>
              <w:t xml:space="preserve">Recommended 50 character maximum, start with a verb </w:t>
            </w:r>
            <w:r w:rsidR="00E56195">
              <w:rPr>
                <w:b/>
                <w:bCs/>
                <w:i/>
                <w:iCs/>
                <w:color w:val="FFFFFF"/>
                <w:sz w:val="18"/>
                <w:szCs w:val="18"/>
              </w:rPr>
              <w:t xml:space="preserve">; </w:t>
            </w:r>
            <w:r w:rsidR="00007E04">
              <w:rPr>
                <w:b/>
                <w:bCs/>
                <w:i/>
                <w:iCs/>
                <w:color w:val="FFFFFF"/>
                <w:sz w:val="18"/>
                <w:szCs w:val="18"/>
              </w:rPr>
              <w:t xml:space="preserve"> </w:t>
            </w:r>
            <w:r w:rsidR="00007E04">
              <w:rPr>
                <w:i/>
                <w:iCs/>
                <w:color w:val="FFFFFF"/>
                <w:sz w:val="18"/>
                <w:szCs w:val="18"/>
              </w:rPr>
              <w:t xml:space="preserve"> </w:t>
            </w:r>
            <w:r w:rsidR="00E56195" w:rsidRPr="00E56195">
              <w:rPr>
                <w:b/>
                <w:bCs/>
                <w:i/>
                <w:iCs/>
                <w:color w:val="FFFFFF"/>
              </w:rPr>
              <w:t>ENHANCE: Menstrual Dignity &amp; Education</w:t>
            </w:r>
          </w:p>
        </w:tc>
      </w:tr>
      <w:tr w:rsidR="00E6396C" w14:paraId="7BD422FC" w14:textId="77777777">
        <w:trPr>
          <w:trHeight w:val="420"/>
          <w:jc w:val="center"/>
        </w:trPr>
        <w:tc>
          <w:tcPr>
            <w:tcW w:w="9360" w:type="dxa"/>
            <w:gridSpan w:val="3"/>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3ED41C2C" w14:textId="77777777" w:rsidR="00E6396C" w:rsidRPr="00007E04" w:rsidRDefault="00000000">
            <w:pPr>
              <w:widowControl w:val="0"/>
              <w:spacing w:line="240" w:lineRule="auto"/>
              <w:rPr>
                <w:i/>
                <w:iCs/>
                <w:color w:val="27313E"/>
                <w:sz w:val="16"/>
                <w:szCs w:val="16"/>
              </w:rPr>
            </w:pPr>
            <w:r w:rsidRPr="00007E04">
              <w:rPr>
                <w:color w:val="27313E"/>
                <w:sz w:val="16"/>
                <w:szCs w:val="16"/>
              </w:rPr>
              <w:t xml:space="preserve">Summary: </w:t>
            </w:r>
            <w:r w:rsidRPr="00007E04">
              <w:rPr>
                <w:i/>
                <w:iCs/>
                <w:color w:val="27313E"/>
                <w:sz w:val="16"/>
                <w:szCs w:val="16"/>
              </w:rPr>
              <w:t>What will this project do?</w:t>
            </w:r>
          </w:p>
          <w:p w14:paraId="223EBB99" w14:textId="77777777" w:rsidR="00E6396C" w:rsidRPr="00007E04" w:rsidRDefault="00E6396C">
            <w:pPr>
              <w:widowControl w:val="0"/>
              <w:spacing w:line="240" w:lineRule="auto"/>
              <w:rPr>
                <w:color w:val="27313E"/>
                <w:sz w:val="16"/>
                <w:szCs w:val="16"/>
              </w:rPr>
            </w:pPr>
          </w:p>
          <w:p w14:paraId="40AF0498" w14:textId="0E8FBD99" w:rsidR="00007E04" w:rsidRPr="00007E04" w:rsidRDefault="00C7726C">
            <w:pPr>
              <w:widowControl w:val="0"/>
              <w:spacing w:line="240" w:lineRule="auto"/>
              <w:rPr>
                <w:color w:val="27313E"/>
                <w:sz w:val="16"/>
                <w:szCs w:val="16"/>
              </w:rPr>
            </w:pPr>
            <w:r w:rsidRPr="00C7726C">
              <w:rPr>
                <w:color w:val="27313E"/>
                <w:sz w:val="16"/>
                <w:szCs w:val="16"/>
              </w:rPr>
              <w:t>Menstrual health remains neglected in Trincomalee due to stigma, limited access to affordable menstrual products, inadequate sanitation, and weak local implementation of national policies. RECDO will strengthen community-led engagement with local authorities to integrate menstrual health into planning, budgeting, and accountability systems. The project empowers women, youth, schools, and health stakeholders to improve menstrual health governance and create a scalable model for inclusive public-health action.</w:t>
            </w:r>
          </w:p>
          <w:p w14:paraId="5BAFA184" w14:textId="77777777" w:rsidR="00E6396C" w:rsidRPr="00007E04" w:rsidRDefault="00000000">
            <w:pPr>
              <w:widowControl w:val="0"/>
              <w:spacing w:line="240" w:lineRule="auto"/>
              <w:rPr>
                <w:i/>
                <w:iCs/>
                <w:color w:val="27313E"/>
                <w:sz w:val="16"/>
                <w:szCs w:val="16"/>
              </w:rPr>
            </w:pPr>
            <w:r w:rsidRPr="00007E04">
              <w:rPr>
                <w:i/>
                <w:iCs/>
                <w:color w:val="27313E"/>
                <w:sz w:val="16"/>
                <w:szCs w:val="16"/>
              </w:rPr>
              <w:t>Recommended 500 character maximum</w:t>
            </w:r>
          </w:p>
        </w:tc>
      </w:tr>
      <w:tr w:rsidR="00E6396C" w14:paraId="27810FE0" w14:textId="77777777">
        <w:trPr>
          <w:trHeight w:val="420"/>
          <w:jc w:val="center"/>
        </w:trPr>
        <w:tc>
          <w:tcPr>
            <w:tcW w:w="9360" w:type="dxa"/>
            <w:gridSpan w:val="3"/>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144F1C2E" w14:textId="77777777" w:rsidR="00E6396C" w:rsidRDefault="00000000">
            <w:pPr>
              <w:widowControl w:val="0"/>
              <w:spacing w:line="240" w:lineRule="auto"/>
              <w:rPr>
                <w:i/>
                <w:iCs/>
                <w:color w:val="27313E"/>
                <w:sz w:val="24"/>
                <w:szCs w:val="24"/>
              </w:rPr>
            </w:pPr>
            <w:r>
              <w:rPr>
                <w:b/>
                <w:bCs/>
                <w:color w:val="27313E"/>
                <w:sz w:val="28"/>
                <w:szCs w:val="28"/>
              </w:rPr>
              <w:t xml:space="preserve">Funding Amount/Goal: </w:t>
            </w:r>
            <w:r>
              <w:rPr>
                <w:i/>
                <w:iCs/>
                <w:color w:val="27313E"/>
                <w:sz w:val="24"/>
                <w:szCs w:val="24"/>
              </w:rPr>
              <w:t xml:space="preserve">How much money do you hope to raise (in USD)? </w:t>
            </w:r>
          </w:p>
          <w:p w14:paraId="39F8C34A" w14:textId="3422C5ED" w:rsidR="00E6396C" w:rsidRDefault="00C7726C" w:rsidP="00FD4921">
            <w:pPr>
              <w:widowControl w:val="0"/>
              <w:spacing w:line="240" w:lineRule="auto"/>
              <w:jc w:val="center"/>
              <w:rPr>
                <w:i/>
                <w:iCs/>
                <w:color w:val="27313E"/>
                <w:sz w:val="24"/>
                <w:szCs w:val="24"/>
              </w:rPr>
            </w:pPr>
            <w:r>
              <w:rPr>
                <w:i/>
                <w:iCs/>
                <w:color w:val="27313E"/>
                <w:sz w:val="24"/>
                <w:szCs w:val="24"/>
              </w:rPr>
              <w:t>40000</w:t>
            </w:r>
            <w:r w:rsidR="00FD4921">
              <w:rPr>
                <w:i/>
                <w:iCs/>
                <w:color w:val="27313E"/>
                <w:sz w:val="24"/>
                <w:szCs w:val="24"/>
              </w:rPr>
              <w:t xml:space="preserve"> USD</w:t>
            </w:r>
          </w:p>
          <w:p w14:paraId="1768B8AA" w14:textId="77777777" w:rsidR="00E6396C" w:rsidRDefault="00E6396C">
            <w:pPr>
              <w:widowControl w:val="0"/>
              <w:spacing w:line="240" w:lineRule="auto"/>
              <w:rPr>
                <w:i/>
                <w:iCs/>
                <w:color w:val="27313E"/>
                <w:sz w:val="24"/>
                <w:szCs w:val="24"/>
              </w:rPr>
            </w:pPr>
          </w:p>
        </w:tc>
      </w:tr>
      <w:tr w:rsidR="00E6396C" w14:paraId="5421D5EF" w14:textId="77777777" w:rsidTr="00FD4921">
        <w:trPr>
          <w:trHeight w:val="2238"/>
          <w:jc w:val="center"/>
        </w:trPr>
        <w:tc>
          <w:tcPr>
            <w:tcW w:w="3120" w:type="dxa"/>
            <w:tcBorders>
              <w:top w:val="single" w:sz="8" w:space="0" w:color="6AA84F"/>
              <w:left w:val="single" w:sz="8" w:space="0" w:color="6AA84F"/>
              <w:bottom w:val="single" w:sz="8" w:space="0" w:color="6AA84F"/>
              <w:right w:val="single" w:sz="8" w:space="0" w:color="6AA84F"/>
            </w:tcBorders>
            <w:tcMar>
              <w:top w:w="100" w:type="dxa"/>
              <w:left w:w="100" w:type="dxa"/>
              <w:bottom w:w="100" w:type="dxa"/>
              <w:right w:w="100" w:type="dxa"/>
            </w:tcMar>
          </w:tcPr>
          <w:p w14:paraId="1D4ACE1B" w14:textId="77777777" w:rsidR="00E6396C" w:rsidRDefault="00000000">
            <w:pPr>
              <w:widowControl w:val="0"/>
              <w:pBdr>
                <w:top w:val="nil"/>
                <w:left w:val="nil"/>
                <w:bottom w:val="nil"/>
                <w:right w:val="nil"/>
                <w:between w:val="nil"/>
              </w:pBdr>
              <w:spacing w:line="240" w:lineRule="auto"/>
              <w:jc w:val="center"/>
              <w:rPr>
                <w:b/>
                <w:bCs/>
                <w:color w:val="726C61"/>
                <w:sz w:val="28"/>
                <w:szCs w:val="28"/>
              </w:rPr>
            </w:pPr>
            <w:r>
              <w:rPr>
                <w:b/>
                <w:bCs/>
                <w:color w:val="726C61"/>
                <w:sz w:val="28"/>
                <w:szCs w:val="28"/>
              </w:rPr>
              <w:t>Challenge</w:t>
            </w:r>
          </w:p>
          <w:p w14:paraId="59D1B175" w14:textId="77777777" w:rsidR="00E6396C" w:rsidRDefault="00000000">
            <w:pPr>
              <w:widowControl w:val="0"/>
              <w:pBdr>
                <w:top w:val="nil"/>
                <w:left w:val="nil"/>
                <w:bottom w:val="nil"/>
                <w:right w:val="nil"/>
                <w:between w:val="nil"/>
              </w:pBdr>
              <w:spacing w:line="240" w:lineRule="auto"/>
              <w:jc w:val="center"/>
              <w:rPr>
                <w:i/>
                <w:iCs/>
                <w:color w:val="434343"/>
              </w:rPr>
            </w:pPr>
            <w:r>
              <w:rPr>
                <w:i/>
                <w:iCs/>
                <w:color w:val="434343"/>
              </w:rPr>
              <w:t>What is the problem or need?</w:t>
            </w:r>
          </w:p>
          <w:p w14:paraId="2DC9F055" w14:textId="77777777" w:rsidR="00E6396C" w:rsidRDefault="00E6396C">
            <w:pPr>
              <w:widowControl w:val="0"/>
              <w:spacing w:line="240" w:lineRule="auto"/>
              <w:rPr>
                <w:i/>
                <w:iCs/>
                <w:color w:val="27313E"/>
                <w:sz w:val="14"/>
                <w:szCs w:val="14"/>
              </w:rPr>
            </w:pPr>
          </w:p>
          <w:p w14:paraId="067D4E4B" w14:textId="2B192398" w:rsidR="00C7726C" w:rsidRDefault="00C7726C" w:rsidP="002715A5">
            <w:pPr>
              <w:widowControl w:val="0"/>
              <w:spacing w:line="240" w:lineRule="auto"/>
              <w:jc w:val="both"/>
              <w:rPr>
                <w:i/>
                <w:iCs/>
                <w:color w:val="27313E"/>
                <w:sz w:val="14"/>
                <w:szCs w:val="14"/>
              </w:rPr>
            </w:pPr>
            <w:r w:rsidRPr="00C7726C">
              <w:rPr>
                <w:i/>
                <w:iCs/>
                <w:color w:val="27313E"/>
                <w:sz w:val="14"/>
                <w:szCs w:val="14"/>
              </w:rPr>
              <w:t xml:space="preserve">The project addresses limited menstrual health awareness, poor access to affordable menstrual products, inadequate sanitation, and weak local policy implementation in Trincomalee. Stigma and cultural taboos hinder women’s and girls’ health, dignity, education, and inclusion. By strengthening community engagement and local governance, the project will integrate menstrual health into local planning, budgeting, and accountability, making it a </w:t>
            </w:r>
            <w:proofErr w:type="spellStart"/>
            <w:r w:rsidRPr="00C7726C">
              <w:rPr>
                <w:i/>
                <w:iCs/>
                <w:color w:val="27313E"/>
                <w:sz w:val="14"/>
                <w:szCs w:val="14"/>
              </w:rPr>
              <w:t>recognised</w:t>
            </w:r>
            <w:proofErr w:type="spellEnd"/>
            <w:r w:rsidRPr="00C7726C">
              <w:rPr>
                <w:i/>
                <w:iCs/>
                <w:color w:val="27313E"/>
                <w:sz w:val="14"/>
                <w:szCs w:val="14"/>
              </w:rPr>
              <w:t xml:space="preserve"> public health and development priority.</w:t>
            </w:r>
          </w:p>
          <w:p w14:paraId="349332BC" w14:textId="77777777" w:rsidR="00FD4921" w:rsidRDefault="00FD4921">
            <w:pPr>
              <w:widowControl w:val="0"/>
              <w:spacing w:line="240" w:lineRule="auto"/>
              <w:rPr>
                <w:i/>
                <w:iCs/>
                <w:color w:val="27313E"/>
                <w:sz w:val="14"/>
                <w:szCs w:val="14"/>
              </w:rPr>
            </w:pPr>
          </w:p>
          <w:p w14:paraId="3715AEAB" w14:textId="77777777" w:rsidR="00E6396C" w:rsidRDefault="00E6396C">
            <w:pPr>
              <w:widowControl w:val="0"/>
              <w:spacing w:line="240" w:lineRule="auto"/>
              <w:rPr>
                <w:i/>
                <w:iCs/>
                <w:color w:val="27313E"/>
                <w:sz w:val="14"/>
                <w:szCs w:val="14"/>
              </w:rPr>
            </w:pPr>
          </w:p>
          <w:p w14:paraId="55DA9C07" w14:textId="3469AF41" w:rsidR="00E6396C" w:rsidRDefault="00000000">
            <w:pPr>
              <w:widowControl w:val="0"/>
              <w:spacing w:line="240" w:lineRule="auto"/>
              <w:rPr>
                <w:color w:val="726C61"/>
              </w:rPr>
            </w:pPr>
            <w:r>
              <w:rPr>
                <w:i/>
                <w:iCs/>
                <w:color w:val="27313E"/>
                <w:sz w:val="14"/>
                <w:szCs w:val="14"/>
              </w:rPr>
              <w:t>Recommended 500 character maximum</w:t>
            </w:r>
          </w:p>
        </w:tc>
        <w:tc>
          <w:tcPr>
            <w:tcW w:w="3120" w:type="dxa"/>
            <w:tcBorders>
              <w:top w:val="single" w:sz="8" w:space="0" w:color="6AA84F"/>
              <w:left w:val="single" w:sz="8" w:space="0" w:color="6AA84F"/>
              <w:bottom w:val="single" w:sz="8" w:space="0" w:color="6AA84F"/>
              <w:right w:val="single" w:sz="8" w:space="0" w:color="6AA84F"/>
            </w:tcBorders>
            <w:tcMar>
              <w:top w:w="100" w:type="dxa"/>
              <w:left w:w="100" w:type="dxa"/>
              <w:bottom w:w="100" w:type="dxa"/>
              <w:right w:w="100" w:type="dxa"/>
            </w:tcMar>
          </w:tcPr>
          <w:p w14:paraId="3EA0A471" w14:textId="77777777" w:rsidR="00E6396C" w:rsidRDefault="00000000">
            <w:pPr>
              <w:widowControl w:val="0"/>
              <w:pBdr>
                <w:top w:val="nil"/>
                <w:left w:val="nil"/>
                <w:bottom w:val="nil"/>
                <w:right w:val="nil"/>
                <w:between w:val="nil"/>
              </w:pBdr>
              <w:spacing w:line="240" w:lineRule="auto"/>
              <w:jc w:val="center"/>
              <w:rPr>
                <w:b/>
                <w:bCs/>
                <w:color w:val="726C61"/>
                <w:sz w:val="28"/>
                <w:szCs w:val="28"/>
              </w:rPr>
            </w:pPr>
            <w:r>
              <w:rPr>
                <w:b/>
                <w:bCs/>
                <w:color w:val="726C61"/>
                <w:sz w:val="28"/>
                <w:szCs w:val="28"/>
              </w:rPr>
              <w:t>Solution</w:t>
            </w:r>
          </w:p>
          <w:p w14:paraId="33D14C1B" w14:textId="77777777" w:rsidR="00E6396C" w:rsidRDefault="00000000">
            <w:pPr>
              <w:widowControl w:val="0"/>
              <w:spacing w:line="240" w:lineRule="auto"/>
              <w:jc w:val="center"/>
              <w:rPr>
                <w:i/>
                <w:iCs/>
                <w:color w:val="3E4B59"/>
              </w:rPr>
            </w:pPr>
            <w:r>
              <w:rPr>
                <w:i/>
                <w:iCs/>
                <w:color w:val="3E4B59"/>
              </w:rPr>
              <w:t>How will this project solve the problem?</w:t>
            </w:r>
          </w:p>
          <w:p w14:paraId="7F618577" w14:textId="77777777" w:rsidR="00E6396C" w:rsidRDefault="00E6396C">
            <w:pPr>
              <w:widowControl w:val="0"/>
              <w:spacing w:line="240" w:lineRule="auto"/>
              <w:jc w:val="center"/>
              <w:rPr>
                <w:i/>
                <w:iCs/>
                <w:color w:val="27313E"/>
                <w:sz w:val="14"/>
                <w:szCs w:val="14"/>
              </w:rPr>
            </w:pPr>
          </w:p>
          <w:p w14:paraId="4B77F223" w14:textId="76FEE36D" w:rsidR="002715A5" w:rsidRDefault="002715A5" w:rsidP="002715A5">
            <w:pPr>
              <w:widowControl w:val="0"/>
              <w:spacing w:line="240" w:lineRule="auto"/>
              <w:jc w:val="both"/>
              <w:rPr>
                <w:i/>
                <w:iCs/>
                <w:color w:val="27313E"/>
                <w:sz w:val="14"/>
                <w:szCs w:val="14"/>
              </w:rPr>
            </w:pPr>
            <w:r w:rsidRPr="002715A5">
              <w:rPr>
                <w:i/>
                <w:iCs/>
                <w:color w:val="27313E"/>
                <w:sz w:val="14"/>
                <w:szCs w:val="14"/>
              </w:rPr>
              <w:t>The project will empower women, youth, teachers, and local officials through menstrual health and governance training, establish Community Health Forums to strengthen dialogue and accountability, and implement the “Speak Health–Period Pride” campaign to reduce stigma and promote policy change. By partnering with schools, health units, and local authorities, the project will improve community participation, service delivery, budgeting, and implementation of menstrual health initiatives.</w:t>
            </w:r>
          </w:p>
          <w:p w14:paraId="4C674E0E" w14:textId="77777777" w:rsidR="00E6396C" w:rsidRDefault="00E6396C" w:rsidP="00FD4921">
            <w:pPr>
              <w:widowControl w:val="0"/>
              <w:spacing w:line="240" w:lineRule="auto"/>
              <w:rPr>
                <w:i/>
                <w:iCs/>
                <w:color w:val="27313E"/>
                <w:sz w:val="14"/>
                <w:szCs w:val="14"/>
              </w:rPr>
            </w:pPr>
          </w:p>
          <w:p w14:paraId="1EC79AF3" w14:textId="77777777" w:rsidR="00E6396C" w:rsidRDefault="00E6396C">
            <w:pPr>
              <w:widowControl w:val="0"/>
              <w:spacing w:line="240" w:lineRule="auto"/>
              <w:rPr>
                <w:i/>
                <w:iCs/>
                <w:color w:val="27313E"/>
                <w:sz w:val="14"/>
                <w:szCs w:val="14"/>
              </w:rPr>
            </w:pPr>
          </w:p>
          <w:p w14:paraId="6A902BED" w14:textId="77777777" w:rsidR="00E6396C" w:rsidRDefault="00000000">
            <w:pPr>
              <w:widowControl w:val="0"/>
              <w:spacing w:line="240" w:lineRule="auto"/>
              <w:rPr>
                <w:rFonts w:ascii="Open Sans SemiBold" w:eastAsia="Open Sans SemiBold" w:hAnsi="Open Sans SemiBold" w:cs="Open Sans SemiBold"/>
                <w:color w:val="3E4B59"/>
                <w:sz w:val="24"/>
                <w:szCs w:val="24"/>
              </w:rPr>
            </w:pPr>
            <w:r>
              <w:rPr>
                <w:i/>
                <w:iCs/>
                <w:color w:val="27313E"/>
                <w:sz w:val="14"/>
                <w:szCs w:val="14"/>
              </w:rPr>
              <w:t>Recommended 500 character maximum</w:t>
            </w:r>
          </w:p>
        </w:tc>
        <w:tc>
          <w:tcPr>
            <w:tcW w:w="3120" w:type="dxa"/>
            <w:tcBorders>
              <w:top w:val="single" w:sz="8" w:space="0" w:color="6AA84F"/>
              <w:left w:val="single" w:sz="8" w:space="0" w:color="6AA84F"/>
              <w:bottom w:val="single" w:sz="8" w:space="0" w:color="6AA84F"/>
              <w:right w:val="single" w:sz="8" w:space="0" w:color="6AA84F"/>
            </w:tcBorders>
            <w:tcMar>
              <w:top w:w="100" w:type="dxa"/>
              <w:left w:w="100" w:type="dxa"/>
              <w:bottom w:w="100" w:type="dxa"/>
              <w:right w:w="100" w:type="dxa"/>
            </w:tcMar>
          </w:tcPr>
          <w:p w14:paraId="37F20029" w14:textId="77777777" w:rsidR="00E6396C" w:rsidRDefault="00000000">
            <w:pPr>
              <w:widowControl w:val="0"/>
              <w:pBdr>
                <w:top w:val="nil"/>
                <w:left w:val="nil"/>
                <w:bottom w:val="nil"/>
                <w:right w:val="nil"/>
                <w:between w:val="nil"/>
              </w:pBdr>
              <w:spacing w:line="240" w:lineRule="auto"/>
              <w:jc w:val="center"/>
              <w:rPr>
                <w:b/>
                <w:bCs/>
                <w:color w:val="726C61"/>
                <w:sz w:val="28"/>
                <w:szCs w:val="28"/>
              </w:rPr>
            </w:pPr>
            <w:r>
              <w:rPr>
                <w:b/>
                <w:bCs/>
                <w:color w:val="726C61"/>
                <w:sz w:val="28"/>
                <w:szCs w:val="28"/>
              </w:rPr>
              <w:t>Long-Term Impact</w:t>
            </w:r>
          </w:p>
          <w:p w14:paraId="59FCEF4C" w14:textId="77777777" w:rsidR="00E6396C" w:rsidRDefault="00000000">
            <w:pPr>
              <w:widowControl w:val="0"/>
              <w:pBdr>
                <w:top w:val="nil"/>
                <w:left w:val="nil"/>
                <w:bottom w:val="nil"/>
                <w:right w:val="nil"/>
                <w:between w:val="nil"/>
              </w:pBdr>
              <w:spacing w:line="240" w:lineRule="auto"/>
              <w:jc w:val="center"/>
              <w:rPr>
                <w:i/>
                <w:iCs/>
                <w:color w:val="3E4B59"/>
              </w:rPr>
            </w:pPr>
            <w:r>
              <w:rPr>
                <w:i/>
                <w:iCs/>
                <w:color w:val="3E4B59"/>
              </w:rPr>
              <w:t>How will this make a lasting impact in your community?</w:t>
            </w:r>
          </w:p>
          <w:p w14:paraId="7998956E" w14:textId="3AEE7EF8" w:rsidR="002715A5" w:rsidRPr="002715A5" w:rsidRDefault="002715A5" w:rsidP="002715A5">
            <w:pPr>
              <w:widowControl w:val="0"/>
              <w:pBdr>
                <w:top w:val="nil"/>
                <w:left w:val="nil"/>
                <w:bottom w:val="nil"/>
                <w:right w:val="nil"/>
                <w:between w:val="nil"/>
              </w:pBdr>
              <w:spacing w:line="240" w:lineRule="auto"/>
              <w:jc w:val="both"/>
              <w:rPr>
                <w:i/>
                <w:iCs/>
                <w:color w:val="3E4B59"/>
                <w:sz w:val="18"/>
                <w:szCs w:val="18"/>
              </w:rPr>
            </w:pPr>
            <w:r w:rsidRPr="002715A5">
              <w:rPr>
                <w:i/>
                <w:iCs/>
                <w:color w:val="3E4B59"/>
                <w:sz w:val="18"/>
                <w:szCs w:val="18"/>
              </w:rPr>
              <w:t>The project will create lasting impact by strengthening Community Health Forums and partnerships with local authorities, schools, and health services. It will equip women, youth, and community leaders to advocate for menstrual health, influence local planning and budgets, and reduce stigma. By integrating menstrual health into local policies and accountability systems, the project will improve health, gender equality, school attendance, and access to essential services beyond the project period.</w:t>
            </w:r>
          </w:p>
          <w:p w14:paraId="03829AAF" w14:textId="77777777" w:rsidR="00E6396C" w:rsidRDefault="00E6396C">
            <w:pPr>
              <w:widowControl w:val="0"/>
              <w:spacing w:line="240" w:lineRule="auto"/>
              <w:rPr>
                <w:rFonts w:ascii="Open Sans SemiBold" w:eastAsia="Open Sans SemiBold" w:hAnsi="Open Sans SemiBold" w:cs="Open Sans SemiBold"/>
                <w:i/>
                <w:iCs/>
                <w:color w:val="3E4B59"/>
                <w:sz w:val="24"/>
                <w:szCs w:val="24"/>
              </w:rPr>
            </w:pPr>
          </w:p>
          <w:p w14:paraId="2F9287F9" w14:textId="77777777" w:rsidR="008540E9" w:rsidRDefault="008540E9">
            <w:pPr>
              <w:widowControl w:val="0"/>
              <w:spacing w:line="240" w:lineRule="auto"/>
              <w:rPr>
                <w:rFonts w:ascii="Open Sans SemiBold" w:eastAsia="Open Sans SemiBold" w:hAnsi="Open Sans SemiBold" w:cs="Open Sans SemiBold"/>
                <w:i/>
                <w:iCs/>
                <w:color w:val="3E4B59"/>
                <w:sz w:val="24"/>
                <w:szCs w:val="24"/>
              </w:rPr>
            </w:pPr>
          </w:p>
          <w:p w14:paraId="2BE33D36" w14:textId="77777777" w:rsidR="008540E9" w:rsidRDefault="008540E9">
            <w:pPr>
              <w:widowControl w:val="0"/>
              <w:spacing w:line="240" w:lineRule="auto"/>
              <w:rPr>
                <w:rFonts w:ascii="Open Sans SemiBold" w:eastAsia="Open Sans SemiBold" w:hAnsi="Open Sans SemiBold" w:cs="Open Sans SemiBold"/>
                <w:i/>
                <w:iCs/>
                <w:color w:val="3E4B59"/>
                <w:sz w:val="24"/>
                <w:szCs w:val="24"/>
              </w:rPr>
            </w:pPr>
          </w:p>
          <w:p w14:paraId="460E590D" w14:textId="77777777" w:rsidR="008540E9" w:rsidRDefault="008540E9">
            <w:pPr>
              <w:widowControl w:val="0"/>
              <w:spacing w:line="240" w:lineRule="auto"/>
              <w:rPr>
                <w:rFonts w:ascii="Open Sans SemiBold" w:eastAsia="Open Sans SemiBold" w:hAnsi="Open Sans SemiBold" w:cs="Open Sans SemiBold"/>
                <w:i/>
                <w:iCs/>
                <w:color w:val="3E4B59"/>
                <w:sz w:val="24"/>
                <w:szCs w:val="24"/>
              </w:rPr>
            </w:pPr>
          </w:p>
          <w:p w14:paraId="4474E92A" w14:textId="77777777" w:rsidR="00E6396C" w:rsidRDefault="00000000">
            <w:pPr>
              <w:widowControl w:val="0"/>
              <w:spacing w:line="240" w:lineRule="auto"/>
              <w:rPr>
                <w:rFonts w:ascii="Open Sans SemiBold" w:eastAsia="Open Sans SemiBold" w:hAnsi="Open Sans SemiBold" w:cs="Open Sans SemiBold"/>
                <w:i/>
                <w:iCs/>
                <w:color w:val="3E4B59"/>
                <w:sz w:val="24"/>
                <w:szCs w:val="24"/>
              </w:rPr>
            </w:pPr>
            <w:r>
              <w:rPr>
                <w:i/>
                <w:iCs/>
                <w:color w:val="27313E"/>
                <w:sz w:val="14"/>
                <w:szCs w:val="14"/>
              </w:rPr>
              <w:t>Recommended 500 character maximum</w:t>
            </w:r>
          </w:p>
        </w:tc>
      </w:tr>
    </w:tbl>
    <w:tbl>
      <w:tblPr>
        <w:tblStyle w:val="a0"/>
        <w:tblpPr w:leftFromText="180" w:rightFromText="180" w:vertAnchor="text" w:horzAnchor="margin" w:tblpY="64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20973" w14:paraId="3C128EC6" w14:textId="77777777" w:rsidTr="00020973">
        <w:trPr>
          <w:trHeight w:val="480"/>
        </w:trPr>
        <w:tc>
          <w:tcPr>
            <w:tcW w:w="9360" w:type="dxa"/>
            <w:gridSpan w:val="2"/>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2B314906" w14:textId="77777777" w:rsidR="00020973" w:rsidRDefault="00020973" w:rsidP="00020973">
            <w:pPr>
              <w:widowControl w:val="0"/>
              <w:spacing w:line="240" w:lineRule="auto"/>
              <w:rPr>
                <w:i/>
                <w:iCs/>
                <w:color w:val="27313E"/>
                <w:sz w:val="24"/>
                <w:szCs w:val="24"/>
              </w:rPr>
            </w:pPr>
            <w:r>
              <w:rPr>
                <w:b/>
                <w:bCs/>
                <w:color w:val="27313E"/>
                <w:sz w:val="28"/>
                <w:szCs w:val="28"/>
              </w:rPr>
              <w:lastRenderedPageBreak/>
              <w:t xml:space="preserve">Donation Options: </w:t>
            </w:r>
            <w:r>
              <w:rPr>
                <w:i/>
                <w:iCs/>
                <w:color w:val="27313E"/>
                <w:sz w:val="24"/>
                <w:szCs w:val="24"/>
              </w:rPr>
              <w:t xml:space="preserve">How can you illustrate the impact of a person’s donation? For the purpose of this exercise, we recommend outlining three donation options under $100. </w:t>
            </w:r>
          </w:p>
          <w:p w14:paraId="1CCB3DE7" w14:textId="77777777" w:rsidR="00020973" w:rsidRDefault="00020973" w:rsidP="00020973">
            <w:pPr>
              <w:widowControl w:val="0"/>
              <w:spacing w:line="240" w:lineRule="auto"/>
              <w:rPr>
                <w:i/>
                <w:iCs/>
                <w:color w:val="27313E"/>
                <w:sz w:val="14"/>
                <w:szCs w:val="14"/>
              </w:rPr>
            </w:pPr>
          </w:p>
        </w:tc>
      </w:tr>
      <w:tr w:rsidR="00020973" w14:paraId="1CADB286" w14:textId="77777777" w:rsidTr="00020973">
        <w:trPr>
          <w:trHeight w:val="44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2EFC2330" w14:textId="77777777" w:rsidR="00020973" w:rsidRDefault="00020973" w:rsidP="00020973">
            <w:pPr>
              <w:widowControl w:val="0"/>
              <w:spacing w:line="240" w:lineRule="auto"/>
              <w:jc w:val="center"/>
              <w:rPr>
                <w:b/>
                <w:bCs/>
                <w:i/>
                <w:iCs/>
                <w:sz w:val="24"/>
                <w:szCs w:val="24"/>
              </w:rPr>
            </w:pPr>
            <w:r>
              <w:rPr>
                <w:b/>
                <w:bCs/>
                <w:i/>
                <w:iCs/>
                <w:sz w:val="24"/>
                <w:szCs w:val="24"/>
              </w:rPr>
              <w:t xml:space="preserve">Amount </w:t>
            </w:r>
          </w:p>
          <w:p w14:paraId="19DEB970" w14:textId="77777777" w:rsidR="00020973" w:rsidRDefault="00020973" w:rsidP="00020973">
            <w:pPr>
              <w:widowControl w:val="0"/>
              <w:spacing w:line="240" w:lineRule="auto"/>
              <w:jc w:val="center"/>
              <w:rPr>
                <w:b/>
                <w:bCs/>
                <w:i/>
                <w:iCs/>
                <w:sz w:val="24"/>
                <w:szCs w:val="24"/>
              </w:rPr>
            </w:pP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107CBEBA" w14:textId="77777777" w:rsidR="00020973" w:rsidRDefault="00020973" w:rsidP="00020973">
            <w:pPr>
              <w:widowControl w:val="0"/>
              <w:spacing w:line="240" w:lineRule="auto"/>
              <w:jc w:val="center"/>
              <w:rPr>
                <w:b/>
                <w:bCs/>
                <w:i/>
                <w:iCs/>
                <w:sz w:val="24"/>
                <w:szCs w:val="24"/>
              </w:rPr>
            </w:pPr>
            <w:r>
              <w:rPr>
                <w:b/>
                <w:bCs/>
                <w:i/>
                <w:iCs/>
                <w:sz w:val="24"/>
                <w:szCs w:val="24"/>
              </w:rPr>
              <w:t xml:space="preserve">Description </w:t>
            </w:r>
          </w:p>
        </w:tc>
      </w:tr>
      <w:tr w:rsidR="00020973" w14:paraId="1B611DC7" w14:textId="77777777" w:rsidTr="00020973">
        <w:trPr>
          <w:trHeight w:val="98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4EA6870F" w14:textId="75B97341" w:rsidR="00020973" w:rsidRDefault="00020973" w:rsidP="00020973">
            <w:pPr>
              <w:widowControl w:val="0"/>
              <w:spacing w:line="240" w:lineRule="auto"/>
              <w:rPr>
                <w:i/>
                <w:iCs/>
                <w:color w:val="27313E"/>
                <w:sz w:val="24"/>
                <w:szCs w:val="24"/>
              </w:rPr>
            </w:pPr>
            <w:r>
              <w:rPr>
                <w:i/>
                <w:iCs/>
                <w:color w:val="27313E"/>
                <w:sz w:val="24"/>
                <w:szCs w:val="24"/>
              </w:rPr>
              <w:t xml:space="preserve"> $ </w:t>
            </w:r>
            <w:r w:rsidR="00055015">
              <w:rPr>
                <w:i/>
                <w:iCs/>
                <w:color w:val="27313E"/>
                <w:sz w:val="24"/>
                <w:szCs w:val="24"/>
              </w:rPr>
              <w:t>10000</w:t>
            </w: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6598361F" w14:textId="2F994D79" w:rsidR="00020973" w:rsidRPr="008540E9"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b/>
                <w:bCs/>
                <w:sz w:val="24"/>
                <w:szCs w:val="24"/>
              </w:rPr>
              <w:t>Empowerment and Capacity Building:</w:t>
            </w:r>
            <w:r w:rsidRPr="00B44693">
              <w:rPr>
                <w:rFonts w:ascii="Times New Roman" w:eastAsia="Times New Roman" w:hAnsi="Times New Roman" w:cs="Times New Roman"/>
                <w:sz w:val="24"/>
                <w:szCs w:val="24"/>
              </w:rPr>
              <w:br/>
              <w:t>Train 200 community facilitators (women, youth, and school teachers) and 30 local officials on menstrual health governance, gender analysis, and participatory planning. Workshops will equip participants to generate evidence on service gaps and advocate for responsive budgets.</w:t>
            </w:r>
          </w:p>
        </w:tc>
      </w:tr>
      <w:tr w:rsidR="00020973" w14:paraId="0FEBEF16" w14:textId="77777777" w:rsidTr="00020973">
        <w:trPr>
          <w:trHeight w:val="44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77C01EF3" w14:textId="361E3B19" w:rsidR="00020973" w:rsidRDefault="00020973" w:rsidP="00020973">
            <w:pPr>
              <w:widowControl w:val="0"/>
              <w:spacing w:line="240" w:lineRule="auto"/>
              <w:rPr>
                <w:sz w:val="24"/>
                <w:szCs w:val="24"/>
              </w:rPr>
            </w:pPr>
            <w:r>
              <w:rPr>
                <w:sz w:val="24"/>
                <w:szCs w:val="24"/>
              </w:rPr>
              <w:t xml:space="preserve">$ </w:t>
            </w:r>
            <w:r w:rsidR="00055015">
              <w:rPr>
                <w:sz w:val="24"/>
                <w:szCs w:val="24"/>
              </w:rPr>
              <w:t>10000</w:t>
            </w: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2070514E" w14:textId="3B3918D3" w:rsidR="00020973" w:rsidRPr="00261C3C" w:rsidRDefault="008540E9" w:rsidP="008540E9">
            <w:pPr>
              <w:widowControl w:val="0"/>
              <w:spacing w:line="240" w:lineRule="auto"/>
              <w:jc w:val="both"/>
              <w:rPr>
                <w:i/>
                <w:iCs/>
              </w:rPr>
            </w:pPr>
            <w:r w:rsidRPr="00B44693">
              <w:rPr>
                <w:rFonts w:ascii="Times New Roman" w:eastAsia="Times New Roman" w:hAnsi="Times New Roman" w:cs="Times New Roman"/>
                <w:b/>
                <w:bCs/>
                <w:sz w:val="24"/>
                <w:szCs w:val="24"/>
              </w:rPr>
              <w:t>Institutionalizing Community Health Forums (CHFs):</w:t>
            </w:r>
            <w:r w:rsidRPr="00B44693">
              <w:rPr>
                <w:rFonts w:ascii="Times New Roman" w:eastAsia="Times New Roman" w:hAnsi="Times New Roman" w:cs="Times New Roman"/>
                <w:sz w:val="24"/>
                <w:szCs w:val="24"/>
              </w:rPr>
              <w:br/>
              <w:t>Establish six CHFs linked to Divisional Secretariats and MOH offices that serve as formal dialogue spaces for citizens and authorities. These forums will use community scorecards to track school and clinic hygiene standards and publicly present findings in quarterly review meetings with local councils.</w:t>
            </w:r>
          </w:p>
        </w:tc>
      </w:tr>
      <w:tr w:rsidR="00020973" w14:paraId="70C96194" w14:textId="77777777" w:rsidTr="00020973">
        <w:trPr>
          <w:trHeight w:val="44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693FD8FC" w14:textId="3918D12B" w:rsidR="00020973" w:rsidRDefault="00020973" w:rsidP="00020973">
            <w:pPr>
              <w:widowControl w:val="0"/>
              <w:spacing w:line="240" w:lineRule="auto"/>
              <w:rPr>
                <w:i/>
                <w:iCs/>
                <w:sz w:val="24"/>
                <w:szCs w:val="24"/>
              </w:rPr>
            </w:pPr>
            <w:r>
              <w:rPr>
                <w:i/>
                <w:iCs/>
                <w:sz w:val="24"/>
                <w:szCs w:val="24"/>
              </w:rPr>
              <w:t xml:space="preserve">$ </w:t>
            </w:r>
            <w:r w:rsidR="00055015">
              <w:rPr>
                <w:i/>
                <w:iCs/>
                <w:sz w:val="24"/>
                <w:szCs w:val="24"/>
              </w:rPr>
              <w:t>20000</w:t>
            </w: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51742C03" w14:textId="6A17D0FE" w:rsidR="00020973" w:rsidRPr="00261C3C" w:rsidRDefault="008540E9" w:rsidP="008540E9">
            <w:pPr>
              <w:widowControl w:val="0"/>
              <w:spacing w:line="240" w:lineRule="auto"/>
              <w:jc w:val="both"/>
              <w:rPr>
                <w:i/>
                <w:iCs/>
                <w:sz w:val="24"/>
                <w:szCs w:val="24"/>
              </w:rPr>
            </w:pPr>
            <w:r w:rsidRPr="00B44693">
              <w:rPr>
                <w:rFonts w:ascii="Times New Roman" w:eastAsia="Times New Roman" w:hAnsi="Times New Roman" w:cs="Times New Roman"/>
                <w:b/>
                <w:bCs/>
                <w:sz w:val="24"/>
                <w:szCs w:val="24"/>
              </w:rPr>
              <w:t>Advocacy and Public Engagement:</w:t>
            </w:r>
            <w:r w:rsidRPr="00B44693">
              <w:rPr>
                <w:rFonts w:ascii="Times New Roman" w:eastAsia="Times New Roman" w:hAnsi="Times New Roman" w:cs="Times New Roman"/>
                <w:sz w:val="24"/>
                <w:szCs w:val="24"/>
              </w:rPr>
              <w:br/>
              <w:t xml:space="preserve">Implement a district-wide “Speak Health </w:t>
            </w:r>
            <w:r>
              <w:rPr>
                <w:rFonts w:ascii="Times New Roman" w:eastAsia="Times New Roman" w:hAnsi="Times New Roman" w:cs="Times New Roman"/>
                <w:sz w:val="24"/>
                <w:szCs w:val="24"/>
              </w:rPr>
              <w:t>-</w:t>
            </w:r>
            <w:r w:rsidRPr="00B44693">
              <w:rPr>
                <w:rFonts w:ascii="Times New Roman" w:eastAsia="Times New Roman" w:hAnsi="Times New Roman" w:cs="Times New Roman"/>
                <w:sz w:val="24"/>
                <w:szCs w:val="24"/>
              </w:rPr>
              <w:t>Period Pride” campaign to challenge stigma and amplify grass-roots voices through radio, social media, street theatre, and youth-led digital content. Advocacy briefs will be shared with provincial and national authorities, informing MHM policy roll-out.</w:t>
            </w:r>
          </w:p>
        </w:tc>
      </w:tr>
    </w:tbl>
    <w:p w14:paraId="2BAD0A3B" w14:textId="77777777" w:rsidR="00E6396C" w:rsidRDefault="00000000">
      <w:pPr>
        <w:widowControl w:val="0"/>
        <w:spacing w:line="240" w:lineRule="auto"/>
        <w:rPr>
          <w:color w:val="726C61"/>
        </w:rPr>
      </w:pPr>
      <w:r>
        <w:br w:type="page"/>
      </w:r>
    </w:p>
    <w:p w14:paraId="7A7100E4" w14:textId="77777777" w:rsidR="00E6396C" w:rsidRDefault="00000000">
      <w:pPr>
        <w:widowControl w:val="0"/>
        <w:spacing w:line="240" w:lineRule="auto"/>
        <w:rPr>
          <w:b/>
          <w:bCs/>
          <w:color w:val="434343"/>
          <w:sz w:val="28"/>
          <w:szCs w:val="28"/>
        </w:rPr>
      </w:pPr>
      <w:r>
        <w:rPr>
          <w:b/>
          <w:bCs/>
          <w:color w:val="434343"/>
          <w:sz w:val="28"/>
          <w:szCs w:val="28"/>
        </w:rPr>
        <w:lastRenderedPageBreak/>
        <w:t>Photo Gallery</w:t>
      </w:r>
    </w:p>
    <w:p w14:paraId="5C3C2E07" w14:textId="77777777" w:rsidR="00E6396C" w:rsidRDefault="00000000">
      <w:pPr>
        <w:widowControl w:val="0"/>
        <w:spacing w:line="240" w:lineRule="auto"/>
        <w:rPr>
          <w:i/>
          <w:iCs/>
          <w:color w:val="19283A"/>
          <w:sz w:val="20"/>
          <w:szCs w:val="20"/>
          <w:highlight w:val="white"/>
        </w:rPr>
      </w:pPr>
      <w:r>
        <w:rPr>
          <w:i/>
          <w:iCs/>
          <w:color w:val="19283A"/>
          <w:sz w:val="20"/>
          <w:szCs w:val="20"/>
          <w:highlight w:val="white"/>
        </w:rPr>
        <w:t>Choose four images that show the impact of your work and draft clear captions. Choose</w:t>
      </w:r>
      <w:r>
        <w:rPr>
          <w:b/>
          <w:bCs/>
          <w:i/>
          <w:iCs/>
          <w:color w:val="19283A"/>
          <w:sz w:val="20"/>
          <w:szCs w:val="20"/>
          <w:highlight w:val="white"/>
        </w:rPr>
        <w:t xml:space="preserve"> high-resolution</w:t>
      </w:r>
      <w:r>
        <w:rPr>
          <w:i/>
          <w:iCs/>
          <w:color w:val="19283A"/>
          <w:sz w:val="20"/>
          <w:szCs w:val="20"/>
          <w:highlight w:val="white"/>
        </w:rPr>
        <w:t xml:space="preserve"> photos that are positive and empowering and show the community you serve with </w:t>
      </w:r>
      <w:r>
        <w:rPr>
          <w:b/>
          <w:bCs/>
          <w:i/>
          <w:iCs/>
          <w:color w:val="19283A"/>
          <w:sz w:val="20"/>
          <w:szCs w:val="20"/>
          <w:highlight w:val="white"/>
        </w:rPr>
        <w:t>respect and dignity</w:t>
      </w:r>
      <w:r>
        <w:rPr>
          <w:i/>
          <w:iCs/>
          <w:color w:val="19283A"/>
          <w:sz w:val="20"/>
          <w:szCs w:val="20"/>
          <w:highlight w:val="white"/>
        </w:rPr>
        <w:t>. Before sharing a photo, ask yourself this question: Would I want to be portrayed this way? Does this image instill hope? Upload photos to worksheet however makes the most sense - photos don’t have to fit perfectly in box!</w:t>
      </w:r>
    </w:p>
    <w:tbl>
      <w:tblPr>
        <w:tblStyle w:val="a1"/>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6396C" w14:paraId="54319F31" w14:textId="77777777">
        <w:trPr>
          <w:trHeight w:val="2976"/>
          <w:jc w:val="center"/>
        </w:trPr>
        <w:tc>
          <w:tcPr>
            <w:tcW w:w="4680" w:type="dxa"/>
            <w:tcBorders>
              <w:top w:val="single" w:sz="8" w:space="0" w:color="6AA84F"/>
              <w:left w:val="single" w:sz="8" w:space="0" w:color="6AA84F"/>
              <w:bottom w:val="single" w:sz="8" w:space="0" w:color="6AA84F"/>
              <w:right w:val="single" w:sz="8" w:space="0" w:color="9FA617"/>
            </w:tcBorders>
            <w:tcMar>
              <w:top w:w="100" w:type="dxa"/>
              <w:left w:w="100" w:type="dxa"/>
              <w:bottom w:w="100" w:type="dxa"/>
              <w:right w:w="100" w:type="dxa"/>
            </w:tcMar>
          </w:tcPr>
          <w:p w14:paraId="3DBBAB7D" w14:textId="77777777" w:rsidR="00E6396C" w:rsidRDefault="00000000">
            <w:pPr>
              <w:widowControl w:val="0"/>
              <w:spacing w:line="240" w:lineRule="auto"/>
              <w:rPr>
                <w:b/>
                <w:bCs/>
                <w:color w:val="434343"/>
                <w:sz w:val="28"/>
                <w:szCs w:val="28"/>
              </w:rPr>
            </w:pPr>
            <w:r>
              <w:rPr>
                <w:b/>
                <w:bCs/>
                <w:color w:val="434343"/>
                <w:sz w:val="28"/>
                <w:szCs w:val="28"/>
              </w:rPr>
              <w:t>PHOTO</w:t>
            </w:r>
          </w:p>
          <w:p w14:paraId="0BBE9E7C" w14:textId="1372D5F1" w:rsidR="004D7EB6" w:rsidRDefault="00455110">
            <w:pPr>
              <w:widowControl w:val="0"/>
              <w:spacing w:line="240" w:lineRule="auto"/>
              <w:rPr>
                <w:b/>
                <w:bCs/>
                <w:color w:val="434343"/>
                <w:sz w:val="28"/>
                <w:szCs w:val="28"/>
              </w:rPr>
            </w:pPr>
            <w:r>
              <w:rPr>
                <w:noProof/>
              </w:rPr>
              <w:drawing>
                <wp:inline distT="0" distB="0" distL="0" distR="0" wp14:anchorId="3CDE6CED" wp14:editId="43567FF0">
                  <wp:extent cx="2844800" cy="1752600"/>
                  <wp:effectExtent l="0" t="0" r="0" b="0"/>
                  <wp:docPr id="629842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4800" cy="1752600"/>
                          </a:xfrm>
                          <a:prstGeom prst="rect">
                            <a:avLst/>
                          </a:prstGeom>
                          <a:noFill/>
                          <a:ln>
                            <a:noFill/>
                          </a:ln>
                        </pic:spPr>
                      </pic:pic>
                    </a:graphicData>
                  </a:graphic>
                </wp:inline>
              </w:drawing>
            </w:r>
          </w:p>
        </w:tc>
        <w:tc>
          <w:tcPr>
            <w:tcW w:w="4680" w:type="dxa"/>
            <w:tcBorders>
              <w:top w:val="single" w:sz="8" w:space="0" w:color="9FA617"/>
              <w:left w:val="single" w:sz="8" w:space="0" w:color="9FA617"/>
              <w:bottom w:val="single" w:sz="8" w:space="0" w:color="9FA617"/>
              <w:right w:val="single" w:sz="8" w:space="0" w:color="9FA617"/>
            </w:tcBorders>
            <w:tcMar>
              <w:top w:w="100" w:type="dxa"/>
              <w:left w:w="100" w:type="dxa"/>
              <w:bottom w:w="100" w:type="dxa"/>
              <w:right w:w="100" w:type="dxa"/>
            </w:tcMar>
          </w:tcPr>
          <w:p w14:paraId="2AD2A9A7" w14:textId="77777777" w:rsidR="00E6396C" w:rsidRDefault="00000000">
            <w:pPr>
              <w:widowControl w:val="0"/>
              <w:spacing w:line="240" w:lineRule="auto"/>
              <w:rPr>
                <w:b/>
                <w:bCs/>
                <w:color w:val="434343"/>
                <w:sz w:val="28"/>
                <w:szCs w:val="28"/>
              </w:rPr>
            </w:pPr>
            <w:r>
              <w:rPr>
                <w:b/>
                <w:bCs/>
                <w:color w:val="434343"/>
                <w:sz w:val="28"/>
                <w:szCs w:val="28"/>
              </w:rPr>
              <w:t>PHOTO</w:t>
            </w:r>
          </w:p>
          <w:p w14:paraId="04399BF4" w14:textId="2F275A77" w:rsidR="004D7EB6" w:rsidRDefault="00455110">
            <w:pPr>
              <w:widowControl w:val="0"/>
              <w:spacing w:line="240" w:lineRule="auto"/>
              <w:rPr>
                <w:b/>
                <w:bCs/>
                <w:color w:val="434343"/>
                <w:sz w:val="28"/>
                <w:szCs w:val="28"/>
              </w:rPr>
            </w:pPr>
            <w:r>
              <w:rPr>
                <w:noProof/>
              </w:rPr>
              <w:drawing>
                <wp:inline distT="0" distB="0" distL="0" distR="0" wp14:anchorId="13C64367" wp14:editId="7BECB7DC">
                  <wp:extent cx="2867025" cy="1775937"/>
                  <wp:effectExtent l="0" t="0" r="0" b="0"/>
                  <wp:docPr id="1752304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5599" cy="1787442"/>
                          </a:xfrm>
                          <a:prstGeom prst="rect">
                            <a:avLst/>
                          </a:prstGeom>
                          <a:noFill/>
                          <a:ln>
                            <a:noFill/>
                          </a:ln>
                        </pic:spPr>
                      </pic:pic>
                    </a:graphicData>
                  </a:graphic>
                </wp:inline>
              </w:drawing>
            </w:r>
          </w:p>
          <w:p w14:paraId="6EC344C1" w14:textId="1F021D36" w:rsidR="00E6396C" w:rsidRDefault="00E6396C" w:rsidP="00455110">
            <w:pPr>
              <w:widowControl w:val="0"/>
              <w:spacing w:line="240" w:lineRule="auto"/>
              <w:ind w:left="2160"/>
              <w:jc w:val="center"/>
              <w:rPr>
                <w:color w:val="434343"/>
                <w:sz w:val="28"/>
                <w:szCs w:val="28"/>
              </w:rPr>
            </w:pPr>
          </w:p>
        </w:tc>
      </w:tr>
      <w:tr w:rsidR="00E6396C" w14:paraId="7DAEF223" w14:textId="77777777">
        <w:trPr>
          <w:jc w:val="center"/>
        </w:trPr>
        <w:tc>
          <w:tcPr>
            <w:tcW w:w="4680" w:type="dxa"/>
            <w:tcBorders>
              <w:top w:val="single" w:sz="8" w:space="0" w:color="6AA84F"/>
              <w:left w:val="single" w:sz="8" w:space="0" w:color="6AA84F"/>
              <w:bottom w:val="single" w:sz="8" w:space="0" w:color="6AA84F"/>
              <w:right w:val="single" w:sz="8" w:space="0" w:color="6AA84F"/>
            </w:tcBorders>
            <w:shd w:val="clear" w:color="auto" w:fill="9FA617"/>
            <w:tcMar>
              <w:top w:w="100" w:type="dxa"/>
              <w:left w:w="100" w:type="dxa"/>
              <w:bottom w:w="100" w:type="dxa"/>
              <w:right w:w="100" w:type="dxa"/>
            </w:tcMar>
          </w:tcPr>
          <w:p w14:paraId="0EB4F70A" w14:textId="261F2FF0" w:rsidR="00E6396C" w:rsidRDefault="00455110" w:rsidP="00455110">
            <w:pPr>
              <w:widowControl w:val="0"/>
              <w:spacing w:line="240" w:lineRule="auto"/>
              <w:jc w:val="both"/>
              <w:rPr>
                <w:i/>
                <w:iCs/>
                <w:color w:val="FFFFFF"/>
              </w:rPr>
            </w:pPr>
            <w:r w:rsidRPr="00455110">
              <w:rPr>
                <w:i/>
                <w:iCs/>
                <w:color w:val="FFFFFF"/>
              </w:rPr>
              <w:t>Training of Trainers (</w:t>
            </w:r>
            <w:proofErr w:type="spellStart"/>
            <w:r w:rsidRPr="00455110">
              <w:rPr>
                <w:i/>
                <w:iCs/>
                <w:color w:val="FFFFFF"/>
              </w:rPr>
              <w:t>ToT</w:t>
            </w:r>
            <w:proofErr w:type="spellEnd"/>
            <w:r w:rsidRPr="00455110">
              <w:rPr>
                <w:i/>
                <w:iCs/>
                <w:color w:val="FFFFFF"/>
              </w:rPr>
              <w:t>) on Menstrual Health and Hygiene for WDOs, PHMs, and School Teachers</w:t>
            </w:r>
          </w:p>
        </w:tc>
        <w:tc>
          <w:tcPr>
            <w:tcW w:w="4680" w:type="dxa"/>
            <w:tcBorders>
              <w:top w:val="single" w:sz="8" w:space="0" w:color="9FA617"/>
              <w:left w:val="single" w:sz="8" w:space="0" w:color="6AA84F"/>
              <w:bottom w:val="single" w:sz="8" w:space="0" w:color="6AA84F"/>
              <w:right w:val="single" w:sz="8" w:space="0" w:color="6AA84F"/>
            </w:tcBorders>
            <w:shd w:val="clear" w:color="auto" w:fill="9FA617"/>
            <w:tcMar>
              <w:top w:w="100" w:type="dxa"/>
              <w:left w:w="100" w:type="dxa"/>
              <w:bottom w:w="100" w:type="dxa"/>
              <w:right w:w="100" w:type="dxa"/>
            </w:tcMar>
          </w:tcPr>
          <w:p w14:paraId="4F76051C" w14:textId="51B00E50" w:rsidR="00E6396C" w:rsidRDefault="00455110">
            <w:pPr>
              <w:widowControl w:val="0"/>
              <w:spacing w:line="240" w:lineRule="auto"/>
              <w:rPr>
                <w:i/>
                <w:iCs/>
                <w:color w:val="FFFFFF"/>
              </w:rPr>
            </w:pPr>
            <w:r w:rsidRPr="00455110">
              <w:rPr>
                <w:i/>
                <w:iCs/>
                <w:color w:val="FFFFFF"/>
              </w:rPr>
              <w:t>Launch of the Menstrual Hygiene Guidebook</w:t>
            </w:r>
          </w:p>
        </w:tc>
      </w:tr>
      <w:tr w:rsidR="00E6396C" w14:paraId="4E103134" w14:textId="77777777">
        <w:trPr>
          <w:trHeight w:val="2436"/>
          <w:jc w:val="center"/>
        </w:trPr>
        <w:tc>
          <w:tcPr>
            <w:tcW w:w="4680" w:type="dxa"/>
            <w:tcBorders>
              <w:top w:val="single" w:sz="8" w:space="0" w:color="6AA84F"/>
              <w:left w:val="single" w:sz="8" w:space="0" w:color="6AA84F"/>
              <w:bottom w:val="single" w:sz="8" w:space="0" w:color="9FA617"/>
              <w:right w:val="single" w:sz="8" w:space="0" w:color="6AA84F"/>
            </w:tcBorders>
            <w:tcMar>
              <w:top w:w="100" w:type="dxa"/>
              <w:left w:w="100" w:type="dxa"/>
              <w:bottom w:w="100" w:type="dxa"/>
              <w:right w:w="100" w:type="dxa"/>
            </w:tcMar>
          </w:tcPr>
          <w:p w14:paraId="3B8C294B" w14:textId="77777777" w:rsidR="00E6396C" w:rsidRDefault="00000000">
            <w:pPr>
              <w:widowControl w:val="0"/>
              <w:spacing w:line="240" w:lineRule="auto"/>
              <w:rPr>
                <w:b/>
                <w:bCs/>
                <w:color w:val="434343"/>
                <w:sz w:val="28"/>
                <w:szCs w:val="28"/>
              </w:rPr>
            </w:pPr>
            <w:r>
              <w:rPr>
                <w:b/>
                <w:bCs/>
                <w:color w:val="434343"/>
                <w:sz w:val="28"/>
                <w:szCs w:val="28"/>
              </w:rPr>
              <w:t>PHOTO</w:t>
            </w:r>
          </w:p>
          <w:p w14:paraId="5E68AD52" w14:textId="2FE4F6E6" w:rsidR="004D7EB6" w:rsidRDefault="00455110">
            <w:pPr>
              <w:widowControl w:val="0"/>
              <w:spacing w:line="240" w:lineRule="auto"/>
              <w:rPr>
                <w:b/>
                <w:bCs/>
                <w:color w:val="434343"/>
                <w:sz w:val="28"/>
                <w:szCs w:val="28"/>
              </w:rPr>
            </w:pPr>
            <w:r>
              <w:rPr>
                <w:noProof/>
              </w:rPr>
              <w:drawing>
                <wp:inline distT="0" distB="0" distL="0" distR="0" wp14:anchorId="2D714D56" wp14:editId="04102F21">
                  <wp:extent cx="2895600" cy="2575560"/>
                  <wp:effectExtent l="0" t="0" r="0" b="0"/>
                  <wp:docPr id="11343201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00626" cy="2580030"/>
                          </a:xfrm>
                          <a:prstGeom prst="rect">
                            <a:avLst/>
                          </a:prstGeom>
                          <a:noFill/>
                          <a:ln>
                            <a:noFill/>
                          </a:ln>
                        </pic:spPr>
                      </pic:pic>
                    </a:graphicData>
                  </a:graphic>
                </wp:inline>
              </w:drawing>
            </w:r>
          </w:p>
          <w:p w14:paraId="0B18F066" w14:textId="75A69FB6" w:rsidR="00E6396C" w:rsidRDefault="00E6396C" w:rsidP="00F838CD">
            <w:pPr>
              <w:widowControl w:val="0"/>
              <w:spacing w:line="240" w:lineRule="auto"/>
              <w:jc w:val="center"/>
              <w:rPr>
                <w:b/>
                <w:bCs/>
                <w:color w:val="434343"/>
                <w:sz w:val="28"/>
                <w:szCs w:val="28"/>
              </w:rPr>
            </w:pPr>
          </w:p>
        </w:tc>
        <w:tc>
          <w:tcPr>
            <w:tcW w:w="4680" w:type="dxa"/>
            <w:tcBorders>
              <w:top w:val="single" w:sz="8" w:space="0" w:color="6AA84F"/>
              <w:left w:val="single" w:sz="8" w:space="0" w:color="6AA84F"/>
              <w:bottom w:val="single" w:sz="8" w:space="0" w:color="9FA617"/>
              <w:right w:val="single" w:sz="8" w:space="0" w:color="6AA84F"/>
            </w:tcBorders>
            <w:tcMar>
              <w:top w:w="100" w:type="dxa"/>
              <w:left w:w="100" w:type="dxa"/>
              <w:bottom w:w="100" w:type="dxa"/>
              <w:right w:w="100" w:type="dxa"/>
            </w:tcMar>
          </w:tcPr>
          <w:p w14:paraId="01B52A3D" w14:textId="77777777" w:rsidR="00E6396C" w:rsidRDefault="00000000">
            <w:pPr>
              <w:widowControl w:val="0"/>
              <w:spacing w:line="240" w:lineRule="auto"/>
              <w:rPr>
                <w:b/>
                <w:bCs/>
                <w:color w:val="434343"/>
                <w:sz w:val="28"/>
                <w:szCs w:val="28"/>
              </w:rPr>
            </w:pPr>
            <w:r>
              <w:rPr>
                <w:b/>
                <w:bCs/>
                <w:color w:val="434343"/>
                <w:sz w:val="28"/>
                <w:szCs w:val="28"/>
              </w:rPr>
              <w:t>PHOTO</w:t>
            </w:r>
          </w:p>
          <w:p w14:paraId="567EEC9F" w14:textId="72E90EF2" w:rsidR="00F838CD" w:rsidRDefault="00455110">
            <w:pPr>
              <w:widowControl w:val="0"/>
              <w:spacing w:line="240" w:lineRule="auto"/>
              <w:rPr>
                <w:b/>
                <w:bCs/>
                <w:color w:val="434343"/>
                <w:sz w:val="28"/>
                <w:szCs w:val="28"/>
              </w:rPr>
            </w:pPr>
            <w:r>
              <w:rPr>
                <w:noProof/>
              </w:rPr>
              <w:drawing>
                <wp:inline distT="0" distB="0" distL="0" distR="0" wp14:anchorId="5EC69066" wp14:editId="6085B225">
                  <wp:extent cx="2844800" cy="2575560"/>
                  <wp:effectExtent l="0" t="0" r="0" b="0"/>
                  <wp:docPr id="9859971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4800" cy="2575560"/>
                          </a:xfrm>
                          <a:prstGeom prst="rect">
                            <a:avLst/>
                          </a:prstGeom>
                          <a:noFill/>
                          <a:ln>
                            <a:noFill/>
                          </a:ln>
                        </pic:spPr>
                      </pic:pic>
                    </a:graphicData>
                  </a:graphic>
                </wp:inline>
              </w:drawing>
            </w:r>
          </w:p>
          <w:p w14:paraId="56CB3DD6" w14:textId="144A0C3F" w:rsidR="004D7EB6" w:rsidRDefault="004D7EB6" w:rsidP="00F838CD">
            <w:pPr>
              <w:widowControl w:val="0"/>
              <w:spacing w:line="360" w:lineRule="auto"/>
              <w:rPr>
                <w:b/>
                <w:bCs/>
                <w:color w:val="434343"/>
                <w:sz w:val="28"/>
                <w:szCs w:val="28"/>
              </w:rPr>
            </w:pPr>
          </w:p>
        </w:tc>
      </w:tr>
      <w:tr w:rsidR="00E6396C" w14:paraId="4B40B7F7" w14:textId="77777777">
        <w:trPr>
          <w:jc w:val="center"/>
        </w:trPr>
        <w:tc>
          <w:tcPr>
            <w:tcW w:w="4680" w:type="dxa"/>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14:paraId="5E3C7866" w14:textId="477A2CD7" w:rsidR="00E6396C" w:rsidRDefault="00455110">
            <w:pPr>
              <w:widowControl w:val="0"/>
              <w:spacing w:line="240" w:lineRule="auto"/>
              <w:rPr>
                <w:i/>
                <w:iCs/>
                <w:color w:val="FFFFFF"/>
              </w:rPr>
            </w:pPr>
            <w:r w:rsidRPr="00455110">
              <w:rPr>
                <w:i/>
                <w:iCs/>
                <w:color w:val="FFFFFF"/>
              </w:rPr>
              <w:t>Establishment of School Menstrual Hygiene and Nutrition Units</w:t>
            </w:r>
          </w:p>
        </w:tc>
        <w:tc>
          <w:tcPr>
            <w:tcW w:w="4680" w:type="dxa"/>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14:paraId="50E3B918" w14:textId="343DA683" w:rsidR="00E6396C" w:rsidRDefault="00455110">
            <w:pPr>
              <w:widowControl w:val="0"/>
              <w:spacing w:line="240" w:lineRule="auto"/>
              <w:rPr>
                <w:i/>
                <w:iCs/>
                <w:color w:val="FFFFFF"/>
              </w:rPr>
            </w:pPr>
            <w:r w:rsidRPr="00455110">
              <w:rPr>
                <w:i/>
                <w:iCs/>
                <w:color w:val="FFFFFF"/>
              </w:rPr>
              <w:t>Menstrual Hygiene Awareness Program for Male Community Leaders</w:t>
            </w:r>
          </w:p>
        </w:tc>
      </w:tr>
    </w:tbl>
    <w:p w14:paraId="49529FE3" w14:textId="77777777" w:rsidR="007E4A00" w:rsidRDefault="007E4A00" w:rsidP="007E4A00">
      <w:pPr>
        <w:pStyle w:val="my-2"/>
        <w:rPr>
          <w:rFonts w:ascii="Segoe UI" w:hAnsi="Segoe UI" w:cs="Segoe UI"/>
          <w:spacing w:val="1"/>
        </w:rPr>
      </w:pPr>
      <w:bookmarkStart w:id="4" w:name="_3xig16l75xn1" w:colFirst="0" w:colLast="0"/>
      <w:bookmarkEnd w:id="4"/>
    </w:p>
    <w:p w14:paraId="62B688B8" w14:textId="77777777" w:rsidR="00E56195" w:rsidRDefault="00E56195" w:rsidP="007E4A00">
      <w:pPr>
        <w:pStyle w:val="my-2"/>
        <w:rPr>
          <w:rFonts w:ascii="Segoe UI" w:hAnsi="Segoe UI" w:cs="Segoe UI"/>
          <w:spacing w:val="1"/>
        </w:rPr>
      </w:pPr>
    </w:p>
    <w:p w14:paraId="3803C7CD" w14:textId="77777777" w:rsidR="00E56195" w:rsidRDefault="00E56195" w:rsidP="007E4A00">
      <w:pPr>
        <w:pStyle w:val="my-2"/>
        <w:rPr>
          <w:rFonts w:ascii="Segoe UI" w:hAnsi="Segoe UI" w:cs="Segoe UI"/>
          <w:spacing w:val="1"/>
        </w:rPr>
      </w:pPr>
    </w:p>
    <w:p w14:paraId="30C5A8DD" w14:textId="77777777" w:rsidR="00E56195" w:rsidRDefault="00E56195" w:rsidP="007E4A00">
      <w:pPr>
        <w:pStyle w:val="my-2"/>
        <w:rPr>
          <w:rFonts w:ascii="Segoe UI" w:hAnsi="Segoe UI" w:cs="Segoe UI"/>
          <w:spacing w:val="1"/>
        </w:rPr>
      </w:pPr>
    </w:p>
    <w:p w14:paraId="5BB4157B" w14:textId="77777777" w:rsidR="00E56195" w:rsidRDefault="00E56195" w:rsidP="007E4A00">
      <w:pPr>
        <w:pStyle w:val="my-2"/>
        <w:rPr>
          <w:rFonts w:ascii="Segoe UI" w:hAnsi="Segoe UI" w:cs="Segoe UI"/>
          <w:spacing w:val="1"/>
        </w:rPr>
      </w:pPr>
    </w:p>
    <w:p w14:paraId="3983A64F" w14:textId="77777777" w:rsidR="00E56195" w:rsidRDefault="00E56195" w:rsidP="007E4A00">
      <w:pPr>
        <w:pStyle w:val="my-2"/>
        <w:rPr>
          <w:rFonts w:ascii="Segoe UI" w:hAnsi="Segoe UI" w:cs="Segoe UI"/>
          <w:spacing w:val="1"/>
        </w:rPr>
      </w:pPr>
    </w:p>
    <w:p w14:paraId="4FFCB320" w14:textId="77777777" w:rsidR="00E56195" w:rsidRDefault="00E56195" w:rsidP="007E4A00">
      <w:pPr>
        <w:pStyle w:val="my-2"/>
        <w:rPr>
          <w:rFonts w:ascii="Segoe UI" w:hAnsi="Segoe UI" w:cs="Segoe UI"/>
          <w:spacing w:val="1"/>
        </w:rPr>
      </w:pPr>
    </w:p>
    <w:p w14:paraId="109CD9AB" w14:textId="345BD68B" w:rsidR="008540E9" w:rsidRPr="008540E9" w:rsidRDefault="008540E9" w:rsidP="008540E9">
      <w:pPr>
        <w:tabs>
          <w:tab w:val="left" w:pos="120"/>
          <w:tab w:val="left" w:pos="582"/>
        </w:tabs>
        <w:spacing w:line="285" w:lineRule="auto"/>
        <w:ind w:right="525"/>
        <w:rPr>
          <w:rFonts w:ascii="Seaford" w:hAnsi="Seaford"/>
          <w:i/>
        </w:rPr>
      </w:pPr>
      <w:r>
        <w:rPr>
          <w:rFonts w:ascii="Seaford" w:hAnsi="Seaford"/>
          <w:b/>
          <w:spacing w:val="-4"/>
          <w:sz w:val="24"/>
        </w:rPr>
        <w:t xml:space="preserve">1. </w:t>
      </w:r>
      <w:r w:rsidRPr="008540E9">
        <w:rPr>
          <w:rFonts w:ascii="Seaford" w:hAnsi="Seaford"/>
          <w:b/>
          <w:spacing w:val="-4"/>
          <w:sz w:val="24"/>
        </w:rPr>
        <w:t>What</w:t>
      </w:r>
      <w:r w:rsidRPr="008540E9">
        <w:rPr>
          <w:rFonts w:ascii="Seaford" w:hAnsi="Seaford"/>
          <w:b/>
          <w:spacing w:val="-17"/>
          <w:sz w:val="24"/>
        </w:rPr>
        <w:t xml:space="preserve"> </w:t>
      </w:r>
      <w:r w:rsidRPr="008540E9">
        <w:rPr>
          <w:rFonts w:ascii="Seaford" w:hAnsi="Seaford"/>
          <w:b/>
          <w:spacing w:val="-4"/>
          <w:sz w:val="24"/>
        </w:rPr>
        <w:t>is</w:t>
      </w:r>
      <w:r w:rsidRPr="008540E9">
        <w:rPr>
          <w:rFonts w:ascii="Seaford" w:hAnsi="Seaford"/>
          <w:b/>
          <w:spacing w:val="-17"/>
          <w:sz w:val="24"/>
        </w:rPr>
        <w:t xml:space="preserve"> </w:t>
      </w:r>
      <w:r w:rsidRPr="008540E9">
        <w:rPr>
          <w:rFonts w:ascii="Seaford" w:hAnsi="Seaford"/>
          <w:b/>
          <w:spacing w:val="-4"/>
          <w:sz w:val="24"/>
        </w:rPr>
        <w:t>the</w:t>
      </w:r>
      <w:r w:rsidRPr="008540E9">
        <w:rPr>
          <w:rFonts w:ascii="Seaford" w:hAnsi="Seaford"/>
          <w:b/>
          <w:spacing w:val="-16"/>
          <w:sz w:val="24"/>
        </w:rPr>
        <w:t xml:space="preserve"> </w:t>
      </w:r>
      <w:r w:rsidRPr="008540E9">
        <w:rPr>
          <w:rFonts w:ascii="Seaford" w:hAnsi="Seaford"/>
          <w:b/>
          <w:spacing w:val="-4"/>
          <w:sz w:val="24"/>
        </w:rPr>
        <w:t>problem</w:t>
      </w:r>
      <w:r w:rsidRPr="008540E9">
        <w:rPr>
          <w:rFonts w:ascii="Seaford" w:hAnsi="Seaford"/>
          <w:b/>
          <w:spacing w:val="-16"/>
          <w:sz w:val="24"/>
        </w:rPr>
        <w:t xml:space="preserve"> </w:t>
      </w:r>
      <w:r w:rsidRPr="008540E9">
        <w:rPr>
          <w:rFonts w:ascii="Seaford" w:hAnsi="Seaford"/>
          <w:b/>
          <w:spacing w:val="-4"/>
          <w:sz w:val="24"/>
        </w:rPr>
        <w:t>or</w:t>
      </w:r>
      <w:r w:rsidRPr="008540E9">
        <w:rPr>
          <w:rFonts w:ascii="Seaford" w:hAnsi="Seaford"/>
          <w:b/>
          <w:spacing w:val="-16"/>
          <w:sz w:val="24"/>
        </w:rPr>
        <w:t xml:space="preserve"> </w:t>
      </w:r>
      <w:r w:rsidRPr="008540E9">
        <w:rPr>
          <w:rFonts w:ascii="Seaford" w:hAnsi="Seaford"/>
          <w:b/>
          <w:spacing w:val="-4"/>
          <w:sz w:val="24"/>
        </w:rPr>
        <w:t>need</w:t>
      </w:r>
      <w:r w:rsidRPr="008540E9">
        <w:rPr>
          <w:rFonts w:ascii="Seaford" w:hAnsi="Seaford"/>
          <w:b/>
          <w:spacing w:val="-17"/>
          <w:sz w:val="24"/>
        </w:rPr>
        <w:t xml:space="preserve"> </w:t>
      </w:r>
      <w:r w:rsidRPr="008540E9">
        <w:rPr>
          <w:rFonts w:ascii="Seaford" w:hAnsi="Seaford"/>
          <w:b/>
          <w:spacing w:val="-4"/>
          <w:sz w:val="24"/>
        </w:rPr>
        <w:t>the</w:t>
      </w:r>
      <w:r w:rsidRPr="008540E9">
        <w:rPr>
          <w:rFonts w:ascii="Seaford" w:hAnsi="Seaford"/>
          <w:b/>
          <w:spacing w:val="-16"/>
          <w:sz w:val="24"/>
        </w:rPr>
        <w:t xml:space="preserve"> </w:t>
      </w:r>
      <w:r w:rsidRPr="008540E9">
        <w:rPr>
          <w:rFonts w:ascii="Seaford" w:hAnsi="Seaford"/>
          <w:b/>
          <w:spacing w:val="-4"/>
          <w:sz w:val="24"/>
        </w:rPr>
        <w:t>project</w:t>
      </w:r>
      <w:r w:rsidRPr="008540E9">
        <w:rPr>
          <w:rFonts w:ascii="Seaford" w:hAnsi="Seaford"/>
          <w:b/>
          <w:spacing w:val="-14"/>
          <w:sz w:val="24"/>
        </w:rPr>
        <w:t xml:space="preserve"> </w:t>
      </w:r>
      <w:r w:rsidRPr="008540E9">
        <w:rPr>
          <w:rFonts w:ascii="Seaford" w:hAnsi="Seaford"/>
          <w:b/>
          <w:spacing w:val="-4"/>
          <w:sz w:val="24"/>
        </w:rPr>
        <w:t>is</w:t>
      </w:r>
      <w:r w:rsidRPr="008540E9">
        <w:rPr>
          <w:rFonts w:ascii="Seaford" w:hAnsi="Seaford"/>
          <w:b/>
          <w:spacing w:val="-17"/>
          <w:sz w:val="24"/>
        </w:rPr>
        <w:t xml:space="preserve"> </w:t>
      </w:r>
      <w:r w:rsidRPr="008540E9">
        <w:rPr>
          <w:rFonts w:ascii="Seaford" w:hAnsi="Seaford"/>
          <w:b/>
          <w:spacing w:val="-4"/>
          <w:sz w:val="24"/>
        </w:rPr>
        <w:t>designed</w:t>
      </w:r>
      <w:r w:rsidRPr="008540E9">
        <w:rPr>
          <w:rFonts w:ascii="Seaford" w:hAnsi="Seaford"/>
          <w:b/>
          <w:spacing w:val="-17"/>
          <w:sz w:val="24"/>
        </w:rPr>
        <w:t xml:space="preserve"> </w:t>
      </w:r>
      <w:r w:rsidRPr="008540E9">
        <w:rPr>
          <w:rFonts w:ascii="Seaford" w:hAnsi="Seaford"/>
          <w:b/>
          <w:spacing w:val="-4"/>
          <w:sz w:val="24"/>
        </w:rPr>
        <w:t>to</w:t>
      </w:r>
      <w:r w:rsidRPr="008540E9">
        <w:rPr>
          <w:rFonts w:ascii="Seaford" w:hAnsi="Seaford"/>
          <w:b/>
          <w:spacing w:val="-15"/>
          <w:sz w:val="24"/>
        </w:rPr>
        <w:t xml:space="preserve"> </w:t>
      </w:r>
      <w:r w:rsidRPr="008540E9">
        <w:rPr>
          <w:rFonts w:ascii="Seaford" w:hAnsi="Seaford"/>
          <w:b/>
          <w:spacing w:val="-4"/>
          <w:sz w:val="24"/>
        </w:rPr>
        <w:t>address</w:t>
      </w:r>
    </w:p>
    <w:p w14:paraId="653EF874"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 xml:space="preserve">Menstrual health remains a neglected public-health issue in Sri Lanka, particularly in rural districts such as Trincomalee, where inadequate access to affordable menstrual products, poor sanitation infrastructure, and entrenched stigma restrict women’s and girls’ full participation in education, employment, and civic life. Although national policies such as the National Reproductive Health Strategy (2023–2027) </w:t>
      </w:r>
      <w:proofErr w:type="spellStart"/>
      <w:r w:rsidRPr="00B44693">
        <w:rPr>
          <w:rFonts w:ascii="Times New Roman" w:eastAsia="Times New Roman" w:hAnsi="Times New Roman" w:cs="Times New Roman"/>
          <w:sz w:val="24"/>
          <w:szCs w:val="24"/>
        </w:rPr>
        <w:t>recognise</w:t>
      </w:r>
      <w:proofErr w:type="spellEnd"/>
      <w:r w:rsidRPr="00B44693">
        <w:rPr>
          <w:rFonts w:ascii="Times New Roman" w:eastAsia="Times New Roman" w:hAnsi="Times New Roman" w:cs="Times New Roman"/>
          <w:sz w:val="24"/>
          <w:szCs w:val="24"/>
        </w:rPr>
        <w:t xml:space="preserve"> menstrual hygiene as a determinant of health, local implementation is fragmented and under-resourced.</w:t>
      </w:r>
    </w:p>
    <w:p w14:paraId="3BCE5E9F"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 xml:space="preserve">RECDO’s prior baseline surveys reveal that only 47 percent of schoolgirls in selected Grama </w:t>
      </w:r>
      <w:proofErr w:type="spellStart"/>
      <w:r w:rsidRPr="00B44693">
        <w:rPr>
          <w:rFonts w:ascii="Times New Roman" w:eastAsia="Times New Roman" w:hAnsi="Times New Roman" w:cs="Times New Roman"/>
          <w:sz w:val="24"/>
          <w:szCs w:val="24"/>
        </w:rPr>
        <w:t>Niladari</w:t>
      </w:r>
      <w:proofErr w:type="spellEnd"/>
      <w:r w:rsidRPr="00B44693">
        <w:rPr>
          <w:rFonts w:ascii="Times New Roman" w:eastAsia="Times New Roman" w:hAnsi="Times New Roman" w:cs="Times New Roman"/>
          <w:sz w:val="24"/>
          <w:szCs w:val="24"/>
        </w:rPr>
        <w:t xml:space="preserve"> Divisions use hygienic menstrual materials consistently; 32 percent of women face irregular waste-disposal facilities; and cultural taboos persist, with many girls missing school during menstruation. Community consultations also highlight weak coordination between local authorities, schools, and health units, leaving menstrual hygiene absent from local health budgets and council planning.</w:t>
      </w:r>
    </w:p>
    <w:p w14:paraId="7710C37D"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 xml:space="preserve">The lack of participatory mechanisms for women and youth to voice needs in health governance perpetuates inequities. This project addresses that systemic gap by </w:t>
      </w:r>
      <w:proofErr w:type="spellStart"/>
      <w:r w:rsidRPr="00B44693">
        <w:rPr>
          <w:rFonts w:ascii="Times New Roman" w:eastAsia="Times New Roman" w:hAnsi="Times New Roman" w:cs="Times New Roman"/>
          <w:sz w:val="24"/>
          <w:szCs w:val="24"/>
        </w:rPr>
        <w:t>institutionalising</w:t>
      </w:r>
      <w:proofErr w:type="spellEnd"/>
      <w:r w:rsidRPr="00B44693">
        <w:rPr>
          <w:rFonts w:ascii="Times New Roman" w:eastAsia="Times New Roman" w:hAnsi="Times New Roman" w:cs="Times New Roman"/>
          <w:sz w:val="24"/>
          <w:szCs w:val="24"/>
        </w:rPr>
        <w:t xml:space="preserve"> community-driven engagement with government to integrate menstrual hygiene into local-health policy, resource allocation, and accountability frameworks</w:t>
      </w:r>
      <w:r>
        <w:rPr>
          <w:rFonts w:ascii="Times New Roman" w:eastAsia="Times New Roman" w:hAnsi="Times New Roman" w:cs="Times New Roman"/>
          <w:sz w:val="24"/>
          <w:szCs w:val="24"/>
        </w:rPr>
        <w:t xml:space="preserve"> </w:t>
      </w:r>
      <w:r w:rsidRPr="00B44693">
        <w:rPr>
          <w:rFonts w:ascii="Times New Roman" w:eastAsia="Times New Roman" w:hAnsi="Times New Roman" w:cs="Times New Roman"/>
          <w:sz w:val="24"/>
          <w:szCs w:val="24"/>
        </w:rPr>
        <w:t xml:space="preserve">transforming it from a private matter into a </w:t>
      </w:r>
      <w:proofErr w:type="spellStart"/>
      <w:r w:rsidRPr="00B44693">
        <w:rPr>
          <w:rFonts w:ascii="Times New Roman" w:eastAsia="Times New Roman" w:hAnsi="Times New Roman" w:cs="Times New Roman"/>
          <w:sz w:val="24"/>
          <w:szCs w:val="24"/>
        </w:rPr>
        <w:t>recognised</w:t>
      </w:r>
      <w:proofErr w:type="spellEnd"/>
      <w:r w:rsidRPr="00B44693">
        <w:rPr>
          <w:rFonts w:ascii="Times New Roman" w:eastAsia="Times New Roman" w:hAnsi="Times New Roman" w:cs="Times New Roman"/>
          <w:sz w:val="24"/>
          <w:szCs w:val="24"/>
        </w:rPr>
        <w:t xml:space="preserve"> public-health and rights issue.</w:t>
      </w:r>
    </w:p>
    <w:p w14:paraId="03067460" w14:textId="3025E748" w:rsidR="008540E9" w:rsidRPr="008540E9" w:rsidRDefault="008540E9" w:rsidP="008540E9">
      <w:pPr>
        <w:tabs>
          <w:tab w:val="left" w:pos="120"/>
          <w:tab w:val="left" w:pos="582"/>
        </w:tabs>
        <w:spacing w:line="285" w:lineRule="auto"/>
        <w:ind w:right="525"/>
        <w:rPr>
          <w:rFonts w:ascii="Seaford" w:hAnsi="Seaford"/>
          <w:i/>
          <w:sz w:val="24"/>
        </w:rPr>
      </w:pPr>
      <w:bookmarkStart w:id="5" w:name="_Hlk205902095"/>
      <w:r>
        <w:rPr>
          <w:rFonts w:ascii="Seaford" w:hAnsi="Seaford"/>
          <w:b/>
          <w:spacing w:val="-4"/>
          <w:sz w:val="24"/>
        </w:rPr>
        <w:t>2.</w:t>
      </w:r>
      <w:r w:rsidRPr="008540E9">
        <w:rPr>
          <w:rFonts w:ascii="Seaford" w:hAnsi="Seaford"/>
          <w:b/>
          <w:spacing w:val="-4"/>
          <w:sz w:val="24"/>
        </w:rPr>
        <w:t>Why</w:t>
      </w:r>
      <w:r w:rsidRPr="008540E9">
        <w:rPr>
          <w:rFonts w:ascii="Seaford" w:hAnsi="Seaford"/>
          <w:b/>
          <w:spacing w:val="-10"/>
          <w:sz w:val="24"/>
        </w:rPr>
        <w:t xml:space="preserve"> </w:t>
      </w:r>
      <w:r w:rsidRPr="008540E9">
        <w:rPr>
          <w:rFonts w:ascii="Seaford" w:hAnsi="Seaford"/>
          <w:b/>
          <w:spacing w:val="-4"/>
          <w:sz w:val="24"/>
        </w:rPr>
        <w:t>is</w:t>
      </w:r>
      <w:r w:rsidRPr="008540E9">
        <w:rPr>
          <w:rFonts w:ascii="Seaford" w:hAnsi="Seaford"/>
          <w:b/>
          <w:spacing w:val="-11"/>
          <w:sz w:val="24"/>
        </w:rPr>
        <w:t xml:space="preserve"> </w:t>
      </w:r>
      <w:r w:rsidRPr="008540E9">
        <w:rPr>
          <w:rFonts w:ascii="Seaford" w:hAnsi="Seaford"/>
          <w:b/>
          <w:spacing w:val="-4"/>
          <w:sz w:val="24"/>
        </w:rPr>
        <w:t>this</w:t>
      </w:r>
      <w:r w:rsidRPr="008540E9">
        <w:rPr>
          <w:rFonts w:ascii="Seaford" w:hAnsi="Seaford"/>
          <w:b/>
          <w:spacing w:val="-10"/>
          <w:sz w:val="24"/>
        </w:rPr>
        <w:t xml:space="preserve"> </w:t>
      </w:r>
      <w:r w:rsidRPr="008540E9">
        <w:rPr>
          <w:rFonts w:ascii="Seaford" w:hAnsi="Seaford"/>
          <w:b/>
          <w:spacing w:val="-4"/>
          <w:sz w:val="24"/>
        </w:rPr>
        <w:t>the</w:t>
      </w:r>
      <w:r w:rsidRPr="008540E9">
        <w:rPr>
          <w:rFonts w:ascii="Seaford" w:hAnsi="Seaford"/>
          <w:b/>
          <w:spacing w:val="-10"/>
          <w:sz w:val="24"/>
        </w:rPr>
        <w:t xml:space="preserve"> </w:t>
      </w:r>
      <w:r w:rsidRPr="008540E9">
        <w:rPr>
          <w:rFonts w:ascii="Seaford" w:hAnsi="Seaford"/>
          <w:b/>
          <w:spacing w:val="-4"/>
          <w:sz w:val="24"/>
        </w:rPr>
        <w:t>right</w:t>
      </w:r>
      <w:r w:rsidRPr="008540E9">
        <w:rPr>
          <w:rFonts w:ascii="Seaford" w:hAnsi="Seaford"/>
          <w:b/>
          <w:spacing w:val="-11"/>
          <w:sz w:val="24"/>
        </w:rPr>
        <w:t xml:space="preserve"> </w:t>
      </w:r>
      <w:r w:rsidRPr="008540E9">
        <w:rPr>
          <w:rFonts w:ascii="Seaford" w:hAnsi="Seaford"/>
          <w:b/>
          <w:spacing w:val="-4"/>
          <w:sz w:val="24"/>
        </w:rPr>
        <w:t>time</w:t>
      </w:r>
      <w:r w:rsidRPr="008540E9">
        <w:rPr>
          <w:rFonts w:ascii="Seaford" w:hAnsi="Seaford"/>
          <w:b/>
          <w:spacing w:val="-9"/>
          <w:sz w:val="24"/>
        </w:rPr>
        <w:t xml:space="preserve"> </w:t>
      </w:r>
      <w:r w:rsidRPr="008540E9">
        <w:rPr>
          <w:rFonts w:ascii="Seaford" w:hAnsi="Seaford"/>
          <w:b/>
          <w:spacing w:val="-4"/>
          <w:sz w:val="24"/>
        </w:rPr>
        <w:t>to</w:t>
      </w:r>
      <w:r w:rsidRPr="008540E9">
        <w:rPr>
          <w:rFonts w:ascii="Seaford" w:hAnsi="Seaford"/>
          <w:b/>
          <w:spacing w:val="-9"/>
          <w:sz w:val="24"/>
        </w:rPr>
        <w:t xml:space="preserve"> </w:t>
      </w:r>
      <w:r w:rsidRPr="008540E9">
        <w:rPr>
          <w:rFonts w:ascii="Seaford" w:hAnsi="Seaford"/>
          <w:b/>
          <w:spacing w:val="-4"/>
          <w:sz w:val="24"/>
        </w:rPr>
        <w:t>implement</w:t>
      </w:r>
      <w:r w:rsidRPr="008540E9">
        <w:rPr>
          <w:rFonts w:ascii="Seaford" w:hAnsi="Seaford"/>
          <w:b/>
          <w:spacing w:val="-10"/>
          <w:sz w:val="24"/>
        </w:rPr>
        <w:t xml:space="preserve"> </w:t>
      </w:r>
      <w:r w:rsidRPr="008540E9">
        <w:rPr>
          <w:rFonts w:ascii="Seaford" w:hAnsi="Seaford"/>
          <w:b/>
          <w:spacing w:val="-4"/>
          <w:sz w:val="24"/>
        </w:rPr>
        <w:t>the</w:t>
      </w:r>
      <w:r w:rsidRPr="008540E9">
        <w:rPr>
          <w:rFonts w:ascii="Seaford" w:hAnsi="Seaford"/>
          <w:b/>
          <w:spacing w:val="-10"/>
          <w:sz w:val="24"/>
        </w:rPr>
        <w:t xml:space="preserve"> </w:t>
      </w:r>
      <w:r w:rsidRPr="008540E9">
        <w:rPr>
          <w:rFonts w:ascii="Seaford" w:hAnsi="Seaford"/>
          <w:b/>
          <w:spacing w:val="-4"/>
          <w:sz w:val="24"/>
        </w:rPr>
        <w:t>project?</w:t>
      </w:r>
      <w:r w:rsidRPr="008540E9">
        <w:rPr>
          <w:rFonts w:ascii="Seaford" w:hAnsi="Seaford"/>
          <w:b/>
          <w:spacing w:val="-9"/>
          <w:sz w:val="24"/>
        </w:rPr>
        <w:t xml:space="preserve"> </w:t>
      </w:r>
      <w:bookmarkEnd w:id="5"/>
    </w:p>
    <w:p w14:paraId="29AB31E3" w14:textId="77777777" w:rsidR="008540E9" w:rsidRDefault="008540E9" w:rsidP="008540E9">
      <w:pPr>
        <w:pStyle w:val="BodyText"/>
        <w:rPr>
          <w:rFonts w:ascii="Seaford" w:hAnsi="Seaford"/>
          <w:i/>
          <w:sz w:val="24"/>
        </w:rPr>
      </w:pPr>
    </w:p>
    <w:p w14:paraId="27A58EFC"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 xml:space="preserve">Post-crisis recovery in Sri Lanka has generated renewed national attention on equitable access to essential services, with the Ministry of Health and the Ministry of Women and Child Affairs jointly </w:t>
      </w:r>
      <w:r w:rsidRPr="00B44693">
        <w:rPr>
          <w:rFonts w:ascii="Times New Roman" w:eastAsia="Times New Roman" w:hAnsi="Times New Roman" w:cs="Times New Roman"/>
          <w:sz w:val="24"/>
          <w:szCs w:val="24"/>
        </w:rPr>
        <w:lastRenderedPageBreak/>
        <w:t xml:space="preserve">developing a Menstrual Health Management (MHM) policy framework in 2024. Yet district-level implementation remains weak, especially in the Eastern Province. The current </w:t>
      </w:r>
      <w:proofErr w:type="spellStart"/>
      <w:r w:rsidRPr="00B44693">
        <w:rPr>
          <w:rFonts w:ascii="Times New Roman" w:eastAsia="Times New Roman" w:hAnsi="Times New Roman" w:cs="Times New Roman"/>
          <w:sz w:val="24"/>
          <w:szCs w:val="24"/>
        </w:rPr>
        <w:t>decentralisation</w:t>
      </w:r>
      <w:proofErr w:type="spellEnd"/>
      <w:r w:rsidRPr="00B44693">
        <w:rPr>
          <w:rFonts w:ascii="Times New Roman" w:eastAsia="Times New Roman" w:hAnsi="Times New Roman" w:cs="Times New Roman"/>
          <w:sz w:val="24"/>
          <w:szCs w:val="24"/>
        </w:rPr>
        <w:t xml:space="preserve"> drive and the 2026 local-council reform agenda offer a unique policy window for embedding community-led health initiatives into local-governance systems.</w:t>
      </w:r>
    </w:p>
    <w:p w14:paraId="156B28E6"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At the same time, public discourse on gender equality and cost-of-living pressures has intensified demand for affordable menstrual products and better sanitation in schools. Trincomalee’s multi-ethnic context makes it a priority area for inclusive interventions that model participatory, inter-communal approaches to women’s health governance.</w:t>
      </w:r>
    </w:p>
    <w:p w14:paraId="4B0CC0BE"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Building upon RECDO’s tested community platforms and trained volunteers, this project will seize the momentum to pilot structured citizen-government engagement mechanisms</w:t>
      </w:r>
      <w:r>
        <w:rPr>
          <w:rFonts w:ascii="Times New Roman" w:eastAsia="Times New Roman" w:hAnsi="Times New Roman" w:cs="Times New Roman"/>
          <w:sz w:val="24"/>
          <w:szCs w:val="24"/>
        </w:rPr>
        <w:t xml:space="preserve"> </w:t>
      </w:r>
      <w:r w:rsidRPr="00B44693">
        <w:rPr>
          <w:rFonts w:ascii="Times New Roman" w:eastAsia="Times New Roman" w:hAnsi="Times New Roman" w:cs="Times New Roman"/>
          <w:sz w:val="24"/>
          <w:szCs w:val="24"/>
        </w:rPr>
        <w:t xml:space="preserve">ensuring local implementation of national MHM commitments and generating scalable lessons for other districts. Timely Commonwealth Foundation support will </w:t>
      </w:r>
      <w:proofErr w:type="spellStart"/>
      <w:r w:rsidRPr="00B44693">
        <w:rPr>
          <w:rFonts w:ascii="Times New Roman" w:eastAsia="Times New Roman" w:hAnsi="Times New Roman" w:cs="Times New Roman"/>
          <w:sz w:val="24"/>
          <w:szCs w:val="24"/>
        </w:rPr>
        <w:t>institutionalise</w:t>
      </w:r>
      <w:proofErr w:type="spellEnd"/>
      <w:r w:rsidRPr="00B44693">
        <w:rPr>
          <w:rFonts w:ascii="Times New Roman" w:eastAsia="Times New Roman" w:hAnsi="Times New Roman" w:cs="Times New Roman"/>
          <w:sz w:val="24"/>
          <w:szCs w:val="24"/>
        </w:rPr>
        <w:t xml:space="preserve"> these processes before policy attention wanes.</w:t>
      </w:r>
    </w:p>
    <w:p w14:paraId="434B13E9" w14:textId="77777777" w:rsidR="008540E9" w:rsidRPr="00EB3466" w:rsidRDefault="008540E9" w:rsidP="008540E9">
      <w:pPr>
        <w:pStyle w:val="BodyText"/>
        <w:rPr>
          <w:rFonts w:ascii="Seaford" w:hAnsi="Seaford"/>
          <w:i/>
          <w:sz w:val="24"/>
        </w:rPr>
      </w:pPr>
    </w:p>
    <w:p w14:paraId="3247B826" w14:textId="2668BA8C" w:rsidR="008540E9" w:rsidRPr="0038486F" w:rsidRDefault="008540E9" w:rsidP="008540E9">
      <w:pPr>
        <w:pStyle w:val="Heading1"/>
        <w:tabs>
          <w:tab w:val="num" w:pos="360"/>
          <w:tab w:val="left" w:pos="583"/>
        </w:tabs>
        <w:spacing w:before="47" w:line="285" w:lineRule="auto"/>
        <w:ind w:right="1574"/>
        <w:rPr>
          <w:rFonts w:ascii="Seaford" w:hAnsi="Seaford"/>
          <w:b/>
          <w:i/>
          <w:color w:val="auto"/>
          <w:sz w:val="22"/>
        </w:rPr>
      </w:pPr>
      <w:r>
        <w:rPr>
          <w:rFonts w:ascii="Seaford" w:hAnsi="Seaford"/>
          <w:b/>
          <w:bCs/>
          <w:color w:val="auto"/>
          <w:spacing w:val="-6"/>
          <w:sz w:val="24"/>
          <w:szCs w:val="24"/>
        </w:rPr>
        <w:t>3.</w:t>
      </w:r>
      <w:r w:rsidRPr="0038486F">
        <w:rPr>
          <w:rFonts w:ascii="Seaford" w:hAnsi="Seaford"/>
          <w:b/>
          <w:bCs/>
          <w:color w:val="auto"/>
          <w:spacing w:val="-6"/>
          <w:sz w:val="24"/>
          <w:szCs w:val="24"/>
        </w:rPr>
        <w:t>How</w:t>
      </w:r>
      <w:r w:rsidRPr="0038486F">
        <w:rPr>
          <w:rFonts w:ascii="Seaford" w:hAnsi="Seaford"/>
          <w:b/>
          <w:bCs/>
          <w:color w:val="auto"/>
          <w:spacing w:val="-19"/>
          <w:sz w:val="24"/>
          <w:szCs w:val="24"/>
        </w:rPr>
        <w:t xml:space="preserve"> </w:t>
      </w:r>
      <w:r w:rsidRPr="0038486F">
        <w:rPr>
          <w:rFonts w:ascii="Seaford" w:hAnsi="Seaford"/>
          <w:b/>
          <w:bCs/>
          <w:color w:val="auto"/>
          <w:spacing w:val="-6"/>
          <w:sz w:val="24"/>
          <w:szCs w:val="24"/>
        </w:rPr>
        <w:t>does</w:t>
      </w:r>
      <w:r w:rsidRPr="0038486F">
        <w:rPr>
          <w:rFonts w:ascii="Seaford" w:hAnsi="Seaford"/>
          <w:b/>
          <w:bCs/>
          <w:color w:val="auto"/>
          <w:spacing w:val="-17"/>
          <w:sz w:val="24"/>
          <w:szCs w:val="24"/>
        </w:rPr>
        <w:t xml:space="preserve"> </w:t>
      </w:r>
      <w:r w:rsidRPr="0038486F">
        <w:rPr>
          <w:rFonts w:ascii="Seaford" w:hAnsi="Seaford"/>
          <w:b/>
          <w:bCs/>
          <w:color w:val="auto"/>
          <w:spacing w:val="-6"/>
          <w:sz w:val="24"/>
          <w:szCs w:val="24"/>
        </w:rPr>
        <w:t>the</w:t>
      </w:r>
      <w:r w:rsidRPr="0038486F">
        <w:rPr>
          <w:rFonts w:ascii="Seaford" w:hAnsi="Seaford"/>
          <w:b/>
          <w:bCs/>
          <w:color w:val="auto"/>
          <w:spacing w:val="-16"/>
          <w:sz w:val="24"/>
          <w:szCs w:val="24"/>
        </w:rPr>
        <w:t xml:space="preserve"> </w:t>
      </w:r>
      <w:r w:rsidRPr="0038486F">
        <w:rPr>
          <w:rFonts w:ascii="Seaford" w:hAnsi="Seaford"/>
          <w:b/>
          <w:bCs/>
          <w:color w:val="auto"/>
          <w:spacing w:val="-6"/>
          <w:sz w:val="24"/>
          <w:szCs w:val="24"/>
        </w:rPr>
        <w:t>problem</w:t>
      </w:r>
      <w:r w:rsidRPr="0038486F">
        <w:rPr>
          <w:rFonts w:ascii="Seaford" w:hAnsi="Seaford"/>
          <w:b/>
          <w:bCs/>
          <w:color w:val="auto"/>
          <w:spacing w:val="-16"/>
          <w:sz w:val="24"/>
          <w:szCs w:val="24"/>
        </w:rPr>
        <w:t xml:space="preserve"> </w:t>
      </w:r>
      <w:r w:rsidRPr="0038486F">
        <w:rPr>
          <w:rFonts w:ascii="Seaford" w:hAnsi="Seaford"/>
          <w:b/>
          <w:bCs/>
          <w:color w:val="auto"/>
          <w:spacing w:val="-6"/>
          <w:sz w:val="24"/>
          <w:szCs w:val="24"/>
        </w:rPr>
        <w:t>impact</w:t>
      </w:r>
      <w:r w:rsidRPr="0038486F">
        <w:rPr>
          <w:rFonts w:ascii="Seaford" w:hAnsi="Seaford"/>
          <w:b/>
          <w:bCs/>
          <w:color w:val="auto"/>
          <w:spacing w:val="-17"/>
          <w:sz w:val="24"/>
          <w:szCs w:val="24"/>
        </w:rPr>
        <w:t xml:space="preserve"> </w:t>
      </w:r>
      <w:r w:rsidRPr="0038486F">
        <w:rPr>
          <w:rFonts w:ascii="Seaford" w:hAnsi="Seaford"/>
          <w:b/>
          <w:bCs/>
          <w:color w:val="auto"/>
          <w:spacing w:val="-6"/>
          <w:sz w:val="24"/>
          <w:szCs w:val="24"/>
        </w:rPr>
        <w:t>women,</w:t>
      </w:r>
      <w:r w:rsidRPr="0038486F">
        <w:rPr>
          <w:rFonts w:ascii="Seaford" w:hAnsi="Seaford"/>
          <w:b/>
          <w:bCs/>
          <w:color w:val="auto"/>
          <w:spacing w:val="-16"/>
          <w:sz w:val="24"/>
          <w:szCs w:val="24"/>
        </w:rPr>
        <w:t xml:space="preserve"> </w:t>
      </w:r>
      <w:r w:rsidRPr="0038486F">
        <w:rPr>
          <w:rFonts w:ascii="Seaford" w:hAnsi="Seaford"/>
          <w:b/>
          <w:bCs/>
          <w:color w:val="auto"/>
          <w:spacing w:val="-6"/>
          <w:sz w:val="24"/>
          <w:szCs w:val="24"/>
        </w:rPr>
        <w:t>men</w:t>
      </w:r>
      <w:r w:rsidRPr="0038486F">
        <w:rPr>
          <w:rFonts w:ascii="Seaford" w:hAnsi="Seaford"/>
          <w:b/>
          <w:bCs/>
          <w:color w:val="auto"/>
          <w:spacing w:val="-16"/>
          <w:sz w:val="24"/>
          <w:szCs w:val="24"/>
        </w:rPr>
        <w:t xml:space="preserve"> </w:t>
      </w:r>
      <w:r w:rsidRPr="0038486F">
        <w:rPr>
          <w:rFonts w:ascii="Seaford" w:hAnsi="Seaford"/>
          <w:b/>
          <w:bCs/>
          <w:color w:val="auto"/>
          <w:spacing w:val="-6"/>
          <w:sz w:val="24"/>
          <w:szCs w:val="24"/>
        </w:rPr>
        <w:t>and</w:t>
      </w:r>
      <w:r w:rsidRPr="0038486F">
        <w:rPr>
          <w:rFonts w:ascii="Seaford" w:hAnsi="Seaford"/>
          <w:b/>
          <w:bCs/>
          <w:color w:val="auto"/>
          <w:spacing w:val="-17"/>
          <w:sz w:val="24"/>
          <w:szCs w:val="24"/>
        </w:rPr>
        <w:t xml:space="preserve"> </w:t>
      </w:r>
      <w:proofErr w:type="spellStart"/>
      <w:r w:rsidRPr="0038486F">
        <w:rPr>
          <w:rFonts w:ascii="Seaford" w:hAnsi="Seaford"/>
          <w:b/>
          <w:bCs/>
          <w:color w:val="auto"/>
          <w:spacing w:val="-6"/>
          <w:sz w:val="24"/>
          <w:szCs w:val="24"/>
        </w:rPr>
        <w:t>marginalised</w:t>
      </w:r>
      <w:proofErr w:type="spellEnd"/>
      <w:r w:rsidRPr="0038486F">
        <w:rPr>
          <w:rFonts w:ascii="Seaford" w:hAnsi="Seaford"/>
          <w:b/>
          <w:bCs/>
          <w:color w:val="auto"/>
          <w:spacing w:val="-17"/>
          <w:sz w:val="24"/>
          <w:szCs w:val="24"/>
        </w:rPr>
        <w:t xml:space="preserve"> </w:t>
      </w:r>
      <w:r w:rsidRPr="0038486F">
        <w:rPr>
          <w:rFonts w:ascii="Seaford" w:hAnsi="Seaford"/>
          <w:b/>
          <w:bCs/>
          <w:color w:val="auto"/>
          <w:spacing w:val="-6"/>
          <w:sz w:val="24"/>
          <w:szCs w:val="24"/>
        </w:rPr>
        <w:t xml:space="preserve">groups </w:t>
      </w:r>
      <w:r w:rsidRPr="0038486F">
        <w:rPr>
          <w:rFonts w:ascii="Seaford" w:hAnsi="Seaford"/>
          <w:b/>
          <w:bCs/>
          <w:color w:val="auto"/>
          <w:sz w:val="24"/>
          <w:szCs w:val="24"/>
        </w:rPr>
        <w:t>differently?</w:t>
      </w:r>
      <w:r w:rsidRPr="0038486F">
        <w:rPr>
          <w:rFonts w:ascii="Seaford" w:hAnsi="Seaford"/>
          <w:color w:val="auto"/>
          <w:spacing w:val="40"/>
        </w:rPr>
        <w:t xml:space="preserve"> </w:t>
      </w:r>
    </w:p>
    <w:p w14:paraId="04704FDE" w14:textId="77777777" w:rsidR="008540E9" w:rsidRDefault="008540E9" w:rsidP="008540E9">
      <w:pPr>
        <w:pStyle w:val="BodyText"/>
        <w:spacing w:before="53"/>
        <w:rPr>
          <w:rFonts w:ascii="Seaford" w:hAnsi="Seaford"/>
          <w:i/>
          <w:sz w:val="24"/>
        </w:rPr>
      </w:pPr>
    </w:p>
    <w:p w14:paraId="63B4A4C1"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Menstruation primarily affects women and adolescent girls, yet the burden of silence, stigma, and inadequate facilities also shapes family and community wellbeing. In Trincomalee, poor women, girls with disabilities, and plantation or coastal communities face the most acute challenges due to cost barriers, cultural restrictions, and geographic isolation. The absence of privacy and disposal facilities in schools and workplaces leads to absenteeism, declining academic performance, and reduced productivity.</w:t>
      </w:r>
    </w:p>
    <w:p w14:paraId="2421674B"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 xml:space="preserve">Men, meanwhile, often remain excluded from menstrual-health conversations, reinforcing social taboos and limiting shared responsibility within households and institutions. This gendered information gap perpetuates discrimination and </w:t>
      </w:r>
      <w:proofErr w:type="spellStart"/>
      <w:r w:rsidRPr="00B44693">
        <w:rPr>
          <w:rFonts w:ascii="Times New Roman" w:eastAsia="Times New Roman" w:hAnsi="Times New Roman" w:cs="Times New Roman"/>
          <w:sz w:val="24"/>
          <w:szCs w:val="24"/>
        </w:rPr>
        <w:t>normalises</w:t>
      </w:r>
      <w:proofErr w:type="spellEnd"/>
      <w:r w:rsidRPr="00B44693">
        <w:rPr>
          <w:rFonts w:ascii="Times New Roman" w:eastAsia="Times New Roman" w:hAnsi="Times New Roman" w:cs="Times New Roman"/>
          <w:sz w:val="24"/>
          <w:szCs w:val="24"/>
        </w:rPr>
        <w:t xml:space="preserve"> neglect of women’s health needs in governance forums.</w:t>
      </w:r>
    </w:p>
    <w:p w14:paraId="3084604B"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 xml:space="preserve">By </w:t>
      </w:r>
      <w:proofErr w:type="spellStart"/>
      <w:r w:rsidRPr="00B44693">
        <w:rPr>
          <w:rFonts w:ascii="Times New Roman" w:eastAsia="Times New Roman" w:hAnsi="Times New Roman" w:cs="Times New Roman"/>
          <w:sz w:val="24"/>
          <w:szCs w:val="24"/>
        </w:rPr>
        <w:t>prioritising</w:t>
      </w:r>
      <w:proofErr w:type="spellEnd"/>
      <w:r w:rsidRPr="00B44693">
        <w:rPr>
          <w:rFonts w:ascii="Times New Roman" w:eastAsia="Times New Roman" w:hAnsi="Times New Roman" w:cs="Times New Roman"/>
          <w:sz w:val="24"/>
          <w:szCs w:val="24"/>
        </w:rPr>
        <w:t xml:space="preserve"> inclusive community dialogue and male engagement, the project ensures that men and boys become allies in breaking stigma, while women and girls gain the confidence and institutional channels to demand equitable access. Intersectional analysis and gender-disaggregated monitoring will guide all activities, ensuring representation of </w:t>
      </w:r>
      <w:proofErr w:type="spellStart"/>
      <w:r w:rsidRPr="00B44693">
        <w:rPr>
          <w:rFonts w:ascii="Times New Roman" w:eastAsia="Times New Roman" w:hAnsi="Times New Roman" w:cs="Times New Roman"/>
          <w:sz w:val="24"/>
          <w:szCs w:val="24"/>
        </w:rPr>
        <w:t>marginalised</w:t>
      </w:r>
      <w:proofErr w:type="spellEnd"/>
      <w:r w:rsidRPr="00B44693">
        <w:rPr>
          <w:rFonts w:ascii="Times New Roman" w:eastAsia="Times New Roman" w:hAnsi="Times New Roman" w:cs="Times New Roman"/>
          <w:sz w:val="24"/>
          <w:szCs w:val="24"/>
        </w:rPr>
        <w:t xml:space="preserve"> groups, including persons with disabilities and ethnic minorities, in decision-making processes.</w:t>
      </w:r>
    </w:p>
    <w:p w14:paraId="616EF1FD" w14:textId="77777777" w:rsidR="008540E9" w:rsidRPr="00EB3466" w:rsidRDefault="008540E9" w:rsidP="008540E9">
      <w:pPr>
        <w:pStyle w:val="BodyText"/>
        <w:spacing w:before="53"/>
        <w:jc w:val="both"/>
        <w:rPr>
          <w:rFonts w:ascii="Seaford" w:hAnsi="Seaford"/>
          <w:i/>
          <w:sz w:val="24"/>
        </w:rPr>
      </w:pPr>
    </w:p>
    <w:p w14:paraId="78466174" w14:textId="7F42FE59" w:rsidR="008540E9" w:rsidRPr="008540E9" w:rsidRDefault="008540E9" w:rsidP="008540E9">
      <w:pPr>
        <w:tabs>
          <w:tab w:val="left" w:pos="583"/>
        </w:tabs>
        <w:jc w:val="both"/>
        <w:rPr>
          <w:rFonts w:ascii="Seaford" w:hAnsi="Seaford"/>
          <w:i/>
        </w:rPr>
      </w:pPr>
      <w:r>
        <w:rPr>
          <w:rFonts w:ascii="Seaford" w:hAnsi="Seaford"/>
          <w:b/>
          <w:spacing w:val="-6"/>
          <w:sz w:val="24"/>
        </w:rPr>
        <w:lastRenderedPageBreak/>
        <w:t>4.</w:t>
      </w:r>
      <w:r w:rsidRPr="008540E9">
        <w:rPr>
          <w:rFonts w:ascii="Seaford" w:hAnsi="Seaford"/>
          <w:b/>
          <w:spacing w:val="-6"/>
          <w:sz w:val="24"/>
        </w:rPr>
        <w:t>How</w:t>
      </w:r>
      <w:r w:rsidRPr="008540E9">
        <w:rPr>
          <w:rFonts w:ascii="Seaford" w:hAnsi="Seaford"/>
          <w:b/>
          <w:spacing w:val="-7"/>
          <w:sz w:val="24"/>
        </w:rPr>
        <w:t xml:space="preserve"> </w:t>
      </w:r>
      <w:r w:rsidRPr="008540E9">
        <w:rPr>
          <w:rFonts w:ascii="Seaford" w:hAnsi="Seaford"/>
          <w:b/>
          <w:spacing w:val="-6"/>
          <w:sz w:val="24"/>
        </w:rPr>
        <w:t>have you</w:t>
      </w:r>
      <w:r w:rsidRPr="008540E9">
        <w:rPr>
          <w:rFonts w:ascii="Seaford" w:hAnsi="Seaford"/>
          <w:b/>
          <w:spacing w:val="-5"/>
          <w:sz w:val="24"/>
        </w:rPr>
        <w:t xml:space="preserve"> </w:t>
      </w:r>
      <w:r w:rsidRPr="008540E9">
        <w:rPr>
          <w:rFonts w:ascii="Seaford" w:hAnsi="Seaford"/>
          <w:b/>
          <w:spacing w:val="-6"/>
          <w:sz w:val="24"/>
        </w:rPr>
        <w:t>identified</w:t>
      </w:r>
      <w:r w:rsidRPr="008540E9">
        <w:rPr>
          <w:rFonts w:ascii="Seaford" w:hAnsi="Seaford"/>
          <w:b/>
          <w:spacing w:val="-7"/>
          <w:sz w:val="24"/>
        </w:rPr>
        <w:t xml:space="preserve"> </w:t>
      </w:r>
      <w:r w:rsidRPr="008540E9">
        <w:rPr>
          <w:rFonts w:ascii="Seaford" w:hAnsi="Seaford"/>
          <w:b/>
          <w:spacing w:val="-6"/>
          <w:sz w:val="24"/>
        </w:rPr>
        <w:t>the</w:t>
      </w:r>
      <w:r w:rsidRPr="008540E9">
        <w:rPr>
          <w:rFonts w:ascii="Seaford" w:hAnsi="Seaford"/>
          <w:b/>
          <w:spacing w:val="-5"/>
          <w:sz w:val="24"/>
        </w:rPr>
        <w:t xml:space="preserve"> </w:t>
      </w:r>
      <w:r w:rsidRPr="008540E9">
        <w:rPr>
          <w:rFonts w:ascii="Seaford" w:hAnsi="Seaford"/>
          <w:b/>
          <w:spacing w:val="-6"/>
          <w:sz w:val="24"/>
        </w:rPr>
        <w:t xml:space="preserve">problem? </w:t>
      </w:r>
    </w:p>
    <w:p w14:paraId="3F15AA95" w14:textId="77777777" w:rsidR="008540E9" w:rsidRPr="00EB3466" w:rsidRDefault="008540E9" w:rsidP="008540E9">
      <w:pPr>
        <w:pStyle w:val="BodyText"/>
        <w:spacing w:before="55"/>
        <w:jc w:val="both"/>
        <w:rPr>
          <w:rFonts w:ascii="Seaford" w:hAnsi="Seaford"/>
          <w:i/>
          <w:sz w:val="24"/>
        </w:rPr>
      </w:pPr>
    </w:p>
    <w:p w14:paraId="3D3DF151" w14:textId="77777777" w:rsidR="008540E9" w:rsidRPr="00EB3466" w:rsidRDefault="008540E9" w:rsidP="008540E9">
      <w:pPr>
        <w:pStyle w:val="ListParagraph"/>
        <w:numPr>
          <w:ilvl w:val="0"/>
          <w:numId w:val="7"/>
        </w:numPr>
        <w:tabs>
          <w:tab w:val="left" w:pos="837"/>
          <w:tab w:val="left" w:pos="840"/>
        </w:tabs>
        <w:spacing w:line="285" w:lineRule="auto"/>
        <w:ind w:right="199"/>
        <w:contextualSpacing w:val="0"/>
        <w:jc w:val="both"/>
        <w:rPr>
          <w:rFonts w:ascii="Seaford" w:hAnsi="Seaford"/>
        </w:rPr>
      </w:pPr>
      <w:r w:rsidRPr="00EB3466">
        <w:rPr>
          <w:rFonts w:ascii="Seaford" w:hAnsi="Seaford"/>
        </w:rPr>
        <w:t>Please mention research</w:t>
      </w:r>
      <w:r w:rsidRPr="00EB3466">
        <w:rPr>
          <w:rFonts w:ascii="Seaford" w:hAnsi="Seaford"/>
          <w:spacing w:val="-1"/>
        </w:rPr>
        <w:t xml:space="preserve"> </w:t>
      </w:r>
      <w:r w:rsidRPr="00EB3466">
        <w:rPr>
          <w:rFonts w:ascii="Seaford" w:hAnsi="Seaford"/>
        </w:rPr>
        <w:t>or other resource materials that</w:t>
      </w:r>
      <w:r w:rsidRPr="00EB3466">
        <w:rPr>
          <w:rFonts w:ascii="Seaford" w:hAnsi="Seaford"/>
          <w:spacing w:val="-1"/>
        </w:rPr>
        <w:t xml:space="preserve"> </w:t>
      </w:r>
      <w:r w:rsidRPr="00EB3466">
        <w:rPr>
          <w:rFonts w:ascii="Seaford" w:hAnsi="Seaford"/>
        </w:rPr>
        <w:t xml:space="preserve">support identification and </w:t>
      </w:r>
      <w:r w:rsidRPr="00EB3466">
        <w:rPr>
          <w:rFonts w:ascii="Seaford" w:hAnsi="Seaford"/>
          <w:spacing w:val="-2"/>
        </w:rPr>
        <w:t>relevance</w:t>
      </w:r>
      <w:r w:rsidRPr="00EB3466">
        <w:rPr>
          <w:rFonts w:ascii="Seaford" w:hAnsi="Seaford"/>
          <w:spacing w:val="-11"/>
        </w:rPr>
        <w:t xml:space="preserve"> </w:t>
      </w:r>
      <w:r w:rsidRPr="00EB3466">
        <w:rPr>
          <w:rFonts w:ascii="Seaford" w:hAnsi="Seaford"/>
          <w:spacing w:val="-2"/>
        </w:rPr>
        <w:t>of</w:t>
      </w:r>
      <w:r w:rsidRPr="00EB3466">
        <w:rPr>
          <w:rFonts w:ascii="Seaford" w:hAnsi="Seaford"/>
          <w:spacing w:val="-9"/>
        </w:rPr>
        <w:t xml:space="preserve"> </w:t>
      </w:r>
      <w:r w:rsidRPr="00EB3466">
        <w:rPr>
          <w:rFonts w:ascii="Seaford" w:hAnsi="Seaford"/>
          <w:spacing w:val="-2"/>
        </w:rPr>
        <w:t>the</w:t>
      </w:r>
      <w:r w:rsidRPr="00EB3466">
        <w:rPr>
          <w:rFonts w:ascii="Seaford" w:hAnsi="Seaford"/>
          <w:spacing w:val="-12"/>
        </w:rPr>
        <w:t xml:space="preserve"> </w:t>
      </w:r>
      <w:r w:rsidRPr="00EB3466">
        <w:rPr>
          <w:rFonts w:ascii="Seaford" w:hAnsi="Seaford"/>
          <w:spacing w:val="-2"/>
        </w:rPr>
        <w:t>problem.</w:t>
      </w:r>
      <w:r w:rsidRPr="00EB3466">
        <w:rPr>
          <w:rFonts w:ascii="Seaford" w:hAnsi="Seaford"/>
          <w:spacing w:val="-14"/>
        </w:rPr>
        <w:t xml:space="preserve"> </w:t>
      </w:r>
      <w:r w:rsidRPr="00EB3466">
        <w:rPr>
          <w:rFonts w:ascii="Seaford" w:hAnsi="Seaford"/>
          <w:spacing w:val="-2"/>
        </w:rPr>
        <w:t>This</w:t>
      </w:r>
      <w:r w:rsidRPr="00EB3466">
        <w:rPr>
          <w:rFonts w:ascii="Seaford" w:hAnsi="Seaford"/>
          <w:spacing w:val="-9"/>
        </w:rPr>
        <w:t xml:space="preserve"> </w:t>
      </w:r>
      <w:r w:rsidRPr="00EB3466">
        <w:rPr>
          <w:rFonts w:ascii="Seaford" w:hAnsi="Seaford"/>
          <w:spacing w:val="-2"/>
        </w:rPr>
        <w:t>research</w:t>
      </w:r>
      <w:r w:rsidRPr="00EB3466">
        <w:rPr>
          <w:rFonts w:ascii="Seaford" w:hAnsi="Seaford"/>
          <w:spacing w:val="-11"/>
        </w:rPr>
        <w:t xml:space="preserve"> </w:t>
      </w:r>
      <w:r w:rsidRPr="00EB3466">
        <w:rPr>
          <w:rFonts w:ascii="Seaford" w:hAnsi="Seaford"/>
          <w:spacing w:val="-2"/>
        </w:rPr>
        <w:t>could</w:t>
      </w:r>
      <w:r w:rsidRPr="00EB3466">
        <w:rPr>
          <w:rFonts w:ascii="Seaford" w:hAnsi="Seaford"/>
          <w:spacing w:val="-10"/>
        </w:rPr>
        <w:t xml:space="preserve"> </w:t>
      </w:r>
      <w:r w:rsidRPr="00EB3466">
        <w:rPr>
          <w:rFonts w:ascii="Seaford" w:hAnsi="Seaford"/>
          <w:spacing w:val="-2"/>
        </w:rPr>
        <w:t>have</w:t>
      </w:r>
      <w:r w:rsidRPr="00EB3466">
        <w:rPr>
          <w:rFonts w:ascii="Seaford" w:hAnsi="Seaford"/>
          <w:spacing w:val="-12"/>
        </w:rPr>
        <w:t xml:space="preserve"> </w:t>
      </w:r>
      <w:r w:rsidRPr="00EB3466">
        <w:rPr>
          <w:rFonts w:ascii="Seaford" w:hAnsi="Seaford"/>
          <w:spacing w:val="-2"/>
        </w:rPr>
        <w:t>been</w:t>
      </w:r>
      <w:r w:rsidRPr="00EB3466">
        <w:rPr>
          <w:rFonts w:ascii="Seaford" w:hAnsi="Seaford"/>
          <w:spacing w:val="-11"/>
        </w:rPr>
        <w:t xml:space="preserve"> </w:t>
      </w:r>
      <w:r w:rsidRPr="00EB3466">
        <w:rPr>
          <w:rFonts w:ascii="Seaford" w:hAnsi="Seaford"/>
          <w:spacing w:val="-2"/>
        </w:rPr>
        <w:t>undertaken</w:t>
      </w:r>
      <w:r w:rsidRPr="00EB3466">
        <w:rPr>
          <w:rFonts w:ascii="Seaford" w:hAnsi="Seaford"/>
          <w:spacing w:val="-11"/>
        </w:rPr>
        <w:t xml:space="preserve"> </w:t>
      </w:r>
      <w:r w:rsidRPr="00EB3466">
        <w:rPr>
          <w:rFonts w:ascii="Seaford" w:hAnsi="Seaford"/>
          <w:spacing w:val="-2"/>
        </w:rPr>
        <w:t>by</w:t>
      </w:r>
      <w:r w:rsidRPr="00EB3466">
        <w:rPr>
          <w:rFonts w:ascii="Seaford" w:hAnsi="Seaford"/>
          <w:spacing w:val="-9"/>
        </w:rPr>
        <w:t xml:space="preserve"> </w:t>
      </w:r>
      <w:r w:rsidRPr="00EB3466">
        <w:rPr>
          <w:rFonts w:ascii="Seaford" w:hAnsi="Seaford"/>
          <w:spacing w:val="-2"/>
        </w:rPr>
        <w:t>your</w:t>
      </w:r>
      <w:r w:rsidRPr="00EB3466">
        <w:rPr>
          <w:rFonts w:ascii="Seaford" w:hAnsi="Seaford"/>
          <w:spacing w:val="-12"/>
        </w:rPr>
        <w:t xml:space="preserve"> </w:t>
      </w:r>
      <w:proofErr w:type="spellStart"/>
      <w:r w:rsidRPr="00EB3466">
        <w:rPr>
          <w:rFonts w:ascii="Seaford" w:hAnsi="Seaford"/>
          <w:spacing w:val="-2"/>
        </w:rPr>
        <w:t>organisation</w:t>
      </w:r>
      <w:proofErr w:type="spellEnd"/>
      <w:r w:rsidRPr="00EB3466">
        <w:rPr>
          <w:rFonts w:ascii="Seaford" w:hAnsi="Seaford"/>
          <w:spacing w:val="-2"/>
        </w:rPr>
        <w:t xml:space="preserve"> </w:t>
      </w:r>
      <w:r w:rsidRPr="00EB3466">
        <w:rPr>
          <w:rFonts w:ascii="Seaford" w:hAnsi="Seaford"/>
        </w:rPr>
        <w:t>or</w:t>
      </w:r>
      <w:r w:rsidRPr="00EB3466">
        <w:rPr>
          <w:rFonts w:ascii="Seaford" w:hAnsi="Seaford"/>
          <w:spacing w:val="-7"/>
        </w:rPr>
        <w:t xml:space="preserve"> </w:t>
      </w:r>
      <w:r w:rsidRPr="00EB3466">
        <w:rPr>
          <w:rFonts w:ascii="Seaford" w:hAnsi="Seaford"/>
        </w:rPr>
        <w:t>by</w:t>
      </w:r>
      <w:r w:rsidRPr="00EB3466">
        <w:rPr>
          <w:rFonts w:ascii="Seaford" w:hAnsi="Seaford"/>
          <w:spacing w:val="-6"/>
        </w:rPr>
        <w:t xml:space="preserve"> </w:t>
      </w:r>
      <w:r w:rsidRPr="00EB3466">
        <w:rPr>
          <w:rFonts w:ascii="Seaford" w:hAnsi="Seaford"/>
        </w:rPr>
        <w:t>other</w:t>
      </w:r>
      <w:r w:rsidRPr="00EB3466">
        <w:rPr>
          <w:rFonts w:ascii="Seaford" w:hAnsi="Seaford"/>
          <w:spacing w:val="-7"/>
        </w:rPr>
        <w:t xml:space="preserve"> </w:t>
      </w:r>
      <w:proofErr w:type="spellStart"/>
      <w:r w:rsidRPr="00EB3466">
        <w:rPr>
          <w:rFonts w:ascii="Seaford" w:hAnsi="Seaford"/>
        </w:rPr>
        <w:t>organisations</w:t>
      </w:r>
      <w:proofErr w:type="spellEnd"/>
      <w:r w:rsidRPr="00EB3466">
        <w:rPr>
          <w:rFonts w:ascii="Seaford" w:hAnsi="Seaford"/>
          <w:spacing w:val="-8"/>
        </w:rPr>
        <w:t xml:space="preserve"> </w:t>
      </w:r>
      <w:r w:rsidRPr="00EB3466">
        <w:rPr>
          <w:rFonts w:ascii="Seaford" w:hAnsi="Seaford"/>
        </w:rPr>
        <w:t>and</w:t>
      </w:r>
      <w:r w:rsidRPr="00EB3466">
        <w:rPr>
          <w:rFonts w:ascii="Seaford" w:hAnsi="Seaford"/>
          <w:spacing w:val="-7"/>
        </w:rPr>
        <w:t xml:space="preserve"> </w:t>
      </w:r>
      <w:r w:rsidRPr="00EB3466">
        <w:rPr>
          <w:rFonts w:ascii="Seaford" w:hAnsi="Seaford"/>
        </w:rPr>
        <w:t>may</w:t>
      </w:r>
      <w:r w:rsidRPr="00EB3466">
        <w:rPr>
          <w:rFonts w:ascii="Seaford" w:hAnsi="Seaford"/>
          <w:spacing w:val="-6"/>
        </w:rPr>
        <w:t xml:space="preserve"> </w:t>
      </w:r>
      <w:r w:rsidRPr="00EB3466">
        <w:rPr>
          <w:rFonts w:ascii="Seaford" w:hAnsi="Seaford"/>
        </w:rPr>
        <w:t>include</w:t>
      </w:r>
      <w:r w:rsidRPr="00EB3466">
        <w:rPr>
          <w:rFonts w:ascii="Seaford" w:hAnsi="Seaford"/>
          <w:spacing w:val="-9"/>
        </w:rPr>
        <w:t xml:space="preserve"> </w:t>
      </w:r>
      <w:r w:rsidRPr="00EB3466">
        <w:rPr>
          <w:rFonts w:ascii="Seaford" w:hAnsi="Seaford"/>
        </w:rPr>
        <w:t>government</w:t>
      </w:r>
      <w:r w:rsidRPr="00EB3466">
        <w:rPr>
          <w:rFonts w:ascii="Seaford" w:hAnsi="Seaford"/>
          <w:spacing w:val="-7"/>
        </w:rPr>
        <w:t xml:space="preserve"> </w:t>
      </w:r>
      <w:r w:rsidRPr="00EB3466">
        <w:rPr>
          <w:rFonts w:ascii="Seaford" w:hAnsi="Seaford"/>
        </w:rPr>
        <w:t>data.</w:t>
      </w:r>
      <w:r w:rsidRPr="00EB3466">
        <w:rPr>
          <w:rFonts w:ascii="Seaford" w:hAnsi="Seaford"/>
          <w:spacing w:val="-8"/>
        </w:rPr>
        <w:t xml:space="preserve"> </w:t>
      </w:r>
      <w:r w:rsidRPr="00EB3466">
        <w:rPr>
          <w:rFonts w:ascii="Seaford" w:hAnsi="Seaford"/>
        </w:rPr>
        <w:t>Please</w:t>
      </w:r>
      <w:r w:rsidRPr="00EB3466">
        <w:rPr>
          <w:rFonts w:ascii="Seaford" w:hAnsi="Seaford"/>
          <w:spacing w:val="-7"/>
        </w:rPr>
        <w:t xml:space="preserve"> </w:t>
      </w:r>
      <w:r w:rsidRPr="00EB3466">
        <w:rPr>
          <w:rFonts w:ascii="Seaford" w:hAnsi="Seaford"/>
        </w:rPr>
        <w:t>provide</w:t>
      </w:r>
      <w:r w:rsidRPr="00EB3466">
        <w:rPr>
          <w:rFonts w:ascii="Seaford" w:hAnsi="Seaford"/>
          <w:spacing w:val="-9"/>
        </w:rPr>
        <w:t xml:space="preserve"> </w:t>
      </w:r>
      <w:r w:rsidRPr="00EB3466">
        <w:rPr>
          <w:rFonts w:ascii="Seaford" w:hAnsi="Seaford"/>
        </w:rPr>
        <w:t>links</w:t>
      </w:r>
      <w:r w:rsidRPr="00EB3466">
        <w:rPr>
          <w:rFonts w:ascii="Seaford" w:hAnsi="Seaford"/>
          <w:spacing w:val="-6"/>
        </w:rPr>
        <w:t xml:space="preserve"> </w:t>
      </w:r>
      <w:r w:rsidRPr="00EB3466">
        <w:rPr>
          <w:rFonts w:ascii="Seaford" w:hAnsi="Seaford"/>
        </w:rPr>
        <w:t>to resource materials when available.</w:t>
      </w:r>
    </w:p>
    <w:p w14:paraId="0C5F8C71" w14:textId="77777777" w:rsidR="008540E9" w:rsidRPr="00EB3466" w:rsidRDefault="008540E9" w:rsidP="008540E9">
      <w:pPr>
        <w:pStyle w:val="ListParagraph"/>
        <w:numPr>
          <w:ilvl w:val="0"/>
          <w:numId w:val="7"/>
        </w:numPr>
        <w:tabs>
          <w:tab w:val="left" w:pos="837"/>
          <w:tab w:val="left" w:pos="839"/>
        </w:tabs>
        <w:spacing w:before="3" w:line="285" w:lineRule="auto"/>
        <w:ind w:left="839" w:right="268" w:hanging="360"/>
        <w:contextualSpacing w:val="0"/>
        <w:jc w:val="both"/>
        <w:rPr>
          <w:rFonts w:ascii="Seaford" w:hAnsi="Seaford"/>
        </w:rPr>
      </w:pPr>
      <w:r w:rsidRPr="00EB3466">
        <w:rPr>
          <w:rFonts w:ascii="Seaford" w:hAnsi="Seaford"/>
        </w:rPr>
        <w:t>Were</w:t>
      </w:r>
      <w:r w:rsidRPr="00EB3466">
        <w:rPr>
          <w:rFonts w:ascii="Seaford" w:hAnsi="Seaford"/>
          <w:spacing w:val="-3"/>
        </w:rPr>
        <w:t xml:space="preserve"> </w:t>
      </w:r>
      <w:r w:rsidRPr="00EB3466">
        <w:rPr>
          <w:rFonts w:ascii="Seaford" w:hAnsi="Seaford"/>
        </w:rPr>
        <w:t>the</w:t>
      </w:r>
      <w:r w:rsidRPr="00EB3466">
        <w:rPr>
          <w:rFonts w:ascii="Seaford" w:hAnsi="Seaford"/>
          <w:spacing w:val="-3"/>
        </w:rPr>
        <w:t xml:space="preserve"> </w:t>
      </w:r>
      <w:r w:rsidRPr="00EB3466">
        <w:rPr>
          <w:rFonts w:ascii="Seaford" w:hAnsi="Seaford"/>
        </w:rPr>
        <w:t>project</w:t>
      </w:r>
      <w:r w:rsidRPr="00EB3466">
        <w:rPr>
          <w:rFonts w:ascii="Seaford" w:hAnsi="Seaford"/>
          <w:spacing w:val="-6"/>
        </w:rPr>
        <w:t xml:space="preserve"> </w:t>
      </w:r>
      <w:r w:rsidRPr="00EB3466">
        <w:rPr>
          <w:rFonts w:ascii="Seaford" w:hAnsi="Seaford"/>
        </w:rPr>
        <w:t>target</w:t>
      </w:r>
      <w:r w:rsidRPr="00EB3466">
        <w:rPr>
          <w:rFonts w:ascii="Seaford" w:hAnsi="Seaford"/>
          <w:spacing w:val="-3"/>
        </w:rPr>
        <w:t xml:space="preserve"> </w:t>
      </w:r>
      <w:r w:rsidRPr="00EB3466">
        <w:rPr>
          <w:rFonts w:ascii="Seaford" w:hAnsi="Seaford"/>
        </w:rPr>
        <w:t>groups</w:t>
      </w:r>
      <w:r w:rsidRPr="00EB3466">
        <w:rPr>
          <w:rFonts w:ascii="Seaford" w:hAnsi="Seaford"/>
          <w:spacing w:val="-2"/>
        </w:rPr>
        <w:t xml:space="preserve"> </w:t>
      </w:r>
      <w:r w:rsidRPr="00EB3466">
        <w:rPr>
          <w:rFonts w:ascii="Seaford" w:hAnsi="Seaford"/>
        </w:rPr>
        <w:t>involved</w:t>
      </w:r>
      <w:r w:rsidRPr="00EB3466">
        <w:rPr>
          <w:rFonts w:ascii="Seaford" w:hAnsi="Seaford"/>
          <w:spacing w:val="-6"/>
        </w:rPr>
        <w:t xml:space="preserve"> </w:t>
      </w:r>
      <w:r w:rsidRPr="00EB3466">
        <w:rPr>
          <w:rFonts w:ascii="Seaford" w:hAnsi="Seaford"/>
        </w:rPr>
        <w:t>in</w:t>
      </w:r>
      <w:r w:rsidRPr="00EB3466">
        <w:rPr>
          <w:rFonts w:ascii="Seaford" w:hAnsi="Seaford"/>
          <w:spacing w:val="-4"/>
        </w:rPr>
        <w:t xml:space="preserve"> </w:t>
      </w:r>
      <w:r w:rsidRPr="00EB3466">
        <w:rPr>
          <w:rFonts w:ascii="Seaford" w:hAnsi="Seaford"/>
        </w:rPr>
        <w:t>the</w:t>
      </w:r>
      <w:r w:rsidRPr="00EB3466">
        <w:rPr>
          <w:rFonts w:ascii="Seaford" w:hAnsi="Seaford"/>
          <w:spacing w:val="-5"/>
        </w:rPr>
        <w:t xml:space="preserve"> </w:t>
      </w:r>
      <w:r w:rsidRPr="00EB3466">
        <w:rPr>
          <w:rFonts w:ascii="Seaford" w:hAnsi="Seaford"/>
        </w:rPr>
        <w:t>identification</w:t>
      </w:r>
      <w:r w:rsidRPr="00EB3466">
        <w:rPr>
          <w:rFonts w:ascii="Seaford" w:hAnsi="Seaford"/>
          <w:spacing w:val="-4"/>
        </w:rPr>
        <w:t xml:space="preserve"> </w:t>
      </w:r>
      <w:r w:rsidRPr="00EB3466">
        <w:rPr>
          <w:rFonts w:ascii="Seaford" w:hAnsi="Seaford"/>
        </w:rPr>
        <w:t>of</w:t>
      </w:r>
      <w:r w:rsidRPr="00EB3466">
        <w:rPr>
          <w:rFonts w:ascii="Seaford" w:hAnsi="Seaford"/>
          <w:spacing w:val="-2"/>
        </w:rPr>
        <w:t xml:space="preserve"> </w:t>
      </w:r>
      <w:r w:rsidRPr="00EB3466">
        <w:rPr>
          <w:rFonts w:ascii="Seaford" w:hAnsi="Seaford"/>
        </w:rPr>
        <w:t>the</w:t>
      </w:r>
      <w:r w:rsidRPr="00EB3466">
        <w:rPr>
          <w:rFonts w:ascii="Seaford" w:hAnsi="Seaford"/>
          <w:spacing w:val="-3"/>
        </w:rPr>
        <w:t xml:space="preserve"> </w:t>
      </w:r>
      <w:r w:rsidRPr="00EB3466">
        <w:rPr>
          <w:rFonts w:ascii="Seaford" w:hAnsi="Seaford"/>
        </w:rPr>
        <w:t>problem</w:t>
      </w:r>
      <w:r w:rsidRPr="00EB3466">
        <w:rPr>
          <w:rFonts w:ascii="Seaford" w:hAnsi="Seaford"/>
          <w:spacing w:val="-6"/>
        </w:rPr>
        <w:t xml:space="preserve"> </w:t>
      </w:r>
      <w:r w:rsidRPr="00EB3466">
        <w:rPr>
          <w:rFonts w:ascii="Seaford" w:hAnsi="Seaford"/>
        </w:rPr>
        <w:t>or</w:t>
      </w:r>
      <w:r w:rsidRPr="00EB3466">
        <w:rPr>
          <w:rFonts w:ascii="Seaford" w:hAnsi="Seaford"/>
          <w:spacing w:val="-3"/>
        </w:rPr>
        <w:t xml:space="preserve"> </w:t>
      </w:r>
      <w:r w:rsidRPr="00EB3466">
        <w:rPr>
          <w:rFonts w:ascii="Seaford" w:hAnsi="Seaford"/>
        </w:rPr>
        <w:t>have</w:t>
      </w:r>
      <w:r w:rsidRPr="00EB3466">
        <w:rPr>
          <w:rFonts w:ascii="Seaford" w:hAnsi="Seaford"/>
          <w:spacing w:val="-3"/>
        </w:rPr>
        <w:t xml:space="preserve"> </w:t>
      </w:r>
      <w:r w:rsidRPr="00EB3466">
        <w:rPr>
          <w:rFonts w:ascii="Seaford" w:hAnsi="Seaford"/>
        </w:rPr>
        <w:t>they been otherwise consulted, and if so, how?</w:t>
      </w:r>
    </w:p>
    <w:p w14:paraId="489B80A0" w14:textId="77777777" w:rsidR="008540E9" w:rsidRDefault="008540E9" w:rsidP="008540E9">
      <w:pPr>
        <w:pStyle w:val="BodyText"/>
        <w:rPr>
          <w:rFonts w:ascii="Seaford" w:hAnsi="Seaford"/>
        </w:rPr>
      </w:pPr>
    </w:p>
    <w:p w14:paraId="10A24F19"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 xml:space="preserve">Problem identification was grounded in RECDO’s 2022–2024 community-health projects and participatory assessments across 22 Grama </w:t>
      </w:r>
      <w:proofErr w:type="spellStart"/>
      <w:r w:rsidRPr="00B44693">
        <w:rPr>
          <w:rFonts w:ascii="Times New Roman" w:eastAsia="Times New Roman" w:hAnsi="Times New Roman" w:cs="Times New Roman"/>
          <w:sz w:val="24"/>
          <w:szCs w:val="24"/>
        </w:rPr>
        <w:t>Niladari</w:t>
      </w:r>
      <w:proofErr w:type="spellEnd"/>
      <w:r w:rsidRPr="00B44693">
        <w:rPr>
          <w:rFonts w:ascii="Times New Roman" w:eastAsia="Times New Roman" w:hAnsi="Times New Roman" w:cs="Times New Roman"/>
          <w:sz w:val="24"/>
          <w:szCs w:val="24"/>
        </w:rPr>
        <w:t xml:space="preserve"> Divisions in Trincomalee. Data were collected through focus-group discussions with school girls, women’s rural development societies, and local health officers. The findings were corroborated by the Family Planning Association of Sri Lanka’s district reports and the Ministry of Health’s 2023 Reproductive Health Survey, which highlight that menstrual hygiene services remain largely uncoordinated at the local level.</w:t>
      </w:r>
    </w:p>
    <w:p w14:paraId="3DC124CF"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RECDO’s experience under the FPA-supported “Community Health and Empowerment for Women and Girls” project (2022–2023) revealed strong community demand for policy engagement on menstrual health but limited awareness of avenues to influence decision-making. Consultations with school administrators and Medical Officer of Health (MOH) units confirmed the need for a structured platform for citizen-government dialogue.</w:t>
      </w:r>
    </w:p>
    <w:p w14:paraId="35ADF1EA"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 xml:space="preserve">International evidence on community engagement in health governance supports this approach as highlighted by recent research on participatory health planning in Sri Lanka (World Journal of Advanced Research and Reviews, 2025) which </w:t>
      </w:r>
      <w:proofErr w:type="spellStart"/>
      <w:r w:rsidRPr="00B44693">
        <w:rPr>
          <w:rFonts w:ascii="Times New Roman" w:eastAsia="Times New Roman" w:hAnsi="Times New Roman" w:cs="Times New Roman"/>
          <w:sz w:val="24"/>
          <w:szCs w:val="24"/>
        </w:rPr>
        <w:t>emphasises</w:t>
      </w:r>
      <w:proofErr w:type="spellEnd"/>
      <w:r w:rsidRPr="00B44693">
        <w:rPr>
          <w:rFonts w:ascii="Times New Roman" w:eastAsia="Times New Roman" w:hAnsi="Times New Roman" w:cs="Times New Roman"/>
          <w:sz w:val="24"/>
          <w:szCs w:val="24"/>
        </w:rPr>
        <w:t xml:space="preserve"> that locally anchored dialogues enhance equity and sustainability in public-health responses .</w:t>
      </w:r>
    </w:p>
    <w:p w14:paraId="6D267A3E" w14:textId="77777777" w:rsidR="008540E9" w:rsidRPr="00EB3466" w:rsidRDefault="008540E9" w:rsidP="008540E9">
      <w:pPr>
        <w:pStyle w:val="BodyText"/>
        <w:jc w:val="both"/>
        <w:rPr>
          <w:rFonts w:ascii="Seaford" w:hAnsi="Seaford"/>
        </w:rPr>
      </w:pPr>
    </w:p>
    <w:p w14:paraId="782C8D5D" w14:textId="77777777" w:rsidR="008540E9" w:rsidRPr="00EB3466" w:rsidRDefault="008540E9" w:rsidP="008540E9">
      <w:pPr>
        <w:pStyle w:val="BodyText"/>
        <w:spacing w:before="103"/>
        <w:rPr>
          <w:rFonts w:ascii="Seaford" w:hAnsi="Seaford"/>
        </w:rPr>
      </w:pPr>
    </w:p>
    <w:p w14:paraId="603817E7" w14:textId="7906D708" w:rsidR="008540E9" w:rsidRPr="00EB3466" w:rsidRDefault="008540E9" w:rsidP="008540E9">
      <w:pPr>
        <w:pStyle w:val="ListParagraph"/>
        <w:tabs>
          <w:tab w:val="left" w:pos="709"/>
        </w:tabs>
        <w:spacing w:line="285" w:lineRule="auto"/>
        <w:ind w:left="120" w:right="1763"/>
        <w:contextualSpacing w:val="0"/>
        <w:rPr>
          <w:rFonts w:ascii="Seaford" w:hAnsi="Seaford"/>
          <w:i/>
        </w:rPr>
      </w:pPr>
      <w:r>
        <w:rPr>
          <w:rFonts w:ascii="Seaford" w:hAnsi="Seaford"/>
          <w:b/>
          <w:spacing w:val="-6"/>
          <w:sz w:val="24"/>
        </w:rPr>
        <w:t>5.</w:t>
      </w:r>
      <w:r w:rsidRPr="00EB3466">
        <w:rPr>
          <w:rFonts w:ascii="Seaford" w:hAnsi="Seaford"/>
          <w:b/>
          <w:spacing w:val="-6"/>
          <w:sz w:val="24"/>
        </w:rPr>
        <w:t>What</w:t>
      </w:r>
      <w:r w:rsidRPr="00EB3466">
        <w:rPr>
          <w:rFonts w:ascii="Seaford" w:hAnsi="Seaford"/>
          <w:b/>
          <w:spacing w:val="-19"/>
          <w:sz w:val="24"/>
        </w:rPr>
        <w:t xml:space="preserve"> </w:t>
      </w:r>
      <w:r w:rsidRPr="00EB3466">
        <w:rPr>
          <w:rFonts w:ascii="Seaford" w:hAnsi="Seaford"/>
          <w:b/>
          <w:spacing w:val="-6"/>
          <w:sz w:val="24"/>
        </w:rPr>
        <w:t>changes</w:t>
      </w:r>
      <w:r w:rsidRPr="00EB3466">
        <w:rPr>
          <w:rFonts w:ascii="Seaford" w:hAnsi="Seaford"/>
          <w:b/>
          <w:spacing w:val="-17"/>
          <w:sz w:val="24"/>
        </w:rPr>
        <w:t xml:space="preserve"> </w:t>
      </w:r>
      <w:r w:rsidRPr="00EB3466">
        <w:rPr>
          <w:rFonts w:ascii="Seaford" w:hAnsi="Seaford"/>
          <w:b/>
          <w:spacing w:val="-6"/>
          <w:sz w:val="24"/>
        </w:rPr>
        <w:t>(outcomes)</w:t>
      </w:r>
      <w:r w:rsidRPr="00EB3466">
        <w:rPr>
          <w:rFonts w:ascii="Seaford" w:hAnsi="Seaford"/>
          <w:b/>
          <w:spacing w:val="-17"/>
          <w:sz w:val="24"/>
        </w:rPr>
        <w:t xml:space="preserve"> </w:t>
      </w:r>
      <w:r w:rsidRPr="00EB3466">
        <w:rPr>
          <w:rFonts w:ascii="Seaford" w:hAnsi="Seaford"/>
          <w:b/>
          <w:spacing w:val="-6"/>
          <w:sz w:val="24"/>
        </w:rPr>
        <w:t>do</w:t>
      </w:r>
      <w:r w:rsidRPr="00EB3466">
        <w:rPr>
          <w:rFonts w:ascii="Seaford" w:hAnsi="Seaford"/>
          <w:b/>
          <w:spacing w:val="-17"/>
          <w:sz w:val="24"/>
        </w:rPr>
        <w:t xml:space="preserve"> </w:t>
      </w:r>
      <w:r w:rsidRPr="00EB3466">
        <w:rPr>
          <w:rFonts w:ascii="Seaford" w:hAnsi="Seaford"/>
          <w:b/>
          <w:spacing w:val="-6"/>
          <w:sz w:val="24"/>
        </w:rPr>
        <w:t>you</w:t>
      </w:r>
      <w:r w:rsidRPr="00EB3466">
        <w:rPr>
          <w:rFonts w:ascii="Seaford" w:hAnsi="Seaford"/>
          <w:b/>
          <w:spacing w:val="-16"/>
          <w:sz w:val="24"/>
        </w:rPr>
        <w:t xml:space="preserve"> </w:t>
      </w:r>
      <w:r w:rsidRPr="00EB3466">
        <w:rPr>
          <w:rFonts w:ascii="Seaford" w:hAnsi="Seaford"/>
          <w:b/>
          <w:spacing w:val="-6"/>
          <w:sz w:val="24"/>
        </w:rPr>
        <w:t>expect</w:t>
      </w:r>
      <w:r w:rsidRPr="00EB3466">
        <w:rPr>
          <w:rFonts w:ascii="Seaford" w:hAnsi="Seaford"/>
          <w:b/>
          <w:spacing w:val="-17"/>
          <w:sz w:val="24"/>
        </w:rPr>
        <w:t xml:space="preserve"> </w:t>
      </w:r>
      <w:r w:rsidRPr="00EB3466">
        <w:rPr>
          <w:rFonts w:ascii="Seaford" w:hAnsi="Seaford"/>
          <w:b/>
          <w:spacing w:val="-6"/>
          <w:sz w:val="24"/>
        </w:rPr>
        <w:t>to</w:t>
      </w:r>
      <w:r w:rsidRPr="00EB3466">
        <w:rPr>
          <w:rFonts w:ascii="Seaford" w:hAnsi="Seaford"/>
          <w:b/>
          <w:spacing w:val="-15"/>
          <w:sz w:val="24"/>
        </w:rPr>
        <w:t xml:space="preserve"> </w:t>
      </w:r>
      <w:r w:rsidRPr="00EB3466">
        <w:rPr>
          <w:rFonts w:ascii="Seaford" w:hAnsi="Seaford"/>
          <w:b/>
          <w:spacing w:val="-6"/>
          <w:sz w:val="24"/>
        </w:rPr>
        <w:t>see</w:t>
      </w:r>
      <w:r w:rsidRPr="00EB3466">
        <w:rPr>
          <w:rFonts w:ascii="Seaford" w:hAnsi="Seaford"/>
          <w:b/>
          <w:spacing w:val="-16"/>
          <w:sz w:val="24"/>
        </w:rPr>
        <w:t xml:space="preserve"> </w:t>
      </w:r>
      <w:r w:rsidRPr="00EB3466">
        <w:rPr>
          <w:rFonts w:ascii="Seaford" w:hAnsi="Seaford"/>
          <w:b/>
          <w:spacing w:val="-6"/>
          <w:sz w:val="24"/>
        </w:rPr>
        <w:t>as</w:t>
      </w:r>
      <w:r w:rsidRPr="00EB3466">
        <w:rPr>
          <w:rFonts w:ascii="Seaford" w:hAnsi="Seaford"/>
          <w:b/>
          <w:spacing w:val="-15"/>
          <w:sz w:val="24"/>
        </w:rPr>
        <w:t xml:space="preserve"> </w:t>
      </w:r>
      <w:r w:rsidRPr="00EB3466">
        <w:rPr>
          <w:rFonts w:ascii="Seaford" w:hAnsi="Seaford"/>
          <w:b/>
          <w:spacing w:val="-6"/>
          <w:sz w:val="24"/>
        </w:rPr>
        <w:t>a</w:t>
      </w:r>
      <w:r w:rsidRPr="00EB3466">
        <w:rPr>
          <w:rFonts w:ascii="Seaford" w:hAnsi="Seaford"/>
          <w:b/>
          <w:spacing w:val="-16"/>
          <w:sz w:val="24"/>
        </w:rPr>
        <w:t xml:space="preserve"> </w:t>
      </w:r>
      <w:r w:rsidRPr="00EB3466">
        <w:rPr>
          <w:rFonts w:ascii="Seaford" w:hAnsi="Seaford"/>
          <w:b/>
          <w:spacing w:val="-6"/>
          <w:sz w:val="24"/>
        </w:rPr>
        <w:t>result</w:t>
      </w:r>
      <w:r w:rsidRPr="00EB3466">
        <w:rPr>
          <w:rFonts w:ascii="Seaford" w:hAnsi="Seaford"/>
          <w:b/>
          <w:spacing w:val="-14"/>
          <w:sz w:val="24"/>
        </w:rPr>
        <w:t xml:space="preserve"> </w:t>
      </w:r>
      <w:r w:rsidRPr="00EB3466">
        <w:rPr>
          <w:rFonts w:ascii="Seaford" w:hAnsi="Seaford"/>
          <w:b/>
          <w:spacing w:val="-6"/>
          <w:sz w:val="24"/>
        </w:rPr>
        <w:t>of</w:t>
      </w:r>
      <w:r w:rsidRPr="00EB3466">
        <w:rPr>
          <w:rFonts w:ascii="Seaford" w:hAnsi="Seaford"/>
          <w:b/>
          <w:spacing w:val="-15"/>
          <w:sz w:val="24"/>
        </w:rPr>
        <w:t xml:space="preserve"> </w:t>
      </w:r>
      <w:r w:rsidRPr="00EB3466">
        <w:rPr>
          <w:rFonts w:ascii="Seaford" w:hAnsi="Seaford"/>
          <w:b/>
          <w:spacing w:val="-6"/>
          <w:sz w:val="24"/>
        </w:rPr>
        <w:t xml:space="preserve">your </w:t>
      </w:r>
      <w:r w:rsidRPr="00EB3466">
        <w:rPr>
          <w:rFonts w:ascii="Seaford" w:hAnsi="Seaford"/>
          <w:b/>
          <w:sz w:val="24"/>
        </w:rPr>
        <w:t>project?</w:t>
      </w:r>
      <w:r w:rsidRPr="00EB3466">
        <w:rPr>
          <w:rFonts w:ascii="Seaford" w:hAnsi="Seaford"/>
          <w:b/>
          <w:spacing w:val="40"/>
          <w:sz w:val="24"/>
        </w:rPr>
        <w:t xml:space="preserve"> </w:t>
      </w:r>
    </w:p>
    <w:p w14:paraId="62F9E124" w14:textId="77777777" w:rsidR="008540E9" w:rsidRPr="00EB3466" w:rsidRDefault="008540E9" w:rsidP="008540E9">
      <w:pPr>
        <w:pStyle w:val="BodyText"/>
        <w:spacing w:before="5"/>
        <w:rPr>
          <w:rFonts w:ascii="Seaford" w:hAnsi="Seaford"/>
          <w:i/>
          <w:sz w:val="24"/>
        </w:rPr>
      </w:pPr>
    </w:p>
    <w:p w14:paraId="273F1552" w14:textId="77777777" w:rsidR="008540E9" w:rsidRPr="00EB3466" w:rsidRDefault="008540E9" w:rsidP="008540E9">
      <w:pPr>
        <w:pStyle w:val="BodyText"/>
        <w:spacing w:before="1" w:line="285" w:lineRule="auto"/>
        <w:ind w:left="120" w:right="581"/>
        <w:jc w:val="both"/>
        <w:rPr>
          <w:rFonts w:ascii="Seaford" w:hAnsi="Seaford"/>
        </w:rPr>
      </w:pPr>
      <w:r w:rsidRPr="00EB3466">
        <w:rPr>
          <w:rFonts w:ascii="Seaford" w:hAnsi="Seaford"/>
          <w:spacing w:val="-2"/>
        </w:rPr>
        <w:t>Please</w:t>
      </w:r>
      <w:r w:rsidRPr="00EB3466">
        <w:rPr>
          <w:rFonts w:ascii="Seaford" w:hAnsi="Seaford"/>
          <w:spacing w:val="-14"/>
        </w:rPr>
        <w:t xml:space="preserve"> </w:t>
      </w:r>
      <w:r w:rsidRPr="00EB3466">
        <w:rPr>
          <w:rFonts w:ascii="Seaford" w:hAnsi="Seaford"/>
          <w:spacing w:val="-2"/>
        </w:rPr>
        <w:t>include</w:t>
      </w:r>
      <w:r w:rsidRPr="00EB3466">
        <w:rPr>
          <w:rFonts w:ascii="Seaford" w:hAnsi="Seaford"/>
          <w:spacing w:val="-13"/>
        </w:rPr>
        <w:t xml:space="preserve"> </w:t>
      </w:r>
      <w:r w:rsidRPr="00EB3466">
        <w:rPr>
          <w:rFonts w:ascii="Seaford" w:hAnsi="Seaford"/>
          <w:spacing w:val="-2"/>
        </w:rPr>
        <w:t>information</w:t>
      </w:r>
      <w:r w:rsidRPr="00EB3466">
        <w:rPr>
          <w:rFonts w:ascii="Seaford" w:hAnsi="Seaford"/>
          <w:spacing w:val="-13"/>
        </w:rPr>
        <w:t xml:space="preserve"> </w:t>
      </w:r>
      <w:r w:rsidRPr="00EB3466">
        <w:rPr>
          <w:rFonts w:ascii="Seaford" w:hAnsi="Seaford"/>
          <w:spacing w:val="-2"/>
        </w:rPr>
        <w:t>on</w:t>
      </w:r>
      <w:r w:rsidRPr="00EB3466">
        <w:rPr>
          <w:rFonts w:ascii="Seaford" w:hAnsi="Seaford"/>
          <w:spacing w:val="-14"/>
        </w:rPr>
        <w:t xml:space="preserve"> </w:t>
      </w:r>
      <w:r w:rsidRPr="00EB3466">
        <w:rPr>
          <w:rFonts w:ascii="Seaford" w:hAnsi="Seaford"/>
          <w:spacing w:val="-2"/>
        </w:rPr>
        <w:t>any</w:t>
      </w:r>
      <w:r w:rsidRPr="00EB3466">
        <w:rPr>
          <w:rFonts w:ascii="Seaford" w:hAnsi="Seaford"/>
          <w:spacing w:val="-13"/>
        </w:rPr>
        <w:t xml:space="preserve"> </w:t>
      </w:r>
      <w:r w:rsidRPr="00EB3466">
        <w:rPr>
          <w:rFonts w:ascii="Seaford" w:hAnsi="Seaford"/>
          <w:spacing w:val="-2"/>
        </w:rPr>
        <w:t>specific</w:t>
      </w:r>
      <w:r w:rsidRPr="00EB3466">
        <w:rPr>
          <w:rFonts w:ascii="Seaford" w:hAnsi="Seaford"/>
          <w:spacing w:val="-13"/>
        </w:rPr>
        <w:t xml:space="preserve"> </w:t>
      </w:r>
      <w:r w:rsidRPr="00EB3466">
        <w:rPr>
          <w:rFonts w:ascii="Seaford" w:hAnsi="Seaford"/>
          <w:spacing w:val="-2"/>
        </w:rPr>
        <w:t>expected</w:t>
      </w:r>
      <w:r w:rsidRPr="00EB3466">
        <w:rPr>
          <w:rFonts w:ascii="Seaford" w:hAnsi="Seaford"/>
          <w:spacing w:val="-13"/>
        </w:rPr>
        <w:t xml:space="preserve"> </w:t>
      </w:r>
      <w:r w:rsidRPr="00EB3466">
        <w:rPr>
          <w:rFonts w:ascii="Seaford" w:hAnsi="Seaford"/>
          <w:spacing w:val="-2"/>
        </w:rPr>
        <w:t>changes.</w:t>
      </w:r>
      <w:r w:rsidRPr="00EB3466">
        <w:rPr>
          <w:rFonts w:ascii="Seaford" w:hAnsi="Seaford"/>
          <w:spacing w:val="-14"/>
        </w:rPr>
        <w:t xml:space="preserve"> </w:t>
      </w:r>
      <w:r w:rsidRPr="00EB3466">
        <w:rPr>
          <w:rFonts w:ascii="Seaford" w:hAnsi="Seaford"/>
          <w:spacing w:val="-2"/>
        </w:rPr>
        <w:t>These</w:t>
      </w:r>
      <w:r w:rsidRPr="00EB3466">
        <w:rPr>
          <w:rFonts w:ascii="Seaford" w:hAnsi="Seaford"/>
          <w:spacing w:val="-13"/>
        </w:rPr>
        <w:t xml:space="preserve"> </w:t>
      </w:r>
      <w:r w:rsidRPr="00EB3466">
        <w:rPr>
          <w:rFonts w:ascii="Seaford" w:hAnsi="Seaford"/>
          <w:spacing w:val="-2"/>
        </w:rPr>
        <w:t>could</w:t>
      </w:r>
      <w:r w:rsidRPr="00EB3466">
        <w:rPr>
          <w:rFonts w:ascii="Seaford" w:hAnsi="Seaford"/>
          <w:spacing w:val="-13"/>
        </w:rPr>
        <w:t xml:space="preserve"> </w:t>
      </w:r>
      <w:r w:rsidRPr="00EB3466">
        <w:rPr>
          <w:rFonts w:ascii="Seaford" w:hAnsi="Seaford"/>
          <w:spacing w:val="-2"/>
        </w:rPr>
        <w:t>include</w:t>
      </w:r>
      <w:r w:rsidRPr="00EB3466">
        <w:rPr>
          <w:rFonts w:ascii="Seaford" w:hAnsi="Seaford"/>
          <w:spacing w:val="-14"/>
        </w:rPr>
        <w:t xml:space="preserve"> </w:t>
      </w:r>
      <w:r w:rsidRPr="00EB3466">
        <w:rPr>
          <w:rFonts w:ascii="Seaford" w:hAnsi="Seaford"/>
          <w:spacing w:val="-2"/>
        </w:rPr>
        <w:t>changes</w:t>
      </w:r>
      <w:r w:rsidRPr="00EB3466">
        <w:rPr>
          <w:rFonts w:ascii="Seaford" w:hAnsi="Seaford"/>
          <w:spacing w:val="-13"/>
        </w:rPr>
        <w:t xml:space="preserve"> </w:t>
      </w:r>
      <w:r w:rsidRPr="00EB3466">
        <w:rPr>
          <w:rFonts w:ascii="Seaford" w:hAnsi="Seaford"/>
          <w:spacing w:val="-2"/>
        </w:rPr>
        <w:t xml:space="preserve">to </w:t>
      </w:r>
      <w:r w:rsidRPr="00EB3466">
        <w:rPr>
          <w:rFonts w:ascii="Seaford" w:hAnsi="Seaford"/>
        </w:rPr>
        <w:t>knowledge,</w:t>
      </w:r>
      <w:r w:rsidRPr="00EB3466">
        <w:rPr>
          <w:rFonts w:ascii="Seaford" w:hAnsi="Seaford"/>
          <w:spacing w:val="-16"/>
        </w:rPr>
        <w:t xml:space="preserve"> </w:t>
      </w:r>
      <w:r w:rsidRPr="00EB3466">
        <w:rPr>
          <w:rFonts w:ascii="Seaford" w:hAnsi="Seaford"/>
        </w:rPr>
        <w:t>capacity,</w:t>
      </w:r>
      <w:r w:rsidRPr="00EB3466">
        <w:rPr>
          <w:rFonts w:ascii="Seaford" w:hAnsi="Seaford"/>
          <w:spacing w:val="-15"/>
        </w:rPr>
        <w:t xml:space="preserve"> </w:t>
      </w:r>
      <w:r w:rsidRPr="00EB3466">
        <w:rPr>
          <w:rFonts w:ascii="Seaford" w:hAnsi="Seaford"/>
        </w:rPr>
        <w:t>attitude,</w:t>
      </w:r>
      <w:r w:rsidRPr="00EB3466">
        <w:rPr>
          <w:rFonts w:ascii="Seaford" w:hAnsi="Seaford"/>
          <w:spacing w:val="-15"/>
        </w:rPr>
        <w:t xml:space="preserve"> </w:t>
      </w:r>
      <w:r w:rsidRPr="00EB3466">
        <w:rPr>
          <w:rFonts w:ascii="Seaford" w:hAnsi="Seaford"/>
        </w:rPr>
        <w:t>or</w:t>
      </w:r>
      <w:r w:rsidRPr="00EB3466">
        <w:rPr>
          <w:rFonts w:ascii="Seaford" w:hAnsi="Seaford"/>
          <w:spacing w:val="-16"/>
        </w:rPr>
        <w:t xml:space="preserve"> </w:t>
      </w:r>
      <w:proofErr w:type="spellStart"/>
      <w:r w:rsidRPr="00EB3466">
        <w:rPr>
          <w:rFonts w:ascii="Seaford" w:hAnsi="Seaford"/>
        </w:rPr>
        <w:t>behaviour</w:t>
      </w:r>
      <w:proofErr w:type="spellEnd"/>
      <w:r w:rsidRPr="00EB3466">
        <w:rPr>
          <w:rFonts w:ascii="Seaford" w:hAnsi="Seaford"/>
          <w:spacing w:val="-15"/>
        </w:rPr>
        <w:t xml:space="preserve"> </w:t>
      </w:r>
      <w:r w:rsidRPr="00EB3466">
        <w:rPr>
          <w:rFonts w:ascii="Seaford" w:hAnsi="Seaford"/>
        </w:rPr>
        <w:t>of</w:t>
      </w:r>
      <w:r w:rsidRPr="00EB3466">
        <w:rPr>
          <w:rFonts w:ascii="Seaford" w:hAnsi="Seaford"/>
          <w:spacing w:val="-15"/>
        </w:rPr>
        <w:t xml:space="preserve"> </w:t>
      </w:r>
      <w:r w:rsidRPr="00EB3466">
        <w:rPr>
          <w:rFonts w:ascii="Seaford" w:hAnsi="Seaford"/>
        </w:rPr>
        <w:t>target</w:t>
      </w:r>
      <w:r w:rsidRPr="00EB3466">
        <w:rPr>
          <w:rFonts w:ascii="Seaford" w:hAnsi="Seaford"/>
          <w:spacing w:val="-15"/>
        </w:rPr>
        <w:t xml:space="preserve"> </w:t>
      </w:r>
      <w:r w:rsidRPr="00EB3466">
        <w:rPr>
          <w:rFonts w:ascii="Seaford" w:hAnsi="Seaford"/>
        </w:rPr>
        <w:t>groups</w:t>
      </w:r>
      <w:r w:rsidRPr="00EB3466">
        <w:rPr>
          <w:rFonts w:ascii="Seaford" w:hAnsi="Seaford"/>
          <w:spacing w:val="-16"/>
        </w:rPr>
        <w:t xml:space="preserve"> </w:t>
      </w:r>
      <w:r w:rsidRPr="00EB3466">
        <w:rPr>
          <w:rFonts w:ascii="Seaford" w:hAnsi="Seaford"/>
        </w:rPr>
        <w:t>as</w:t>
      </w:r>
      <w:r w:rsidRPr="00EB3466">
        <w:rPr>
          <w:rFonts w:ascii="Seaford" w:hAnsi="Seaford"/>
          <w:spacing w:val="-15"/>
        </w:rPr>
        <w:t xml:space="preserve"> </w:t>
      </w:r>
      <w:r w:rsidRPr="00EB3466">
        <w:rPr>
          <w:rFonts w:ascii="Seaford" w:hAnsi="Seaford"/>
        </w:rPr>
        <w:t>well</w:t>
      </w:r>
      <w:r w:rsidRPr="00EB3466">
        <w:rPr>
          <w:rFonts w:ascii="Seaford" w:hAnsi="Seaford"/>
          <w:spacing w:val="-15"/>
        </w:rPr>
        <w:t xml:space="preserve"> </w:t>
      </w:r>
      <w:r w:rsidRPr="00EB3466">
        <w:rPr>
          <w:rFonts w:ascii="Seaford" w:hAnsi="Seaford"/>
        </w:rPr>
        <w:t>as</w:t>
      </w:r>
      <w:r w:rsidRPr="00EB3466">
        <w:rPr>
          <w:rFonts w:ascii="Seaford" w:hAnsi="Seaford"/>
          <w:spacing w:val="-16"/>
        </w:rPr>
        <w:t xml:space="preserve"> </w:t>
      </w:r>
      <w:r w:rsidRPr="00EB3466">
        <w:rPr>
          <w:rFonts w:ascii="Seaford" w:hAnsi="Seaford"/>
        </w:rPr>
        <w:t>changes</w:t>
      </w:r>
      <w:r w:rsidRPr="00EB3466">
        <w:rPr>
          <w:rFonts w:ascii="Seaford" w:hAnsi="Seaford"/>
          <w:spacing w:val="-15"/>
        </w:rPr>
        <w:t xml:space="preserve"> </w:t>
      </w:r>
      <w:r w:rsidRPr="00EB3466">
        <w:rPr>
          <w:rFonts w:ascii="Seaford" w:hAnsi="Seaford"/>
        </w:rPr>
        <w:t>to</w:t>
      </w:r>
      <w:r w:rsidRPr="00EB3466">
        <w:rPr>
          <w:rFonts w:ascii="Seaford" w:hAnsi="Seaford"/>
          <w:spacing w:val="-15"/>
        </w:rPr>
        <w:t xml:space="preserve"> </w:t>
      </w:r>
      <w:r w:rsidRPr="00EB3466">
        <w:rPr>
          <w:rFonts w:ascii="Seaford" w:hAnsi="Seaford"/>
        </w:rPr>
        <w:t>legislation, policies, or practices as a</w:t>
      </w:r>
      <w:r w:rsidRPr="00EB3466">
        <w:rPr>
          <w:rFonts w:ascii="Seaford" w:hAnsi="Seaford"/>
          <w:spacing w:val="-1"/>
        </w:rPr>
        <w:t xml:space="preserve"> </w:t>
      </w:r>
      <w:r w:rsidRPr="00EB3466">
        <w:rPr>
          <w:rFonts w:ascii="Seaford" w:hAnsi="Seaford"/>
        </w:rPr>
        <w:t>result of the project.</w:t>
      </w:r>
    </w:p>
    <w:p w14:paraId="3A21AC34" w14:textId="77777777" w:rsidR="008540E9" w:rsidRPr="00EB3466" w:rsidRDefault="008540E9" w:rsidP="008540E9">
      <w:pPr>
        <w:pStyle w:val="BodyText"/>
        <w:jc w:val="both"/>
        <w:rPr>
          <w:rFonts w:ascii="Seaford" w:hAnsi="Seaford"/>
        </w:rPr>
      </w:pPr>
    </w:p>
    <w:p w14:paraId="38D81052"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By project completion, RECDO expects tangible progress toward participatory, gender-responsive local-health governance in Trincomalee.</w:t>
      </w:r>
    </w:p>
    <w:p w14:paraId="53F6F3ED" w14:textId="77777777" w:rsidR="008540E9" w:rsidRPr="00B44693" w:rsidRDefault="008540E9" w:rsidP="008540E9">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B44693">
        <w:rPr>
          <w:rFonts w:ascii="Times New Roman" w:eastAsia="Times New Roman" w:hAnsi="Times New Roman" w:cs="Times New Roman"/>
          <w:b/>
          <w:bCs/>
          <w:sz w:val="24"/>
          <w:szCs w:val="24"/>
        </w:rPr>
        <w:lastRenderedPageBreak/>
        <w:t>Outcome 1:</w:t>
      </w:r>
      <w:r w:rsidRPr="00B44693">
        <w:rPr>
          <w:rFonts w:ascii="Times New Roman" w:eastAsia="Times New Roman" w:hAnsi="Times New Roman" w:cs="Times New Roman"/>
          <w:sz w:val="24"/>
          <w:szCs w:val="24"/>
        </w:rPr>
        <w:t xml:space="preserve"> Women and adolescent girls from 20 target communities actively engage in planning, monitoring, and advocating for menstrual-health services through functional Community Health Forums and scorecards.</w:t>
      </w:r>
    </w:p>
    <w:p w14:paraId="43F8B8A5" w14:textId="77777777" w:rsidR="008540E9" w:rsidRPr="00B44693" w:rsidRDefault="008540E9" w:rsidP="008540E9">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B44693">
        <w:rPr>
          <w:rFonts w:ascii="Times New Roman" w:eastAsia="Times New Roman" w:hAnsi="Times New Roman" w:cs="Times New Roman"/>
          <w:b/>
          <w:bCs/>
          <w:sz w:val="24"/>
          <w:szCs w:val="24"/>
        </w:rPr>
        <w:t>Outcome 2:</w:t>
      </w:r>
      <w:r w:rsidRPr="00B44693">
        <w:rPr>
          <w:rFonts w:ascii="Times New Roman" w:eastAsia="Times New Roman" w:hAnsi="Times New Roman" w:cs="Times New Roman"/>
          <w:sz w:val="24"/>
          <w:szCs w:val="24"/>
        </w:rPr>
        <w:t xml:space="preserve"> Local health authorities and councils integrate menstrual health indicators and budget lines into annual plans, demonstrating institutional responsiveness.</w:t>
      </w:r>
    </w:p>
    <w:p w14:paraId="37D05AD9" w14:textId="77777777" w:rsidR="008540E9" w:rsidRPr="00B44693" w:rsidRDefault="008540E9" w:rsidP="008540E9">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B44693">
        <w:rPr>
          <w:rFonts w:ascii="Times New Roman" w:eastAsia="Times New Roman" w:hAnsi="Times New Roman" w:cs="Times New Roman"/>
          <w:b/>
          <w:bCs/>
          <w:sz w:val="24"/>
          <w:szCs w:val="24"/>
        </w:rPr>
        <w:t>Outcome 3:</w:t>
      </w:r>
      <w:r w:rsidRPr="00B44693">
        <w:rPr>
          <w:rFonts w:ascii="Times New Roman" w:eastAsia="Times New Roman" w:hAnsi="Times New Roman" w:cs="Times New Roman"/>
          <w:sz w:val="24"/>
          <w:szCs w:val="24"/>
        </w:rPr>
        <w:t xml:space="preserve"> Increased public awareness and reduction of stigma on menstrual health through male engagement and community campaigns.</w:t>
      </w:r>
    </w:p>
    <w:p w14:paraId="4F3A068E" w14:textId="77777777" w:rsidR="008540E9" w:rsidRPr="00B44693" w:rsidRDefault="008540E9" w:rsidP="008540E9">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B44693">
        <w:rPr>
          <w:rFonts w:ascii="Times New Roman" w:eastAsia="Times New Roman" w:hAnsi="Times New Roman" w:cs="Times New Roman"/>
          <w:b/>
          <w:bCs/>
          <w:sz w:val="24"/>
          <w:szCs w:val="24"/>
        </w:rPr>
        <w:t>Outcome 4:</w:t>
      </w:r>
      <w:r w:rsidRPr="00B44693">
        <w:rPr>
          <w:rFonts w:ascii="Times New Roman" w:eastAsia="Times New Roman" w:hAnsi="Times New Roman" w:cs="Times New Roman"/>
          <w:sz w:val="24"/>
          <w:szCs w:val="24"/>
        </w:rPr>
        <w:t xml:space="preserve"> Enhanced policy dialogue between civil society and government, contributing to provincial and national MHM policy implementation.</w:t>
      </w:r>
    </w:p>
    <w:p w14:paraId="001A599F" w14:textId="77777777" w:rsidR="008540E9" w:rsidRPr="00B44693" w:rsidRDefault="008540E9" w:rsidP="008540E9">
      <w:pPr>
        <w:spacing w:before="100" w:beforeAutospacing="1" w:after="100" w:afterAutospacing="1"/>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These changes will reflect greater citizen participation, accountability, and health equity — core principles of the Commonwealth Foundation’s Health Justice agenda .</w:t>
      </w:r>
    </w:p>
    <w:p w14:paraId="0DECC8AF" w14:textId="77777777" w:rsidR="008540E9" w:rsidRPr="00EB3466" w:rsidRDefault="008540E9" w:rsidP="008540E9">
      <w:pPr>
        <w:pStyle w:val="BodyText"/>
        <w:rPr>
          <w:rFonts w:ascii="Seaford" w:hAnsi="Seaford"/>
        </w:rPr>
      </w:pPr>
    </w:p>
    <w:p w14:paraId="4FDBA396" w14:textId="77777777" w:rsidR="008540E9" w:rsidRPr="00EB3466" w:rsidRDefault="008540E9" w:rsidP="008540E9">
      <w:pPr>
        <w:pStyle w:val="BodyText"/>
        <w:spacing w:before="102"/>
        <w:rPr>
          <w:rFonts w:ascii="Seaford" w:hAnsi="Seaford"/>
        </w:rPr>
      </w:pPr>
    </w:p>
    <w:p w14:paraId="381F9AAC" w14:textId="026421B6" w:rsidR="008540E9" w:rsidRPr="008540E9" w:rsidRDefault="008540E9" w:rsidP="008540E9">
      <w:pPr>
        <w:tabs>
          <w:tab w:val="left" w:pos="709"/>
        </w:tabs>
        <w:rPr>
          <w:rFonts w:ascii="Seaford" w:hAnsi="Seaford"/>
          <w:i/>
        </w:rPr>
      </w:pPr>
      <w:r>
        <w:rPr>
          <w:rFonts w:ascii="Seaford" w:hAnsi="Seaford"/>
          <w:b/>
          <w:spacing w:val="-4"/>
          <w:sz w:val="24"/>
        </w:rPr>
        <w:t>5.</w:t>
      </w:r>
      <w:r w:rsidRPr="008540E9">
        <w:rPr>
          <w:rFonts w:ascii="Seaford" w:hAnsi="Seaford"/>
          <w:b/>
          <w:spacing w:val="-4"/>
          <w:sz w:val="24"/>
        </w:rPr>
        <w:t>How</w:t>
      </w:r>
      <w:r w:rsidRPr="008540E9">
        <w:rPr>
          <w:rFonts w:ascii="Seaford" w:hAnsi="Seaford"/>
          <w:b/>
          <w:spacing w:val="-17"/>
          <w:sz w:val="24"/>
        </w:rPr>
        <w:t xml:space="preserve"> </w:t>
      </w:r>
      <w:r w:rsidRPr="008540E9">
        <w:rPr>
          <w:rFonts w:ascii="Seaford" w:hAnsi="Seaford"/>
          <w:b/>
          <w:spacing w:val="-4"/>
          <w:sz w:val="24"/>
        </w:rPr>
        <w:t>will</w:t>
      </w:r>
      <w:r w:rsidRPr="008540E9">
        <w:rPr>
          <w:rFonts w:ascii="Seaford" w:hAnsi="Seaford"/>
          <w:b/>
          <w:spacing w:val="-17"/>
          <w:sz w:val="24"/>
        </w:rPr>
        <w:t xml:space="preserve"> </w:t>
      </w:r>
      <w:r w:rsidRPr="008540E9">
        <w:rPr>
          <w:rFonts w:ascii="Seaford" w:hAnsi="Seaford"/>
          <w:b/>
          <w:spacing w:val="-4"/>
          <w:sz w:val="24"/>
        </w:rPr>
        <w:t>the</w:t>
      </w:r>
      <w:r w:rsidRPr="008540E9">
        <w:rPr>
          <w:rFonts w:ascii="Seaford" w:hAnsi="Seaford"/>
          <w:b/>
          <w:spacing w:val="-16"/>
          <w:sz w:val="24"/>
        </w:rPr>
        <w:t xml:space="preserve"> </w:t>
      </w:r>
      <w:r w:rsidRPr="008540E9">
        <w:rPr>
          <w:rFonts w:ascii="Seaford" w:hAnsi="Seaford"/>
          <w:b/>
          <w:spacing w:val="-4"/>
          <w:sz w:val="24"/>
        </w:rPr>
        <w:t>project</w:t>
      </w:r>
      <w:r w:rsidRPr="008540E9">
        <w:rPr>
          <w:rFonts w:ascii="Seaford" w:hAnsi="Seaford"/>
          <w:b/>
          <w:spacing w:val="-17"/>
          <w:sz w:val="24"/>
        </w:rPr>
        <w:t xml:space="preserve"> </w:t>
      </w:r>
      <w:r w:rsidRPr="008540E9">
        <w:rPr>
          <w:rFonts w:ascii="Seaford" w:hAnsi="Seaford"/>
          <w:b/>
          <w:spacing w:val="-4"/>
          <w:sz w:val="24"/>
        </w:rPr>
        <w:t>address</w:t>
      </w:r>
      <w:r w:rsidRPr="008540E9">
        <w:rPr>
          <w:rFonts w:ascii="Seaford" w:hAnsi="Seaford"/>
          <w:b/>
          <w:spacing w:val="-15"/>
          <w:sz w:val="24"/>
        </w:rPr>
        <w:t xml:space="preserve"> </w:t>
      </w:r>
      <w:r w:rsidRPr="008540E9">
        <w:rPr>
          <w:rFonts w:ascii="Seaford" w:hAnsi="Seaford"/>
          <w:b/>
          <w:spacing w:val="-4"/>
          <w:sz w:val="24"/>
        </w:rPr>
        <w:t>the</w:t>
      </w:r>
      <w:r w:rsidRPr="008540E9">
        <w:rPr>
          <w:rFonts w:ascii="Seaford" w:hAnsi="Seaford"/>
          <w:b/>
          <w:spacing w:val="-16"/>
          <w:sz w:val="24"/>
        </w:rPr>
        <w:t xml:space="preserve"> </w:t>
      </w:r>
      <w:r w:rsidRPr="008540E9">
        <w:rPr>
          <w:rFonts w:ascii="Seaford" w:hAnsi="Seaford"/>
          <w:b/>
          <w:spacing w:val="-4"/>
          <w:sz w:val="24"/>
        </w:rPr>
        <w:t>problem?</w:t>
      </w:r>
      <w:r w:rsidRPr="008540E9">
        <w:rPr>
          <w:rFonts w:ascii="Seaford" w:hAnsi="Seaford"/>
          <w:b/>
          <w:spacing w:val="26"/>
          <w:sz w:val="24"/>
        </w:rPr>
        <w:t xml:space="preserve"> </w:t>
      </w:r>
    </w:p>
    <w:p w14:paraId="2F7D9B17" w14:textId="77777777" w:rsidR="008540E9" w:rsidRPr="00EB3466" w:rsidRDefault="008540E9" w:rsidP="008540E9">
      <w:pPr>
        <w:pStyle w:val="BodyText"/>
        <w:spacing w:before="55"/>
        <w:rPr>
          <w:rFonts w:ascii="Seaford" w:hAnsi="Seaford"/>
          <w:i/>
          <w:sz w:val="24"/>
        </w:rPr>
      </w:pPr>
    </w:p>
    <w:p w14:paraId="00B39CB2" w14:textId="77777777" w:rsidR="008540E9" w:rsidRPr="00EB3466" w:rsidRDefault="008540E9" w:rsidP="008540E9">
      <w:pPr>
        <w:pStyle w:val="ListParagraph"/>
        <w:numPr>
          <w:ilvl w:val="0"/>
          <w:numId w:val="6"/>
        </w:numPr>
        <w:tabs>
          <w:tab w:val="left" w:pos="838"/>
        </w:tabs>
        <w:ind w:left="838" w:hanging="358"/>
        <w:contextualSpacing w:val="0"/>
        <w:jc w:val="both"/>
        <w:rPr>
          <w:rFonts w:ascii="Seaford" w:hAnsi="Seaford"/>
        </w:rPr>
      </w:pPr>
      <w:r w:rsidRPr="00EB3466">
        <w:rPr>
          <w:rFonts w:ascii="Seaford" w:hAnsi="Seaford"/>
        </w:rPr>
        <w:t>What</w:t>
      </w:r>
      <w:r w:rsidRPr="00EB3466">
        <w:rPr>
          <w:rFonts w:ascii="Seaford" w:hAnsi="Seaford"/>
          <w:spacing w:val="-8"/>
        </w:rPr>
        <w:t xml:space="preserve"> </w:t>
      </w:r>
      <w:r w:rsidRPr="00EB3466">
        <w:rPr>
          <w:rFonts w:ascii="Seaford" w:hAnsi="Seaford"/>
        </w:rPr>
        <w:t>are</w:t>
      </w:r>
      <w:r w:rsidRPr="00EB3466">
        <w:rPr>
          <w:rFonts w:ascii="Seaford" w:hAnsi="Seaford"/>
          <w:spacing w:val="-8"/>
        </w:rPr>
        <w:t xml:space="preserve"> </w:t>
      </w:r>
      <w:r w:rsidRPr="00EB3466">
        <w:rPr>
          <w:rFonts w:ascii="Seaford" w:hAnsi="Seaford"/>
        </w:rPr>
        <w:t>the</w:t>
      </w:r>
      <w:r w:rsidRPr="00EB3466">
        <w:rPr>
          <w:rFonts w:ascii="Seaford" w:hAnsi="Seaford"/>
          <w:spacing w:val="-7"/>
        </w:rPr>
        <w:t xml:space="preserve"> </w:t>
      </w:r>
      <w:r w:rsidRPr="00EB3466">
        <w:rPr>
          <w:rFonts w:ascii="Seaford" w:hAnsi="Seaford"/>
        </w:rPr>
        <w:t>main</w:t>
      </w:r>
      <w:r w:rsidRPr="00EB3466">
        <w:rPr>
          <w:rFonts w:ascii="Seaford" w:hAnsi="Seaford"/>
          <w:spacing w:val="-9"/>
        </w:rPr>
        <w:t xml:space="preserve"> </w:t>
      </w:r>
      <w:r w:rsidRPr="00EB3466">
        <w:rPr>
          <w:rFonts w:ascii="Seaford" w:hAnsi="Seaford"/>
        </w:rPr>
        <w:t>outputs</w:t>
      </w:r>
      <w:r w:rsidRPr="00EB3466">
        <w:rPr>
          <w:rFonts w:ascii="Seaford" w:hAnsi="Seaford"/>
          <w:spacing w:val="-7"/>
        </w:rPr>
        <w:t xml:space="preserve"> </w:t>
      </w:r>
      <w:r w:rsidRPr="00EB3466">
        <w:rPr>
          <w:rFonts w:ascii="Seaford" w:hAnsi="Seaford"/>
        </w:rPr>
        <w:t>the</w:t>
      </w:r>
      <w:r w:rsidRPr="00EB3466">
        <w:rPr>
          <w:rFonts w:ascii="Seaford" w:hAnsi="Seaford"/>
          <w:spacing w:val="-7"/>
        </w:rPr>
        <w:t xml:space="preserve"> </w:t>
      </w:r>
      <w:r w:rsidRPr="00EB3466">
        <w:rPr>
          <w:rFonts w:ascii="Seaford" w:hAnsi="Seaford"/>
        </w:rPr>
        <w:t>project</w:t>
      </w:r>
      <w:r w:rsidRPr="00EB3466">
        <w:rPr>
          <w:rFonts w:ascii="Seaford" w:hAnsi="Seaford"/>
          <w:spacing w:val="-11"/>
        </w:rPr>
        <w:t xml:space="preserve"> </w:t>
      </w:r>
      <w:r w:rsidRPr="00EB3466">
        <w:rPr>
          <w:rFonts w:ascii="Seaford" w:hAnsi="Seaford"/>
        </w:rPr>
        <w:t>will</w:t>
      </w:r>
      <w:r w:rsidRPr="00EB3466">
        <w:rPr>
          <w:rFonts w:ascii="Seaford" w:hAnsi="Seaford"/>
          <w:spacing w:val="-7"/>
        </w:rPr>
        <w:t xml:space="preserve"> </w:t>
      </w:r>
      <w:r w:rsidRPr="00EB3466">
        <w:rPr>
          <w:rFonts w:ascii="Seaford" w:hAnsi="Seaford"/>
        </w:rPr>
        <w:t>deliver</w:t>
      </w:r>
      <w:r w:rsidRPr="00EB3466">
        <w:rPr>
          <w:rFonts w:ascii="Seaford" w:hAnsi="Seaford"/>
          <w:spacing w:val="-9"/>
        </w:rPr>
        <w:t xml:space="preserve"> </w:t>
      </w:r>
      <w:r w:rsidRPr="00EB3466">
        <w:rPr>
          <w:rFonts w:ascii="Seaford" w:hAnsi="Seaford"/>
        </w:rPr>
        <w:t>to</w:t>
      </w:r>
      <w:r w:rsidRPr="00EB3466">
        <w:rPr>
          <w:rFonts w:ascii="Seaford" w:hAnsi="Seaford"/>
          <w:spacing w:val="-9"/>
        </w:rPr>
        <w:t xml:space="preserve"> </w:t>
      </w:r>
      <w:r w:rsidRPr="00EB3466">
        <w:rPr>
          <w:rFonts w:ascii="Seaford" w:hAnsi="Seaford"/>
        </w:rPr>
        <w:t>achieve</w:t>
      </w:r>
      <w:r w:rsidRPr="00EB3466">
        <w:rPr>
          <w:rFonts w:ascii="Seaford" w:hAnsi="Seaford"/>
          <w:spacing w:val="-8"/>
        </w:rPr>
        <w:t xml:space="preserve"> </w:t>
      </w:r>
      <w:r w:rsidRPr="00EB3466">
        <w:rPr>
          <w:rFonts w:ascii="Seaford" w:hAnsi="Seaford"/>
        </w:rPr>
        <w:t>the</w:t>
      </w:r>
      <w:r w:rsidRPr="00EB3466">
        <w:rPr>
          <w:rFonts w:ascii="Seaford" w:hAnsi="Seaford"/>
          <w:spacing w:val="-7"/>
        </w:rPr>
        <w:t xml:space="preserve"> </w:t>
      </w:r>
      <w:r w:rsidRPr="00EB3466">
        <w:rPr>
          <w:rFonts w:ascii="Seaford" w:hAnsi="Seaford"/>
        </w:rPr>
        <w:t>planned</w:t>
      </w:r>
      <w:r w:rsidRPr="00EB3466">
        <w:rPr>
          <w:rFonts w:ascii="Seaford" w:hAnsi="Seaford"/>
          <w:spacing w:val="-8"/>
        </w:rPr>
        <w:t xml:space="preserve"> </w:t>
      </w:r>
      <w:r w:rsidRPr="00EB3466">
        <w:rPr>
          <w:rFonts w:ascii="Seaford" w:hAnsi="Seaford"/>
          <w:spacing w:val="-2"/>
        </w:rPr>
        <w:t>outcomes?</w:t>
      </w:r>
    </w:p>
    <w:p w14:paraId="058F1C41" w14:textId="77777777" w:rsidR="008540E9" w:rsidRPr="00EB3466" w:rsidRDefault="008540E9" w:rsidP="008540E9">
      <w:pPr>
        <w:pStyle w:val="ListParagraph"/>
        <w:numPr>
          <w:ilvl w:val="0"/>
          <w:numId w:val="6"/>
        </w:numPr>
        <w:tabs>
          <w:tab w:val="left" w:pos="837"/>
          <w:tab w:val="left" w:pos="839"/>
        </w:tabs>
        <w:spacing w:before="51" w:line="285" w:lineRule="auto"/>
        <w:ind w:left="839" w:right="251" w:hanging="360"/>
        <w:contextualSpacing w:val="0"/>
        <w:jc w:val="both"/>
        <w:rPr>
          <w:rFonts w:ascii="Seaford" w:hAnsi="Seaford"/>
        </w:rPr>
      </w:pPr>
      <w:r w:rsidRPr="00EB3466">
        <w:rPr>
          <w:rFonts w:ascii="Seaford" w:hAnsi="Seaford"/>
        </w:rPr>
        <w:t>If</w:t>
      </w:r>
      <w:r w:rsidRPr="00EB3466">
        <w:rPr>
          <w:rFonts w:ascii="Seaford" w:hAnsi="Seaford"/>
          <w:spacing w:val="-10"/>
        </w:rPr>
        <w:t xml:space="preserve"> </w:t>
      </w:r>
      <w:r w:rsidRPr="00EB3466">
        <w:rPr>
          <w:rFonts w:ascii="Seaford" w:hAnsi="Seaford"/>
        </w:rPr>
        <w:t>the</w:t>
      </w:r>
      <w:r w:rsidRPr="00EB3466">
        <w:rPr>
          <w:rFonts w:ascii="Seaford" w:hAnsi="Seaford"/>
          <w:spacing w:val="-11"/>
        </w:rPr>
        <w:t xml:space="preserve"> </w:t>
      </w:r>
      <w:r w:rsidRPr="00EB3466">
        <w:rPr>
          <w:rFonts w:ascii="Seaford" w:hAnsi="Seaford"/>
        </w:rPr>
        <w:t>project</w:t>
      </w:r>
      <w:r w:rsidRPr="00EB3466">
        <w:rPr>
          <w:rFonts w:ascii="Seaford" w:hAnsi="Seaford"/>
          <w:spacing w:val="-14"/>
        </w:rPr>
        <w:t xml:space="preserve"> </w:t>
      </w:r>
      <w:r w:rsidRPr="00EB3466">
        <w:rPr>
          <w:rFonts w:ascii="Seaford" w:hAnsi="Seaford"/>
        </w:rPr>
        <w:t>is</w:t>
      </w:r>
      <w:r w:rsidRPr="00EB3466">
        <w:rPr>
          <w:rFonts w:ascii="Seaford" w:hAnsi="Seaford"/>
          <w:spacing w:val="-10"/>
        </w:rPr>
        <w:t xml:space="preserve"> </w:t>
      </w:r>
      <w:r w:rsidRPr="00EB3466">
        <w:rPr>
          <w:rFonts w:ascii="Seaford" w:hAnsi="Seaford"/>
        </w:rPr>
        <w:t>part</w:t>
      </w:r>
      <w:r w:rsidRPr="00EB3466">
        <w:rPr>
          <w:rFonts w:ascii="Seaford" w:hAnsi="Seaford"/>
          <w:spacing w:val="-11"/>
        </w:rPr>
        <w:t xml:space="preserve"> </w:t>
      </w:r>
      <w:r w:rsidRPr="00EB3466">
        <w:rPr>
          <w:rFonts w:ascii="Seaford" w:hAnsi="Seaford"/>
        </w:rPr>
        <w:t>of</w:t>
      </w:r>
      <w:r w:rsidRPr="00EB3466">
        <w:rPr>
          <w:rFonts w:ascii="Seaford" w:hAnsi="Seaford"/>
          <w:spacing w:val="-10"/>
        </w:rPr>
        <w:t xml:space="preserve"> </w:t>
      </w:r>
      <w:r w:rsidRPr="00EB3466">
        <w:rPr>
          <w:rFonts w:ascii="Seaford" w:hAnsi="Seaford"/>
        </w:rPr>
        <w:t>an</w:t>
      </w:r>
      <w:r w:rsidRPr="00EB3466">
        <w:rPr>
          <w:rFonts w:ascii="Seaford" w:hAnsi="Seaford"/>
          <w:spacing w:val="-14"/>
        </w:rPr>
        <w:t xml:space="preserve"> </w:t>
      </w:r>
      <w:r w:rsidRPr="00EB3466">
        <w:rPr>
          <w:rFonts w:ascii="Seaford" w:hAnsi="Seaford"/>
        </w:rPr>
        <w:t>ongoing</w:t>
      </w:r>
      <w:r w:rsidRPr="00EB3466">
        <w:rPr>
          <w:rFonts w:ascii="Seaford" w:hAnsi="Seaford"/>
          <w:spacing w:val="-12"/>
        </w:rPr>
        <w:t xml:space="preserve"> </w:t>
      </w:r>
      <w:r w:rsidRPr="00EB3466">
        <w:rPr>
          <w:rFonts w:ascii="Seaford" w:hAnsi="Seaford"/>
        </w:rPr>
        <w:t>larger</w:t>
      </w:r>
      <w:r w:rsidRPr="00EB3466">
        <w:rPr>
          <w:rFonts w:ascii="Seaford" w:hAnsi="Seaford"/>
          <w:spacing w:val="-13"/>
        </w:rPr>
        <w:t xml:space="preserve"> </w:t>
      </w:r>
      <w:r w:rsidRPr="00EB3466">
        <w:rPr>
          <w:rFonts w:ascii="Seaford" w:hAnsi="Seaford"/>
        </w:rPr>
        <w:t>project</w:t>
      </w:r>
      <w:r w:rsidRPr="00EB3466">
        <w:rPr>
          <w:rFonts w:ascii="Seaford" w:hAnsi="Seaford"/>
          <w:spacing w:val="-11"/>
        </w:rPr>
        <w:t xml:space="preserve"> </w:t>
      </w:r>
      <w:r w:rsidRPr="00EB3466">
        <w:rPr>
          <w:rFonts w:ascii="Seaford" w:hAnsi="Seaford"/>
        </w:rPr>
        <w:t>or</w:t>
      </w:r>
      <w:r w:rsidRPr="00EB3466">
        <w:rPr>
          <w:rFonts w:ascii="Seaford" w:hAnsi="Seaford"/>
          <w:spacing w:val="-13"/>
        </w:rPr>
        <w:t xml:space="preserve"> </w:t>
      </w:r>
      <w:proofErr w:type="spellStart"/>
      <w:r w:rsidRPr="00EB3466">
        <w:rPr>
          <w:rFonts w:ascii="Seaford" w:hAnsi="Seaford"/>
        </w:rPr>
        <w:t>programme</w:t>
      </w:r>
      <w:proofErr w:type="spellEnd"/>
      <w:r w:rsidRPr="00EB3466">
        <w:rPr>
          <w:rFonts w:ascii="Seaford" w:hAnsi="Seaford"/>
        </w:rPr>
        <w:t>,</w:t>
      </w:r>
      <w:r w:rsidRPr="00EB3466">
        <w:rPr>
          <w:rFonts w:ascii="Seaford" w:hAnsi="Seaford"/>
          <w:spacing w:val="-12"/>
        </w:rPr>
        <w:t xml:space="preserve"> </w:t>
      </w:r>
      <w:r w:rsidRPr="00EB3466">
        <w:rPr>
          <w:rFonts w:ascii="Seaford" w:hAnsi="Seaford"/>
        </w:rPr>
        <w:t>please</w:t>
      </w:r>
      <w:r w:rsidRPr="00EB3466">
        <w:rPr>
          <w:rFonts w:ascii="Seaford" w:hAnsi="Seaford"/>
          <w:spacing w:val="-13"/>
        </w:rPr>
        <w:t xml:space="preserve"> </w:t>
      </w:r>
      <w:r w:rsidRPr="00EB3466">
        <w:rPr>
          <w:rFonts w:ascii="Seaford" w:hAnsi="Seaford"/>
        </w:rPr>
        <w:t>focus</w:t>
      </w:r>
      <w:r w:rsidRPr="00EB3466">
        <w:rPr>
          <w:rFonts w:ascii="Seaford" w:hAnsi="Seaford"/>
          <w:spacing w:val="-13"/>
        </w:rPr>
        <w:t xml:space="preserve"> </w:t>
      </w:r>
      <w:r w:rsidRPr="00EB3466">
        <w:rPr>
          <w:rFonts w:ascii="Seaford" w:hAnsi="Seaford"/>
        </w:rPr>
        <w:t>on</w:t>
      </w:r>
      <w:r w:rsidRPr="00EB3466">
        <w:rPr>
          <w:rFonts w:ascii="Seaford" w:hAnsi="Seaford"/>
          <w:spacing w:val="-12"/>
        </w:rPr>
        <w:t xml:space="preserve"> </w:t>
      </w:r>
      <w:r w:rsidRPr="00EB3466">
        <w:rPr>
          <w:rFonts w:ascii="Seaford" w:hAnsi="Seaford"/>
        </w:rPr>
        <w:t>what</w:t>
      </w:r>
      <w:r w:rsidRPr="00EB3466">
        <w:rPr>
          <w:rFonts w:ascii="Seaford" w:hAnsi="Seaford"/>
          <w:spacing w:val="-11"/>
        </w:rPr>
        <w:t xml:space="preserve"> </w:t>
      </w:r>
      <w:r w:rsidRPr="00EB3466">
        <w:rPr>
          <w:rFonts w:ascii="Seaford" w:hAnsi="Seaford"/>
        </w:rPr>
        <w:t xml:space="preserve">the </w:t>
      </w:r>
      <w:r w:rsidRPr="00EB3466">
        <w:rPr>
          <w:rFonts w:ascii="Seaford" w:hAnsi="Seaford"/>
          <w:w w:val="105"/>
        </w:rPr>
        <w:t>project</w:t>
      </w:r>
      <w:r w:rsidRPr="00EB3466">
        <w:rPr>
          <w:rFonts w:ascii="Seaford" w:hAnsi="Seaford"/>
          <w:spacing w:val="-11"/>
          <w:w w:val="105"/>
        </w:rPr>
        <w:t xml:space="preserve"> </w:t>
      </w:r>
      <w:r w:rsidRPr="00EB3466">
        <w:rPr>
          <w:rFonts w:ascii="Seaford" w:hAnsi="Seaford"/>
          <w:w w:val="105"/>
        </w:rPr>
        <w:t>will</w:t>
      </w:r>
      <w:r w:rsidRPr="00EB3466">
        <w:rPr>
          <w:rFonts w:ascii="Seaford" w:hAnsi="Seaford"/>
          <w:spacing w:val="-7"/>
          <w:w w:val="105"/>
        </w:rPr>
        <w:t xml:space="preserve"> </w:t>
      </w:r>
      <w:r w:rsidRPr="00EB3466">
        <w:rPr>
          <w:rFonts w:ascii="Seaford" w:hAnsi="Seaford"/>
          <w:w w:val="105"/>
        </w:rPr>
        <w:t>deliver</w:t>
      </w:r>
      <w:r w:rsidRPr="00EB3466">
        <w:rPr>
          <w:rFonts w:ascii="Seaford" w:hAnsi="Seaford"/>
          <w:spacing w:val="-8"/>
          <w:w w:val="105"/>
        </w:rPr>
        <w:t xml:space="preserve"> </w:t>
      </w:r>
      <w:r w:rsidRPr="00EB3466">
        <w:rPr>
          <w:rFonts w:ascii="Seaford" w:hAnsi="Seaford"/>
          <w:w w:val="105"/>
        </w:rPr>
        <w:t>with</w:t>
      </w:r>
      <w:r w:rsidRPr="00EB3466">
        <w:rPr>
          <w:rFonts w:ascii="Seaford" w:hAnsi="Seaford"/>
          <w:spacing w:val="-9"/>
          <w:w w:val="105"/>
        </w:rPr>
        <w:t xml:space="preserve"> </w:t>
      </w:r>
      <w:r w:rsidRPr="00EB3466">
        <w:rPr>
          <w:rFonts w:ascii="Seaford" w:hAnsi="Seaford"/>
          <w:w w:val="105"/>
        </w:rPr>
        <w:t>the</w:t>
      </w:r>
      <w:r w:rsidRPr="00EB3466">
        <w:rPr>
          <w:rFonts w:ascii="Seaford" w:hAnsi="Seaford"/>
          <w:spacing w:val="-8"/>
          <w:w w:val="105"/>
        </w:rPr>
        <w:t xml:space="preserve"> </w:t>
      </w:r>
      <w:r w:rsidRPr="00EB3466">
        <w:rPr>
          <w:rFonts w:ascii="Seaford" w:hAnsi="Seaford"/>
          <w:w w:val="105"/>
        </w:rPr>
        <w:t>requested</w:t>
      </w:r>
      <w:r w:rsidRPr="00EB3466">
        <w:rPr>
          <w:rFonts w:ascii="Seaford" w:hAnsi="Seaford"/>
          <w:spacing w:val="-8"/>
          <w:w w:val="105"/>
        </w:rPr>
        <w:t xml:space="preserve"> </w:t>
      </w:r>
      <w:r w:rsidRPr="00EB3466">
        <w:rPr>
          <w:rFonts w:ascii="Seaford" w:hAnsi="Seaford"/>
          <w:w w:val="105"/>
        </w:rPr>
        <w:t>support</w:t>
      </w:r>
    </w:p>
    <w:p w14:paraId="5E3B96F2" w14:textId="77777777" w:rsidR="008540E9" w:rsidRPr="00EB3466" w:rsidRDefault="008540E9" w:rsidP="008540E9">
      <w:pPr>
        <w:pStyle w:val="ListParagraph"/>
        <w:numPr>
          <w:ilvl w:val="0"/>
          <w:numId w:val="6"/>
        </w:numPr>
        <w:tabs>
          <w:tab w:val="left" w:pos="837"/>
        </w:tabs>
        <w:spacing w:line="251" w:lineRule="exact"/>
        <w:ind w:left="837" w:hanging="358"/>
        <w:contextualSpacing w:val="0"/>
        <w:jc w:val="both"/>
        <w:rPr>
          <w:rFonts w:ascii="Seaford" w:hAnsi="Seaford"/>
        </w:rPr>
      </w:pPr>
      <w:r w:rsidRPr="00EB3466">
        <w:rPr>
          <w:rFonts w:ascii="Seaford" w:hAnsi="Seaford"/>
        </w:rPr>
        <w:t>Who</w:t>
      </w:r>
      <w:r w:rsidRPr="00EB3466">
        <w:rPr>
          <w:rFonts w:ascii="Seaford" w:hAnsi="Seaford"/>
          <w:spacing w:val="-13"/>
        </w:rPr>
        <w:t xml:space="preserve"> </w:t>
      </w:r>
      <w:r w:rsidRPr="00EB3466">
        <w:rPr>
          <w:rFonts w:ascii="Seaford" w:hAnsi="Seaford"/>
        </w:rPr>
        <w:t>are</w:t>
      </w:r>
      <w:r w:rsidRPr="00EB3466">
        <w:rPr>
          <w:rFonts w:ascii="Seaford" w:hAnsi="Seaford"/>
          <w:spacing w:val="-11"/>
        </w:rPr>
        <w:t xml:space="preserve"> </w:t>
      </w:r>
      <w:r w:rsidRPr="00EB3466">
        <w:rPr>
          <w:rFonts w:ascii="Seaford" w:hAnsi="Seaford"/>
        </w:rPr>
        <w:t>you</w:t>
      </w:r>
      <w:r w:rsidRPr="00EB3466">
        <w:rPr>
          <w:rFonts w:ascii="Seaford" w:hAnsi="Seaford"/>
          <w:spacing w:val="-12"/>
        </w:rPr>
        <w:t xml:space="preserve"> </w:t>
      </w:r>
      <w:r w:rsidRPr="00EB3466">
        <w:rPr>
          <w:rFonts w:ascii="Seaford" w:hAnsi="Seaford"/>
        </w:rPr>
        <w:t>going</w:t>
      </w:r>
      <w:r w:rsidRPr="00EB3466">
        <w:rPr>
          <w:rFonts w:ascii="Seaford" w:hAnsi="Seaford"/>
          <w:spacing w:val="-12"/>
        </w:rPr>
        <w:t xml:space="preserve"> </w:t>
      </w:r>
      <w:r w:rsidRPr="00EB3466">
        <w:rPr>
          <w:rFonts w:ascii="Seaford" w:hAnsi="Seaford"/>
        </w:rPr>
        <w:t>to</w:t>
      </w:r>
      <w:r w:rsidRPr="00EB3466">
        <w:rPr>
          <w:rFonts w:ascii="Seaford" w:hAnsi="Seaford"/>
          <w:spacing w:val="-14"/>
        </w:rPr>
        <w:t xml:space="preserve"> </w:t>
      </w:r>
      <w:r w:rsidRPr="00EB3466">
        <w:rPr>
          <w:rFonts w:ascii="Seaford" w:hAnsi="Seaford"/>
        </w:rPr>
        <w:t>work</w:t>
      </w:r>
      <w:r w:rsidRPr="00EB3466">
        <w:rPr>
          <w:rFonts w:ascii="Seaford" w:hAnsi="Seaford"/>
          <w:spacing w:val="-11"/>
        </w:rPr>
        <w:t xml:space="preserve"> </w:t>
      </w:r>
      <w:r w:rsidRPr="00EB3466">
        <w:rPr>
          <w:rFonts w:ascii="Seaford" w:hAnsi="Seaford"/>
        </w:rPr>
        <w:t>with?</w:t>
      </w:r>
      <w:r w:rsidRPr="00EB3466">
        <w:rPr>
          <w:rFonts w:ascii="Seaford" w:hAnsi="Seaford"/>
          <w:spacing w:val="-14"/>
        </w:rPr>
        <w:t xml:space="preserve"> </w:t>
      </w:r>
      <w:r w:rsidRPr="00EB3466">
        <w:rPr>
          <w:rFonts w:ascii="Seaford" w:hAnsi="Seaford"/>
        </w:rPr>
        <w:t>Please</w:t>
      </w:r>
      <w:r w:rsidRPr="00EB3466">
        <w:rPr>
          <w:rFonts w:ascii="Seaford" w:hAnsi="Seaford"/>
          <w:spacing w:val="-13"/>
        </w:rPr>
        <w:t xml:space="preserve"> </w:t>
      </w:r>
      <w:r w:rsidRPr="00EB3466">
        <w:rPr>
          <w:rFonts w:ascii="Seaford" w:hAnsi="Seaford"/>
        </w:rPr>
        <w:t>include</w:t>
      </w:r>
      <w:r w:rsidRPr="00EB3466">
        <w:rPr>
          <w:rFonts w:ascii="Seaford" w:hAnsi="Seaford"/>
          <w:spacing w:val="-11"/>
        </w:rPr>
        <w:t xml:space="preserve"> </w:t>
      </w:r>
      <w:r w:rsidRPr="00EB3466">
        <w:rPr>
          <w:rFonts w:ascii="Seaford" w:hAnsi="Seaford"/>
        </w:rPr>
        <w:t>information</w:t>
      </w:r>
      <w:r w:rsidRPr="00EB3466">
        <w:rPr>
          <w:rFonts w:ascii="Seaford" w:hAnsi="Seaford"/>
          <w:spacing w:val="-12"/>
        </w:rPr>
        <w:t xml:space="preserve"> </w:t>
      </w:r>
      <w:r w:rsidRPr="00EB3466">
        <w:rPr>
          <w:rFonts w:ascii="Seaford" w:hAnsi="Seaford"/>
        </w:rPr>
        <w:t>on</w:t>
      </w:r>
      <w:r w:rsidRPr="00EB3466">
        <w:rPr>
          <w:rFonts w:ascii="Seaford" w:hAnsi="Seaford"/>
          <w:spacing w:val="-12"/>
        </w:rPr>
        <w:t xml:space="preserve"> </w:t>
      </w:r>
      <w:r w:rsidRPr="00EB3466">
        <w:rPr>
          <w:rFonts w:ascii="Seaford" w:hAnsi="Seaford"/>
        </w:rPr>
        <w:t>your</w:t>
      </w:r>
      <w:r w:rsidRPr="00EB3466">
        <w:rPr>
          <w:rFonts w:ascii="Seaford" w:hAnsi="Seaford"/>
          <w:spacing w:val="-11"/>
        </w:rPr>
        <w:t xml:space="preserve"> </w:t>
      </w:r>
      <w:r w:rsidRPr="00EB3466">
        <w:rPr>
          <w:rFonts w:ascii="Seaford" w:hAnsi="Seaford"/>
        </w:rPr>
        <w:t>key</w:t>
      </w:r>
      <w:r w:rsidRPr="00EB3466">
        <w:rPr>
          <w:rFonts w:ascii="Seaford" w:hAnsi="Seaford"/>
          <w:spacing w:val="-12"/>
        </w:rPr>
        <w:t xml:space="preserve"> </w:t>
      </w:r>
      <w:r w:rsidRPr="00EB3466">
        <w:rPr>
          <w:rFonts w:ascii="Seaford" w:hAnsi="Seaford"/>
        </w:rPr>
        <w:t>target</w:t>
      </w:r>
      <w:r w:rsidRPr="00EB3466">
        <w:rPr>
          <w:rFonts w:ascii="Seaford" w:hAnsi="Seaford"/>
          <w:spacing w:val="-11"/>
        </w:rPr>
        <w:t xml:space="preserve"> </w:t>
      </w:r>
      <w:r w:rsidRPr="00EB3466">
        <w:rPr>
          <w:rFonts w:ascii="Seaford" w:hAnsi="Seaford"/>
          <w:spacing w:val="-2"/>
        </w:rPr>
        <w:t>groups.</w:t>
      </w:r>
    </w:p>
    <w:p w14:paraId="2F1AA321" w14:textId="77777777" w:rsidR="008540E9" w:rsidRPr="00EB3466" w:rsidRDefault="008540E9" w:rsidP="008540E9">
      <w:pPr>
        <w:pStyle w:val="BodyText"/>
        <w:rPr>
          <w:rFonts w:ascii="Seaford" w:hAnsi="Seaford"/>
        </w:rPr>
      </w:pPr>
    </w:p>
    <w:p w14:paraId="2BF10214" w14:textId="77777777" w:rsidR="008540E9" w:rsidRPr="00B44693" w:rsidRDefault="008540E9" w:rsidP="00175E04">
      <w:pPr>
        <w:spacing w:before="100" w:beforeAutospacing="1" w:after="100" w:afterAutospacing="1"/>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The project adopts a rights-based, participatory-governance approach built on three interconnected strategies:</w:t>
      </w:r>
    </w:p>
    <w:p w14:paraId="57E991FB" w14:textId="77777777" w:rsidR="008540E9" w:rsidRPr="00B44693" w:rsidRDefault="008540E9" w:rsidP="00175E04">
      <w:pPr>
        <w:spacing w:before="100" w:beforeAutospacing="1" w:after="100" w:afterAutospacing="1"/>
        <w:rPr>
          <w:rFonts w:ascii="Times New Roman" w:eastAsia="Times New Roman" w:hAnsi="Times New Roman" w:cs="Times New Roman"/>
          <w:sz w:val="24"/>
          <w:szCs w:val="24"/>
        </w:rPr>
      </w:pPr>
      <w:r w:rsidRPr="00B44693">
        <w:rPr>
          <w:rFonts w:ascii="Times New Roman" w:eastAsia="Times New Roman" w:hAnsi="Times New Roman" w:cs="Times New Roman"/>
          <w:b/>
          <w:bCs/>
          <w:sz w:val="24"/>
          <w:szCs w:val="24"/>
        </w:rPr>
        <w:t>1. Empowerment and Capacity Building:</w:t>
      </w:r>
      <w:r w:rsidRPr="00B44693">
        <w:rPr>
          <w:rFonts w:ascii="Times New Roman" w:eastAsia="Times New Roman" w:hAnsi="Times New Roman" w:cs="Times New Roman"/>
          <w:sz w:val="24"/>
          <w:szCs w:val="24"/>
        </w:rPr>
        <w:br/>
        <w:t>Train 200 community facilitators (women, youth, and school teachers) and 30 local officials on menstrual health governance, gender analysis, and participatory planning. Workshops will equip participants to generate evidence on service gaps and advocate for responsive budgets.</w:t>
      </w:r>
    </w:p>
    <w:p w14:paraId="3692266C" w14:textId="77777777" w:rsidR="008540E9" w:rsidRPr="00B44693" w:rsidRDefault="008540E9" w:rsidP="00175E04">
      <w:pPr>
        <w:spacing w:before="100" w:beforeAutospacing="1" w:after="100" w:afterAutospacing="1"/>
        <w:rPr>
          <w:rFonts w:ascii="Times New Roman" w:eastAsia="Times New Roman" w:hAnsi="Times New Roman" w:cs="Times New Roman"/>
          <w:sz w:val="24"/>
          <w:szCs w:val="24"/>
        </w:rPr>
      </w:pPr>
      <w:r w:rsidRPr="00B44693">
        <w:rPr>
          <w:rFonts w:ascii="Times New Roman" w:eastAsia="Times New Roman" w:hAnsi="Times New Roman" w:cs="Times New Roman"/>
          <w:b/>
          <w:bCs/>
          <w:sz w:val="24"/>
          <w:szCs w:val="24"/>
        </w:rPr>
        <w:t>2. Institutionalizing Community Health Forums (CHFs):</w:t>
      </w:r>
      <w:r w:rsidRPr="00B44693">
        <w:rPr>
          <w:rFonts w:ascii="Times New Roman" w:eastAsia="Times New Roman" w:hAnsi="Times New Roman" w:cs="Times New Roman"/>
          <w:sz w:val="24"/>
          <w:szCs w:val="24"/>
        </w:rPr>
        <w:br/>
        <w:t>Establish six CHFs linked to Divisional Secretariats and MOH offices that serve as formal dialogue spaces for citizens and authorities. These forums will use community scorecards to track school and clinic hygiene standards and publicly present findings in quarterly review meetings with local councils.</w:t>
      </w:r>
    </w:p>
    <w:p w14:paraId="1FD8C7B7" w14:textId="77777777" w:rsidR="008540E9" w:rsidRPr="00B44693" w:rsidRDefault="008540E9" w:rsidP="00175E04">
      <w:pPr>
        <w:spacing w:before="100" w:beforeAutospacing="1" w:after="100" w:afterAutospacing="1"/>
        <w:rPr>
          <w:rFonts w:ascii="Times New Roman" w:eastAsia="Times New Roman" w:hAnsi="Times New Roman" w:cs="Times New Roman"/>
          <w:sz w:val="24"/>
          <w:szCs w:val="24"/>
        </w:rPr>
      </w:pPr>
      <w:r w:rsidRPr="00B44693">
        <w:rPr>
          <w:rFonts w:ascii="Times New Roman" w:eastAsia="Times New Roman" w:hAnsi="Times New Roman" w:cs="Times New Roman"/>
          <w:b/>
          <w:bCs/>
          <w:sz w:val="24"/>
          <w:szCs w:val="24"/>
        </w:rPr>
        <w:t>3. Advocacy and Public Engagement:</w:t>
      </w:r>
      <w:r w:rsidRPr="00B44693">
        <w:rPr>
          <w:rFonts w:ascii="Times New Roman" w:eastAsia="Times New Roman" w:hAnsi="Times New Roman" w:cs="Times New Roman"/>
          <w:sz w:val="24"/>
          <w:szCs w:val="24"/>
        </w:rPr>
        <w:br/>
        <w:t xml:space="preserve">Implement a district-wide “Speak Health </w:t>
      </w:r>
      <w:r>
        <w:rPr>
          <w:rFonts w:ascii="Times New Roman" w:eastAsia="Times New Roman" w:hAnsi="Times New Roman" w:cs="Times New Roman"/>
          <w:sz w:val="24"/>
          <w:szCs w:val="24"/>
        </w:rPr>
        <w:t>-</w:t>
      </w:r>
      <w:r w:rsidRPr="00B44693">
        <w:rPr>
          <w:rFonts w:ascii="Times New Roman" w:eastAsia="Times New Roman" w:hAnsi="Times New Roman" w:cs="Times New Roman"/>
          <w:sz w:val="24"/>
          <w:szCs w:val="24"/>
        </w:rPr>
        <w:t>Period Pride” campaign to challenge stigma and amplify grass-roots voices through radio, social media, street theatre, and youth-led digital content. Advocacy briefs will be shared with provincial and national authorities, informing MHM policy roll-out.</w:t>
      </w:r>
    </w:p>
    <w:p w14:paraId="5A728016" w14:textId="77777777" w:rsidR="008540E9" w:rsidRPr="00B44693" w:rsidRDefault="008540E9" w:rsidP="00175E04">
      <w:pPr>
        <w:spacing w:before="100" w:beforeAutospacing="1" w:after="100" w:afterAutospacing="1"/>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lastRenderedPageBreak/>
        <w:t>The project will partner with local schools, WRDSs, health units, and youth clubs. Participatory monitoring will combine qualitative (scorecards, focus groups) and quantitative (indicator tracking) methods aligned with the Foundation’s Results-Based Management framework .</w:t>
      </w:r>
    </w:p>
    <w:p w14:paraId="75A8A634" w14:textId="77777777" w:rsidR="008540E9" w:rsidRPr="00B44693" w:rsidRDefault="008540E9" w:rsidP="00175E04">
      <w:pPr>
        <w:spacing w:before="100" w:beforeAutospacing="1" w:after="100" w:afterAutospacing="1"/>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Through this multi-stakeholder model, the initiative translates grass-roots voices into policy influence while improving service delivery, accountability, and gender equity in local health systems.</w:t>
      </w:r>
    </w:p>
    <w:p w14:paraId="61FD0D67" w14:textId="77777777" w:rsidR="008540E9" w:rsidRPr="00EB3466" w:rsidRDefault="008540E9" w:rsidP="00175E04">
      <w:pPr>
        <w:pStyle w:val="BodyText"/>
        <w:spacing w:before="154"/>
        <w:rPr>
          <w:rFonts w:ascii="Seaford" w:hAnsi="Seaford"/>
        </w:rPr>
      </w:pPr>
    </w:p>
    <w:p w14:paraId="43F813A4" w14:textId="27D96B41" w:rsidR="008540E9" w:rsidRPr="0038486F" w:rsidRDefault="00175E04" w:rsidP="00175E04">
      <w:pPr>
        <w:pStyle w:val="Heading1"/>
        <w:tabs>
          <w:tab w:val="num" w:pos="360"/>
          <w:tab w:val="left" w:pos="708"/>
        </w:tabs>
        <w:spacing w:line="285" w:lineRule="auto"/>
        <w:ind w:left="119" w:right="218"/>
        <w:rPr>
          <w:rFonts w:ascii="Seaford" w:hAnsi="Seaford"/>
          <w:b/>
          <w:i/>
          <w:color w:val="auto"/>
          <w:sz w:val="22"/>
        </w:rPr>
      </w:pPr>
      <w:r>
        <w:rPr>
          <w:rFonts w:ascii="Seaford" w:hAnsi="Seaford"/>
          <w:b/>
          <w:bCs/>
          <w:color w:val="auto"/>
          <w:spacing w:val="-6"/>
          <w:sz w:val="24"/>
          <w:szCs w:val="24"/>
        </w:rPr>
        <w:t>6.</w:t>
      </w:r>
      <w:r w:rsidR="008540E9" w:rsidRPr="0038486F">
        <w:rPr>
          <w:rFonts w:ascii="Seaford" w:hAnsi="Seaford"/>
          <w:b/>
          <w:bCs/>
          <w:color w:val="auto"/>
          <w:spacing w:val="-6"/>
          <w:sz w:val="24"/>
          <w:szCs w:val="24"/>
        </w:rPr>
        <w:t>What</w:t>
      </w:r>
      <w:r w:rsidR="008540E9" w:rsidRPr="0038486F">
        <w:rPr>
          <w:rFonts w:ascii="Seaford" w:hAnsi="Seaford"/>
          <w:b/>
          <w:bCs/>
          <w:color w:val="auto"/>
          <w:spacing w:val="-10"/>
          <w:sz w:val="24"/>
          <w:szCs w:val="24"/>
        </w:rPr>
        <w:t xml:space="preserve"> </w:t>
      </w:r>
      <w:r w:rsidR="008540E9" w:rsidRPr="0038486F">
        <w:rPr>
          <w:rFonts w:ascii="Seaford" w:hAnsi="Seaford"/>
          <w:b/>
          <w:bCs/>
          <w:color w:val="auto"/>
          <w:spacing w:val="-6"/>
          <w:sz w:val="24"/>
          <w:szCs w:val="24"/>
        </w:rPr>
        <w:t>are</w:t>
      </w:r>
      <w:r w:rsidR="008540E9" w:rsidRPr="0038486F">
        <w:rPr>
          <w:rFonts w:ascii="Seaford" w:hAnsi="Seaford"/>
          <w:b/>
          <w:bCs/>
          <w:color w:val="auto"/>
          <w:spacing w:val="-9"/>
          <w:sz w:val="24"/>
          <w:szCs w:val="24"/>
        </w:rPr>
        <w:t xml:space="preserve"> </w:t>
      </w:r>
      <w:r w:rsidR="008540E9" w:rsidRPr="0038486F">
        <w:rPr>
          <w:rFonts w:ascii="Seaford" w:hAnsi="Seaford"/>
          <w:b/>
          <w:bCs/>
          <w:color w:val="auto"/>
          <w:spacing w:val="-6"/>
          <w:sz w:val="24"/>
          <w:szCs w:val="24"/>
        </w:rPr>
        <w:t>the</w:t>
      </w:r>
      <w:r w:rsidR="008540E9" w:rsidRPr="0038486F">
        <w:rPr>
          <w:rFonts w:ascii="Seaford" w:hAnsi="Seaford"/>
          <w:b/>
          <w:bCs/>
          <w:color w:val="auto"/>
          <w:spacing w:val="-9"/>
          <w:sz w:val="24"/>
          <w:szCs w:val="24"/>
        </w:rPr>
        <w:t xml:space="preserve"> </w:t>
      </w:r>
      <w:r w:rsidR="008540E9" w:rsidRPr="0038486F">
        <w:rPr>
          <w:rFonts w:ascii="Seaford" w:hAnsi="Seaford"/>
          <w:b/>
          <w:bCs/>
          <w:color w:val="auto"/>
          <w:spacing w:val="-6"/>
          <w:sz w:val="24"/>
          <w:szCs w:val="24"/>
        </w:rPr>
        <w:t>main</w:t>
      </w:r>
      <w:r w:rsidR="008540E9" w:rsidRPr="0038486F">
        <w:rPr>
          <w:rFonts w:ascii="Seaford" w:hAnsi="Seaford"/>
          <w:b/>
          <w:bCs/>
          <w:color w:val="auto"/>
          <w:spacing w:val="-9"/>
          <w:sz w:val="24"/>
          <w:szCs w:val="24"/>
        </w:rPr>
        <w:t xml:space="preserve"> </w:t>
      </w:r>
      <w:r w:rsidR="008540E9" w:rsidRPr="0038486F">
        <w:rPr>
          <w:rFonts w:ascii="Seaford" w:hAnsi="Seaford"/>
          <w:b/>
          <w:bCs/>
          <w:color w:val="auto"/>
          <w:spacing w:val="-6"/>
          <w:sz w:val="24"/>
          <w:szCs w:val="24"/>
        </w:rPr>
        <w:t>challenges</w:t>
      </w:r>
      <w:r w:rsidR="008540E9" w:rsidRPr="0038486F">
        <w:rPr>
          <w:rFonts w:ascii="Seaford" w:hAnsi="Seaford"/>
          <w:b/>
          <w:bCs/>
          <w:color w:val="auto"/>
          <w:spacing w:val="-10"/>
          <w:sz w:val="24"/>
          <w:szCs w:val="24"/>
        </w:rPr>
        <w:t xml:space="preserve"> </w:t>
      </w:r>
      <w:r w:rsidR="008540E9" w:rsidRPr="0038486F">
        <w:rPr>
          <w:rFonts w:ascii="Seaford" w:hAnsi="Seaford"/>
          <w:b/>
          <w:bCs/>
          <w:color w:val="auto"/>
          <w:spacing w:val="-6"/>
          <w:sz w:val="24"/>
          <w:szCs w:val="24"/>
        </w:rPr>
        <w:t>(risks)</w:t>
      </w:r>
      <w:r w:rsidR="008540E9" w:rsidRPr="0038486F">
        <w:rPr>
          <w:rFonts w:ascii="Seaford" w:hAnsi="Seaford"/>
          <w:b/>
          <w:bCs/>
          <w:color w:val="auto"/>
          <w:spacing w:val="-10"/>
          <w:sz w:val="24"/>
          <w:szCs w:val="24"/>
        </w:rPr>
        <w:t xml:space="preserve"> </w:t>
      </w:r>
      <w:r w:rsidR="008540E9" w:rsidRPr="0038486F">
        <w:rPr>
          <w:rFonts w:ascii="Seaford" w:hAnsi="Seaford"/>
          <w:b/>
          <w:bCs/>
          <w:color w:val="auto"/>
          <w:spacing w:val="-6"/>
          <w:sz w:val="24"/>
          <w:szCs w:val="24"/>
        </w:rPr>
        <w:t>envisaged</w:t>
      </w:r>
      <w:r w:rsidR="008540E9" w:rsidRPr="0038486F">
        <w:rPr>
          <w:rFonts w:ascii="Seaford" w:hAnsi="Seaford"/>
          <w:b/>
          <w:bCs/>
          <w:color w:val="auto"/>
          <w:spacing w:val="-10"/>
          <w:sz w:val="24"/>
          <w:szCs w:val="24"/>
        </w:rPr>
        <w:t xml:space="preserve"> </w:t>
      </w:r>
      <w:r w:rsidR="008540E9" w:rsidRPr="0038486F">
        <w:rPr>
          <w:rFonts w:ascii="Seaford" w:hAnsi="Seaford"/>
          <w:b/>
          <w:bCs/>
          <w:color w:val="auto"/>
          <w:spacing w:val="-6"/>
          <w:sz w:val="24"/>
          <w:szCs w:val="24"/>
        </w:rPr>
        <w:t>in</w:t>
      </w:r>
      <w:r w:rsidR="008540E9" w:rsidRPr="0038486F">
        <w:rPr>
          <w:rFonts w:ascii="Seaford" w:hAnsi="Seaford"/>
          <w:b/>
          <w:bCs/>
          <w:color w:val="auto"/>
          <w:spacing w:val="-9"/>
          <w:sz w:val="24"/>
          <w:szCs w:val="24"/>
        </w:rPr>
        <w:t xml:space="preserve"> </w:t>
      </w:r>
      <w:r w:rsidR="008540E9" w:rsidRPr="0038486F">
        <w:rPr>
          <w:rFonts w:ascii="Seaford" w:hAnsi="Seaford"/>
          <w:b/>
          <w:bCs/>
          <w:color w:val="auto"/>
          <w:spacing w:val="-6"/>
          <w:sz w:val="24"/>
          <w:szCs w:val="24"/>
        </w:rPr>
        <w:t>implementing</w:t>
      </w:r>
      <w:r w:rsidR="008540E9" w:rsidRPr="0038486F">
        <w:rPr>
          <w:rFonts w:ascii="Seaford" w:hAnsi="Seaford"/>
          <w:b/>
          <w:bCs/>
          <w:color w:val="auto"/>
          <w:spacing w:val="-9"/>
          <w:sz w:val="24"/>
          <w:szCs w:val="24"/>
        </w:rPr>
        <w:t xml:space="preserve"> </w:t>
      </w:r>
      <w:r w:rsidR="008540E9" w:rsidRPr="0038486F">
        <w:rPr>
          <w:rFonts w:ascii="Seaford" w:hAnsi="Seaford"/>
          <w:b/>
          <w:bCs/>
          <w:color w:val="auto"/>
          <w:spacing w:val="-6"/>
          <w:sz w:val="24"/>
          <w:szCs w:val="24"/>
        </w:rPr>
        <w:t>the</w:t>
      </w:r>
      <w:r w:rsidR="008540E9" w:rsidRPr="0038486F">
        <w:rPr>
          <w:rFonts w:ascii="Seaford" w:hAnsi="Seaford"/>
          <w:b/>
          <w:bCs/>
          <w:color w:val="auto"/>
          <w:spacing w:val="-9"/>
          <w:sz w:val="24"/>
          <w:szCs w:val="24"/>
        </w:rPr>
        <w:t xml:space="preserve"> </w:t>
      </w:r>
      <w:r w:rsidR="008540E9" w:rsidRPr="0038486F">
        <w:rPr>
          <w:rFonts w:ascii="Seaford" w:hAnsi="Seaford"/>
          <w:b/>
          <w:bCs/>
          <w:color w:val="auto"/>
          <w:spacing w:val="-6"/>
          <w:sz w:val="24"/>
          <w:szCs w:val="24"/>
        </w:rPr>
        <w:t>project</w:t>
      </w:r>
      <w:r w:rsidR="008540E9" w:rsidRPr="0038486F">
        <w:rPr>
          <w:rFonts w:ascii="Seaford" w:hAnsi="Seaford"/>
          <w:b/>
          <w:bCs/>
          <w:color w:val="auto"/>
          <w:spacing w:val="-7"/>
          <w:sz w:val="24"/>
          <w:szCs w:val="24"/>
        </w:rPr>
        <w:t xml:space="preserve"> </w:t>
      </w:r>
      <w:r w:rsidR="008540E9" w:rsidRPr="0038486F">
        <w:rPr>
          <w:rFonts w:ascii="Seaford" w:hAnsi="Seaford"/>
          <w:b/>
          <w:bCs/>
          <w:color w:val="auto"/>
          <w:spacing w:val="-6"/>
          <w:sz w:val="24"/>
          <w:szCs w:val="24"/>
        </w:rPr>
        <w:t xml:space="preserve">and </w:t>
      </w:r>
      <w:r w:rsidR="008540E9" w:rsidRPr="0038486F">
        <w:rPr>
          <w:rFonts w:ascii="Seaford" w:hAnsi="Seaford"/>
          <w:b/>
          <w:bCs/>
          <w:color w:val="auto"/>
          <w:sz w:val="24"/>
          <w:szCs w:val="24"/>
        </w:rPr>
        <w:t>how</w:t>
      </w:r>
      <w:r w:rsidR="008540E9" w:rsidRPr="0038486F">
        <w:rPr>
          <w:rFonts w:ascii="Seaford" w:hAnsi="Seaford"/>
          <w:b/>
          <w:bCs/>
          <w:color w:val="auto"/>
          <w:spacing w:val="-17"/>
          <w:sz w:val="24"/>
          <w:szCs w:val="24"/>
        </w:rPr>
        <w:t xml:space="preserve"> </w:t>
      </w:r>
      <w:r w:rsidR="008540E9" w:rsidRPr="0038486F">
        <w:rPr>
          <w:rFonts w:ascii="Seaford" w:hAnsi="Seaford"/>
          <w:b/>
          <w:bCs/>
          <w:color w:val="auto"/>
          <w:sz w:val="24"/>
          <w:szCs w:val="24"/>
        </w:rPr>
        <w:t>will</w:t>
      </w:r>
      <w:r w:rsidR="008540E9" w:rsidRPr="0038486F">
        <w:rPr>
          <w:rFonts w:ascii="Seaford" w:hAnsi="Seaford"/>
          <w:b/>
          <w:bCs/>
          <w:color w:val="auto"/>
          <w:spacing w:val="-17"/>
          <w:sz w:val="24"/>
          <w:szCs w:val="24"/>
        </w:rPr>
        <w:t xml:space="preserve"> </w:t>
      </w:r>
      <w:r w:rsidR="008540E9" w:rsidRPr="0038486F">
        <w:rPr>
          <w:rFonts w:ascii="Seaford" w:hAnsi="Seaford"/>
          <w:b/>
          <w:bCs/>
          <w:color w:val="auto"/>
          <w:sz w:val="24"/>
          <w:szCs w:val="24"/>
        </w:rPr>
        <w:t>they</w:t>
      </w:r>
      <w:r w:rsidR="008540E9" w:rsidRPr="0038486F">
        <w:rPr>
          <w:rFonts w:ascii="Seaford" w:hAnsi="Seaford"/>
          <w:b/>
          <w:bCs/>
          <w:color w:val="auto"/>
          <w:spacing w:val="-17"/>
          <w:sz w:val="24"/>
          <w:szCs w:val="24"/>
        </w:rPr>
        <w:t xml:space="preserve"> </w:t>
      </w:r>
      <w:r w:rsidR="008540E9" w:rsidRPr="0038486F">
        <w:rPr>
          <w:rFonts w:ascii="Seaford" w:hAnsi="Seaford"/>
          <w:b/>
          <w:bCs/>
          <w:color w:val="auto"/>
          <w:sz w:val="24"/>
          <w:szCs w:val="24"/>
        </w:rPr>
        <w:t>be</w:t>
      </w:r>
      <w:r w:rsidR="008540E9" w:rsidRPr="0038486F">
        <w:rPr>
          <w:rFonts w:ascii="Seaford" w:hAnsi="Seaford"/>
          <w:b/>
          <w:bCs/>
          <w:color w:val="auto"/>
          <w:spacing w:val="-17"/>
          <w:sz w:val="24"/>
          <w:szCs w:val="24"/>
        </w:rPr>
        <w:t xml:space="preserve"> </w:t>
      </w:r>
      <w:r w:rsidR="008540E9" w:rsidRPr="0038486F">
        <w:rPr>
          <w:rFonts w:ascii="Seaford" w:hAnsi="Seaford"/>
          <w:b/>
          <w:bCs/>
          <w:color w:val="auto"/>
          <w:sz w:val="24"/>
          <w:szCs w:val="24"/>
        </w:rPr>
        <w:t>addressed?</w:t>
      </w:r>
      <w:r w:rsidR="008540E9" w:rsidRPr="0038486F">
        <w:rPr>
          <w:rFonts w:ascii="Seaford" w:hAnsi="Seaford"/>
          <w:color w:val="auto"/>
          <w:spacing w:val="40"/>
        </w:rPr>
        <w:t xml:space="preserve"> </w:t>
      </w:r>
    </w:p>
    <w:p w14:paraId="1F1651A6" w14:textId="77777777" w:rsidR="008540E9" w:rsidRDefault="008540E9" w:rsidP="008540E9">
      <w:pPr>
        <w:pStyle w:val="BodyText"/>
        <w:rPr>
          <w:rFonts w:ascii="Seaford" w:hAnsi="Seaford"/>
          <w:i/>
          <w:sz w:val="24"/>
        </w:rPr>
      </w:pPr>
    </w:p>
    <w:p w14:paraId="36470354" w14:textId="77777777" w:rsidR="008540E9" w:rsidRPr="00B44693" w:rsidRDefault="008540E9" w:rsidP="008540E9">
      <w:pPr>
        <w:spacing w:before="100" w:beforeAutospacing="1" w:after="100" w:afterAutospacing="1"/>
        <w:rPr>
          <w:rFonts w:ascii="Times New Roman" w:eastAsia="Times New Roman" w:hAnsi="Times New Roman" w:cs="Times New Roman"/>
          <w:sz w:val="24"/>
          <w:szCs w:val="24"/>
        </w:rPr>
      </w:pPr>
      <w:r w:rsidRPr="00B44693">
        <w:rPr>
          <w:rFonts w:ascii="Times New Roman" w:eastAsia="Times New Roman" w:hAnsi="Times New Roman" w:cs="Times New Roman"/>
          <w:b/>
          <w:bCs/>
          <w:sz w:val="24"/>
          <w:szCs w:val="24"/>
        </w:rPr>
        <w:t>Cultural resistance and stigma:</w:t>
      </w:r>
      <w:r w:rsidRPr="00B44693">
        <w:rPr>
          <w:rFonts w:ascii="Times New Roman" w:eastAsia="Times New Roman" w:hAnsi="Times New Roman" w:cs="Times New Roman"/>
          <w:sz w:val="24"/>
          <w:szCs w:val="24"/>
        </w:rPr>
        <w:t xml:space="preserve"> Mitigated through inclusive male engagement and religious leader dialogues.</w:t>
      </w:r>
      <w:r w:rsidRPr="00B44693">
        <w:rPr>
          <w:rFonts w:ascii="Times New Roman" w:eastAsia="Times New Roman" w:hAnsi="Times New Roman" w:cs="Times New Roman"/>
          <w:sz w:val="24"/>
          <w:szCs w:val="24"/>
        </w:rPr>
        <w:br/>
      </w:r>
      <w:r w:rsidRPr="00B44693">
        <w:rPr>
          <w:rFonts w:ascii="Times New Roman" w:eastAsia="Times New Roman" w:hAnsi="Times New Roman" w:cs="Times New Roman"/>
          <w:b/>
          <w:bCs/>
          <w:sz w:val="24"/>
          <w:szCs w:val="24"/>
        </w:rPr>
        <w:t>Institutional turnover:</w:t>
      </w:r>
      <w:r w:rsidRPr="00B44693">
        <w:rPr>
          <w:rFonts w:ascii="Times New Roman" w:eastAsia="Times New Roman" w:hAnsi="Times New Roman" w:cs="Times New Roman"/>
          <w:sz w:val="24"/>
          <w:szCs w:val="24"/>
        </w:rPr>
        <w:t xml:space="preserve"> Maintain cross-party relations and </w:t>
      </w:r>
      <w:proofErr w:type="spellStart"/>
      <w:r w:rsidRPr="00B44693">
        <w:rPr>
          <w:rFonts w:ascii="Times New Roman" w:eastAsia="Times New Roman" w:hAnsi="Times New Roman" w:cs="Times New Roman"/>
          <w:sz w:val="24"/>
          <w:szCs w:val="24"/>
        </w:rPr>
        <w:t>MoUs</w:t>
      </w:r>
      <w:proofErr w:type="spellEnd"/>
      <w:r w:rsidRPr="00B44693">
        <w:rPr>
          <w:rFonts w:ascii="Times New Roman" w:eastAsia="Times New Roman" w:hAnsi="Times New Roman" w:cs="Times New Roman"/>
          <w:sz w:val="24"/>
          <w:szCs w:val="24"/>
        </w:rPr>
        <w:t xml:space="preserve"> with health offices to ensure continuity.</w:t>
      </w:r>
      <w:r w:rsidRPr="00B44693">
        <w:rPr>
          <w:rFonts w:ascii="Times New Roman" w:eastAsia="Times New Roman" w:hAnsi="Times New Roman" w:cs="Times New Roman"/>
          <w:sz w:val="24"/>
          <w:szCs w:val="24"/>
        </w:rPr>
        <w:br/>
      </w:r>
      <w:r w:rsidRPr="00B44693">
        <w:rPr>
          <w:rFonts w:ascii="Times New Roman" w:eastAsia="Times New Roman" w:hAnsi="Times New Roman" w:cs="Times New Roman"/>
          <w:b/>
          <w:bCs/>
          <w:sz w:val="24"/>
          <w:szCs w:val="24"/>
        </w:rPr>
        <w:t>Resource constraints:</w:t>
      </w:r>
      <w:r w:rsidRPr="00B44693">
        <w:rPr>
          <w:rFonts w:ascii="Times New Roman" w:eastAsia="Times New Roman" w:hAnsi="Times New Roman" w:cs="Times New Roman"/>
          <w:sz w:val="24"/>
          <w:szCs w:val="24"/>
        </w:rPr>
        <w:t xml:space="preserve"> Leverage in-kind contributions (school venues, volunteers) and link with provincial health programs.</w:t>
      </w:r>
      <w:r w:rsidRPr="00B44693">
        <w:rPr>
          <w:rFonts w:ascii="Times New Roman" w:eastAsia="Times New Roman" w:hAnsi="Times New Roman" w:cs="Times New Roman"/>
          <w:sz w:val="24"/>
          <w:szCs w:val="24"/>
        </w:rPr>
        <w:br/>
      </w:r>
      <w:r w:rsidRPr="00B44693">
        <w:rPr>
          <w:rFonts w:ascii="Times New Roman" w:eastAsia="Times New Roman" w:hAnsi="Times New Roman" w:cs="Times New Roman"/>
          <w:b/>
          <w:bCs/>
          <w:sz w:val="24"/>
          <w:szCs w:val="24"/>
        </w:rPr>
        <w:t>Community fatigue:</w:t>
      </w:r>
      <w:r w:rsidRPr="00B44693">
        <w:rPr>
          <w:rFonts w:ascii="Times New Roman" w:eastAsia="Times New Roman" w:hAnsi="Times New Roman" w:cs="Times New Roman"/>
          <w:sz w:val="24"/>
          <w:szCs w:val="24"/>
        </w:rPr>
        <w:t xml:space="preserve"> Use creative arts and peer-learning events to sustain interest.</w:t>
      </w:r>
    </w:p>
    <w:p w14:paraId="5D5785EE" w14:textId="77777777" w:rsidR="008540E9" w:rsidRPr="00B44693" w:rsidRDefault="008540E9" w:rsidP="008540E9">
      <w:pPr>
        <w:spacing w:before="100" w:beforeAutospacing="1" w:after="100" w:afterAutospacing="1"/>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A risk matrix will be reviewed bi-annually with partners and local officials to update mitigation strategies.</w:t>
      </w:r>
    </w:p>
    <w:p w14:paraId="01B9E231" w14:textId="77777777" w:rsidR="008540E9" w:rsidRPr="00EB3466" w:rsidRDefault="008540E9" w:rsidP="008540E9">
      <w:pPr>
        <w:pStyle w:val="BodyText"/>
        <w:rPr>
          <w:rFonts w:ascii="Seaford" w:hAnsi="Seaford"/>
          <w:i/>
          <w:sz w:val="24"/>
        </w:rPr>
      </w:pPr>
    </w:p>
    <w:p w14:paraId="53272666" w14:textId="77777777" w:rsidR="008540E9" w:rsidRPr="00EB3466" w:rsidRDefault="008540E9" w:rsidP="008540E9">
      <w:pPr>
        <w:pStyle w:val="BodyText"/>
        <w:spacing w:before="25"/>
        <w:rPr>
          <w:rFonts w:ascii="Seaford" w:hAnsi="Seaford"/>
          <w:i/>
          <w:sz w:val="24"/>
        </w:rPr>
      </w:pPr>
    </w:p>
    <w:p w14:paraId="1FF90488" w14:textId="3EC48360" w:rsidR="008540E9" w:rsidRPr="00EB3466" w:rsidRDefault="00175E04" w:rsidP="00175E04">
      <w:pPr>
        <w:pStyle w:val="ListParagraph"/>
        <w:tabs>
          <w:tab w:val="left" w:pos="708"/>
        </w:tabs>
        <w:spacing w:line="302" w:lineRule="auto"/>
        <w:ind w:left="119" w:right="172"/>
        <w:contextualSpacing w:val="0"/>
        <w:rPr>
          <w:rFonts w:ascii="Seaford" w:hAnsi="Seaford"/>
          <w:i/>
        </w:rPr>
      </w:pPr>
      <w:r>
        <w:rPr>
          <w:rFonts w:ascii="Seaford" w:hAnsi="Seaford"/>
          <w:b/>
          <w:spacing w:val="-6"/>
          <w:sz w:val="24"/>
        </w:rPr>
        <w:t>7.</w:t>
      </w:r>
      <w:r w:rsidR="008540E9" w:rsidRPr="00EB3466">
        <w:rPr>
          <w:rFonts w:ascii="Seaford" w:hAnsi="Seaford"/>
          <w:b/>
          <w:spacing w:val="-6"/>
          <w:sz w:val="24"/>
        </w:rPr>
        <w:t>How</w:t>
      </w:r>
      <w:r w:rsidR="008540E9" w:rsidRPr="00EB3466">
        <w:rPr>
          <w:rFonts w:ascii="Seaford" w:hAnsi="Seaford"/>
          <w:b/>
          <w:spacing w:val="-8"/>
          <w:sz w:val="24"/>
        </w:rPr>
        <w:t xml:space="preserve"> </w:t>
      </w:r>
      <w:r w:rsidR="008540E9" w:rsidRPr="00EB3466">
        <w:rPr>
          <w:rFonts w:ascii="Seaford" w:hAnsi="Seaford"/>
          <w:b/>
          <w:spacing w:val="-6"/>
          <w:sz w:val="24"/>
        </w:rPr>
        <w:t>will</w:t>
      </w:r>
      <w:r w:rsidR="008540E9" w:rsidRPr="00EB3466">
        <w:rPr>
          <w:rFonts w:ascii="Seaford" w:hAnsi="Seaford"/>
          <w:b/>
          <w:spacing w:val="-8"/>
          <w:sz w:val="24"/>
        </w:rPr>
        <w:t xml:space="preserve"> </w:t>
      </w:r>
      <w:r w:rsidR="008540E9" w:rsidRPr="00EB3466">
        <w:rPr>
          <w:rFonts w:ascii="Seaford" w:hAnsi="Seaford"/>
          <w:b/>
          <w:spacing w:val="-6"/>
          <w:sz w:val="24"/>
        </w:rPr>
        <w:t>you</w:t>
      </w:r>
      <w:r w:rsidR="008540E9" w:rsidRPr="00EB3466">
        <w:rPr>
          <w:rFonts w:ascii="Seaford" w:hAnsi="Seaford"/>
          <w:b/>
          <w:spacing w:val="-7"/>
          <w:sz w:val="24"/>
        </w:rPr>
        <w:t xml:space="preserve"> </w:t>
      </w:r>
      <w:r w:rsidR="008540E9" w:rsidRPr="00EB3466">
        <w:rPr>
          <w:rFonts w:ascii="Seaford" w:hAnsi="Seaford"/>
          <w:b/>
          <w:spacing w:val="-6"/>
          <w:sz w:val="24"/>
        </w:rPr>
        <w:t>incorporate</w:t>
      </w:r>
      <w:r w:rsidR="008540E9" w:rsidRPr="00EB3466">
        <w:rPr>
          <w:rFonts w:ascii="Seaford" w:hAnsi="Seaford"/>
          <w:b/>
          <w:spacing w:val="-7"/>
          <w:sz w:val="24"/>
        </w:rPr>
        <w:t xml:space="preserve"> </w:t>
      </w:r>
      <w:r w:rsidR="008540E9" w:rsidRPr="00EB3466">
        <w:rPr>
          <w:rFonts w:ascii="Seaford" w:hAnsi="Seaford"/>
          <w:b/>
          <w:spacing w:val="-6"/>
          <w:sz w:val="24"/>
        </w:rPr>
        <w:t>gender</w:t>
      </w:r>
      <w:r w:rsidR="008540E9" w:rsidRPr="00EB3466">
        <w:rPr>
          <w:rFonts w:ascii="Seaford" w:hAnsi="Seaford"/>
          <w:b/>
          <w:spacing w:val="-7"/>
          <w:sz w:val="24"/>
        </w:rPr>
        <w:t xml:space="preserve"> </w:t>
      </w:r>
      <w:r w:rsidR="008540E9" w:rsidRPr="00EB3466">
        <w:rPr>
          <w:rFonts w:ascii="Seaford" w:hAnsi="Seaford"/>
          <w:b/>
          <w:spacing w:val="-6"/>
          <w:sz w:val="24"/>
        </w:rPr>
        <w:t>considerations</w:t>
      </w:r>
      <w:r w:rsidR="008540E9" w:rsidRPr="00EB3466">
        <w:rPr>
          <w:rFonts w:ascii="Seaford" w:hAnsi="Seaford"/>
          <w:b/>
          <w:spacing w:val="-8"/>
          <w:sz w:val="24"/>
        </w:rPr>
        <w:t xml:space="preserve"> </w:t>
      </w:r>
      <w:r w:rsidR="008540E9" w:rsidRPr="00EB3466">
        <w:rPr>
          <w:rFonts w:ascii="Seaford" w:hAnsi="Seaford"/>
          <w:b/>
          <w:spacing w:val="-6"/>
          <w:sz w:val="24"/>
        </w:rPr>
        <w:t>into your</w:t>
      </w:r>
      <w:r w:rsidR="008540E9" w:rsidRPr="00EB3466">
        <w:rPr>
          <w:rFonts w:ascii="Seaford" w:hAnsi="Seaford"/>
          <w:b/>
          <w:spacing w:val="-7"/>
          <w:sz w:val="24"/>
        </w:rPr>
        <w:t xml:space="preserve"> </w:t>
      </w:r>
      <w:r w:rsidR="008540E9" w:rsidRPr="00EB3466">
        <w:rPr>
          <w:rFonts w:ascii="Seaford" w:hAnsi="Seaford"/>
          <w:b/>
          <w:spacing w:val="-6"/>
          <w:sz w:val="24"/>
        </w:rPr>
        <w:t>project?</w:t>
      </w:r>
      <w:r w:rsidR="008540E9" w:rsidRPr="00EB3466">
        <w:rPr>
          <w:rFonts w:ascii="Seaford" w:hAnsi="Seaford"/>
          <w:b/>
          <w:spacing w:val="-7"/>
          <w:sz w:val="24"/>
        </w:rPr>
        <w:t xml:space="preserve"> </w:t>
      </w:r>
    </w:p>
    <w:p w14:paraId="2F2F87FC" w14:textId="77777777" w:rsidR="008540E9" w:rsidRDefault="008540E9" w:rsidP="008540E9">
      <w:pPr>
        <w:pStyle w:val="BodyText"/>
        <w:spacing w:before="43"/>
        <w:rPr>
          <w:rFonts w:ascii="Seaford" w:hAnsi="Seaford"/>
          <w:i/>
          <w:sz w:val="24"/>
        </w:rPr>
      </w:pPr>
    </w:p>
    <w:p w14:paraId="4D809953" w14:textId="77777777" w:rsidR="008540E9" w:rsidRDefault="008540E9" w:rsidP="00175E04">
      <w:pPr>
        <w:pStyle w:val="BodyText"/>
        <w:spacing w:before="43"/>
        <w:jc w:val="both"/>
        <w:rPr>
          <w:rFonts w:ascii="Times New Roman" w:eastAsia="Times New Roman" w:hAnsi="Times New Roman" w:cs="Times New Roman"/>
          <w:sz w:val="24"/>
          <w:szCs w:val="24"/>
        </w:rPr>
      </w:pPr>
      <w:r w:rsidRPr="00B44693">
        <w:rPr>
          <w:rFonts w:ascii="Times New Roman" w:eastAsia="Times New Roman" w:hAnsi="Times New Roman" w:cs="Times New Roman"/>
          <w:sz w:val="24"/>
          <w:szCs w:val="24"/>
        </w:rPr>
        <w:t>Gender equality is central to the project logic. It addresses menstrual health as a gender-justice issue linked to the right to health, education, and dignity. Gender analysis informs all stages—from needs assessment to indicator design. The project allocates dedicated budget lines for women’s leadership training and child-care support during meetings. Sex-disaggregated data and intersectional analysis (covering ethnicity, age, and disability) will guide decision-making. By actively engaging men and boys as allies, the project aims to shift harmful social norms while strengthening women’s agency to influence policy and resource allocation. This approach reflects the Commonwealth Foundation’s cross-cutting gender principle</w:t>
      </w:r>
    </w:p>
    <w:p w14:paraId="5986E9A1" w14:textId="77777777" w:rsidR="008540E9" w:rsidRPr="00EB3466" w:rsidRDefault="008540E9" w:rsidP="008540E9">
      <w:pPr>
        <w:pStyle w:val="BodyText"/>
        <w:spacing w:before="43"/>
        <w:rPr>
          <w:rFonts w:ascii="Seaford" w:hAnsi="Seaford"/>
          <w:i/>
          <w:sz w:val="24"/>
        </w:rPr>
      </w:pPr>
    </w:p>
    <w:p w14:paraId="482D6587" w14:textId="77777777" w:rsidR="008540E9" w:rsidRDefault="008540E9" w:rsidP="007E4A00">
      <w:pPr>
        <w:pStyle w:val="my-2"/>
        <w:rPr>
          <w:rFonts w:ascii="Segoe UI" w:hAnsi="Segoe UI" w:cs="Segoe UI"/>
          <w:spacing w:val="1"/>
        </w:rPr>
      </w:pPr>
    </w:p>
    <w:p w14:paraId="7807B75B" w14:textId="77777777" w:rsidR="00055015" w:rsidRDefault="00055015" w:rsidP="007E4A00">
      <w:pPr>
        <w:pStyle w:val="my-2"/>
        <w:rPr>
          <w:rFonts w:ascii="Segoe UI" w:hAnsi="Segoe UI" w:cs="Segoe UI"/>
          <w:spacing w:val="1"/>
        </w:rPr>
      </w:pPr>
    </w:p>
    <w:p w14:paraId="614AE038" w14:textId="77777777" w:rsidR="00055015" w:rsidRDefault="00055015" w:rsidP="007E4A00">
      <w:pPr>
        <w:pStyle w:val="my-2"/>
        <w:rPr>
          <w:rFonts w:ascii="Segoe UI" w:hAnsi="Segoe UI" w:cs="Segoe UI"/>
          <w:spacing w:val="1"/>
        </w:rPr>
      </w:pPr>
    </w:p>
    <w:p w14:paraId="686AB1BB" w14:textId="77777777" w:rsidR="00055015" w:rsidRDefault="00055015" w:rsidP="007E4A00">
      <w:pPr>
        <w:pStyle w:val="my-2"/>
        <w:rPr>
          <w:rFonts w:ascii="Segoe UI" w:hAnsi="Segoe UI" w:cs="Segoe UI"/>
          <w:spacing w:val="1"/>
        </w:rPr>
      </w:pPr>
    </w:p>
    <w:p w14:paraId="5B24C75E" w14:textId="77777777" w:rsidR="00055015" w:rsidRDefault="00055015" w:rsidP="007E4A00">
      <w:pPr>
        <w:pStyle w:val="my-2"/>
        <w:rPr>
          <w:rFonts w:ascii="Segoe UI" w:hAnsi="Segoe UI" w:cs="Segoe UI"/>
          <w:spacing w:val="1"/>
        </w:rPr>
      </w:pPr>
    </w:p>
    <w:p w14:paraId="2257F80F" w14:textId="77777777" w:rsidR="00055015" w:rsidRDefault="00055015" w:rsidP="007E4A00">
      <w:pPr>
        <w:pStyle w:val="my-2"/>
        <w:rPr>
          <w:rFonts w:ascii="Segoe UI" w:hAnsi="Segoe UI" w:cs="Segoe UI"/>
          <w:spacing w:val="1"/>
        </w:rPr>
      </w:pPr>
    </w:p>
    <w:p w14:paraId="74CA8538" w14:textId="01EF256F" w:rsidR="00055015" w:rsidRPr="00055015" w:rsidRDefault="00055015" w:rsidP="00055015">
      <w:pPr>
        <w:pStyle w:val="my-2"/>
        <w:rPr>
          <w:rFonts w:ascii="Segoe UI" w:hAnsi="Segoe UI" w:cs="Segoe UI"/>
          <w:b/>
          <w:bCs/>
          <w:spacing w:val="1"/>
          <w:lang w:val="en-GB"/>
        </w:rPr>
      </w:pPr>
      <w:r w:rsidRPr="00055015">
        <w:rPr>
          <w:rFonts w:ascii="Segoe UI" w:hAnsi="Segoe UI" w:cs="Segoe UI"/>
          <w:b/>
          <w:bCs/>
          <w:spacing w:val="1"/>
          <w:lang w:val="en"/>
        </w:rPr>
        <w:t>Empowering Women and Girls through the ENHANC</w:t>
      </w:r>
    </w:p>
    <w:p w14:paraId="4B2C9DB2" w14:textId="6626AD12" w:rsidR="00055015" w:rsidRDefault="00055015" w:rsidP="00055015">
      <w:pPr>
        <w:pStyle w:val="my-2"/>
        <w:rPr>
          <w:rFonts w:ascii="Segoe UI" w:hAnsi="Segoe UI" w:cs="Segoe UI"/>
          <w:spacing w:val="1"/>
          <w:lang w:val="en-GB"/>
        </w:rPr>
      </w:pPr>
      <w:r w:rsidRPr="00055015">
        <w:rPr>
          <w:rFonts w:ascii="Segoe UI" w:hAnsi="Segoe UI" w:cs="Segoe UI"/>
          <w:spacing w:val="1"/>
          <w:lang w:val="en-GB"/>
        </w:rPr>
        <w:t>Dear Sir/Madam,</w:t>
      </w:r>
    </w:p>
    <w:p w14:paraId="404C7B37" w14:textId="4C68A8F5" w:rsidR="00055015" w:rsidRPr="00055015" w:rsidRDefault="00055015" w:rsidP="00055015">
      <w:pPr>
        <w:pStyle w:val="my-2"/>
        <w:jc w:val="center"/>
        <w:rPr>
          <w:rFonts w:ascii="Segoe UI" w:hAnsi="Segoe UI" w:cs="Segoe UI"/>
          <w:b/>
          <w:bCs/>
          <w:spacing w:val="1"/>
          <w:lang w:val="en-GB"/>
        </w:rPr>
      </w:pPr>
      <w:r w:rsidRPr="00055015">
        <w:rPr>
          <w:rFonts w:ascii="Segoe UI" w:hAnsi="Segoe UI" w:cs="Segoe UI"/>
          <w:b/>
          <w:bCs/>
          <w:spacing w:val="1"/>
          <w:lang w:val="en-GB"/>
        </w:rPr>
        <w:t>Funding Request: Empowering Women and Girls through the ENHANCE – Menstrual Dignity &amp; Education Initiative</w:t>
      </w:r>
    </w:p>
    <w:p w14:paraId="09AA9979" w14:textId="77777777" w:rsidR="00055015" w:rsidRPr="00055015" w:rsidRDefault="00055015" w:rsidP="00055015">
      <w:pPr>
        <w:pStyle w:val="my-2"/>
        <w:rPr>
          <w:rFonts w:ascii="Segoe UI" w:hAnsi="Segoe UI" w:cs="Segoe UI"/>
          <w:spacing w:val="1"/>
          <w:lang w:val="en-GB"/>
        </w:rPr>
      </w:pPr>
      <w:r w:rsidRPr="00055015">
        <w:rPr>
          <w:rFonts w:ascii="Segoe UI" w:hAnsi="Segoe UI" w:cs="Segoe UI"/>
          <w:spacing w:val="1"/>
          <w:lang w:val="en-GB"/>
        </w:rPr>
        <w:t xml:space="preserve">We respectfully seek your valued partnership and financial support for the </w:t>
      </w:r>
      <w:r w:rsidRPr="00055015">
        <w:rPr>
          <w:rFonts w:ascii="Segoe UI" w:hAnsi="Segoe UI" w:cs="Segoe UI"/>
          <w:b/>
          <w:bCs/>
          <w:spacing w:val="1"/>
          <w:lang w:val="en-GB"/>
        </w:rPr>
        <w:t>ENHANCE: Menstrual Dignity &amp; Education</w:t>
      </w:r>
      <w:r w:rsidRPr="00055015">
        <w:rPr>
          <w:rFonts w:ascii="Segoe UI" w:hAnsi="Segoe UI" w:cs="Segoe UI"/>
          <w:spacing w:val="1"/>
          <w:lang w:val="en-GB"/>
        </w:rPr>
        <w:t xml:space="preserve"> project, an initiative designed to improve the health, dignity, education, and well-being of women and adolescent girls from vulnerable communities in Sri Lanka.</w:t>
      </w:r>
    </w:p>
    <w:p w14:paraId="70CE6855" w14:textId="77777777" w:rsidR="00055015" w:rsidRPr="00055015" w:rsidRDefault="00055015" w:rsidP="00055015">
      <w:pPr>
        <w:pStyle w:val="my-2"/>
        <w:rPr>
          <w:rFonts w:ascii="Segoe UI" w:hAnsi="Segoe UI" w:cs="Segoe UI"/>
          <w:spacing w:val="1"/>
          <w:lang w:val="en-GB"/>
        </w:rPr>
      </w:pPr>
      <w:r w:rsidRPr="00055015">
        <w:rPr>
          <w:rFonts w:ascii="Segoe UI" w:hAnsi="Segoe UI" w:cs="Segoe UI"/>
          <w:spacing w:val="1"/>
          <w:lang w:val="en-GB"/>
        </w:rPr>
        <w:t>Despite significant progress in education and healthcare, many girls continue to face barriers caused by menstrual poverty, limited access to menstrual hygiene products, inadequate sanitation facilities, and persistent social stigma. These challenges contribute to school absenteeism, reduced self-confidence, health risks, and gender inequality.</w:t>
      </w:r>
    </w:p>
    <w:p w14:paraId="3985799E" w14:textId="77777777" w:rsidR="00055015" w:rsidRPr="00055015" w:rsidRDefault="00055015" w:rsidP="00055015">
      <w:pPr>
        <w:pStyle w:val="my-2"/>
        <w:rPr>
          <w:rFonts w:ascii="Segoe UI" w:hAnsi="Segoe UI" w:cs="Segoe UI"/>
          <w:spacing w:val="1"/>
          <w:lang w:val="en-GB"/>
        </w:rPr>
      </w:pPr>
      <w:r w:rsidRPr="00055015">
        <w:rPr>
          <w:rFonts w:ascii="Segoe UI" w:hAnsi="Segoe UI" w:cs="Segoe UI"/>
          <w:spacing w:val="1"/>
          <w:lang w:val="en-GB"/>
        </w:rPr>
        <w:t>Through the ENHANCE project, the Rural Economic and Community Development Organization (RECDO) aims to:</w:t>
      </w:r>
    </w:p>
    <w:p w14:paraId="50977C3D" w14:textId="77777777" w:rsidR="00055015" w:rsidRPr="00055015" w:rsidRDefault="00055015" w:rsidP="00055015">
      <w:pPr>
        <w:pStyle w:val="my-2"/>
        <w:numPr>
          <w:ilvl w:val="0"/>
          <w:numId w:val="9"/>
        </w:numPr>
        <w:rPr>
          <w:rFonts w:ascii="Segoe UI" w:hAnsi="Segoe UI" w:cs="Segoe UI"/>
          <w:spacing w:val="1"/>
          <w:lang w:val="en-GB"/>
        </w:rPr>
      </w:pPr>
      <w:r w:rsidRPr="00055015">
        <w:rPr>
          <w:rFonts w:ascii="Segoe UI" w:hAnsi="Segoe UI" w:cs="Segoe UI"/>
          <w:spacing w:val="1"/>
          <w:lang w:val="en-GB"/>
        </w:rPr>
        <w:t>Improve access to affordable and sustainable menstrual hygiene products.</w:t>
      </w:r>
    </w:p>
    <w:p w14:paraId="5E8601D5" w14:textId="77777777" w:rsidR="00055015" w:rsidRPr="00055015" w:rsidRDefault="00055015" w:rsidP="00055015">
      <w:pPr>
        <w:pStyle w:val="my-2"/>
        <w:numPr>
          <w:ilvl w:val="0"/>
          <w:numId w:val="9"/>
        </w:numPr>
        <w:rPr>
          <w:rFonts w:ascii="Segoe UI" w:hAnsi="Segoe UI" w:cs="Segoe UI"/>
          <w:spacing w:val="1"/>
          <w:lang w:val="en-GB"/>
        </w:rPr>
      </w:pPr>
      <w:r w:rsidRPr="00055015">
        <w:rPr>
          <w:rFonts w:ascii="Segoe UI" w:hAnsi="Segoe UI" w:cs="Segoe UI"/>
          <w:spacing w:val="1"/>
          <w:lang w:val="en-GB"/>
        </w:rPr>
        <w:t>Deliver comprehensive menstrual health and hygiene education for adolescent girls, boys, parents, teachers, and community members.</w:t>
      </w:r>
    </w:p>
    <w:p w14:paraId="560121C4" w14:textId="77777777" w:rsidR="00055015" w:rsidRPr="00055015" w:rsidRDefault="00055015" w:rsidP="00055015">
      <w:pPr>
        <w:pStyle w:val="my-2"/>
        <w:numPr>
          <w:ilvl w:val="0"/>
          <w:numId w:val="9"/>
        </w:numPr>
        <w:rPr>
          <w:rFonts w:ascii="Segoe UI" w:hAnsi="Segoe UI" w:cs="Segoe UI"/>
          <w:spacing w:val="1"/>
          <w:lang w:val="en-GB"/>
        </w:rPr>
      </w:pPr>
      <w:r w:rsidRPr="00055015">
        <w:rPr>
          <w:rFonts w:ascii="Segoe UI" w:hAnsi="Segoe UI" w:cs="Segoe UI"/>
          <w:spacing w:val="1"/>
          <w:lang w:val="en-GB"/>
        </w:rPr>
        <w:t>Strengthen school and community sanitation facilities that support menstrual dignity.</w:t>
      </w:r>
    </w:p>
    <w:p w14:paraId="047950CC" w14:textId="77777777" w:rsidR="00055015" w:rsidRPr="00055015" w:rsidRDefault="00055015" w:rsidP="00055015">
      <w:pPr>
        <w:pStyle w:val="my-2"/>
        <w:numPr>
          <w:ilvl w:val="0"/>
          <w:numId w:val="9"/>
        </w:numPr>
        <w:rPr>
          <w:rFonts w:ascii="Segoe UI" w:hAnsi="Segoe UI" w:cs="Segoe UI"/>
          <w:spacing w:val="1"/>
          <w:lang w:val="en-GB"/>
        </w:rPr>
      </w:pPr>
      <w:r w:rsidRPr="00055015">
        <w:rPr>
          <w:rFonts w:ascii="Segoe UI" w:hAnsi="Segoe UI" w:cs="Segoe UI"/>
          <w:spacing w:val="1"/>
          <w:lang w:val="en-GB"/>
        </w:rPr>
        <w:t>Reduce stigma and discrimination through community awareness and advocacy.</w:t>
      </w:r>
    </w:p>
    <w:p w14:paraId="3D1D4780" w14:textId="77777777" w:rsidR="00055015" w:rsidRPr="00055015" w:rsidRDefault="00055015" w:rsidP="00055015">
      <w:pPr>
        <w:pStyle w:val="my-2"/>
        <w:numPr>
          <w:ilvl w:val="0"/>
          <w:numId w:val="9"/>
        </w:numPr>
        <w:rPr>
          <w:rFonts w:ascii="Segoe UI" w:hAnsi="Segoe UI" w:cs="Segoe UI"/>
          <w:spacing w:val="1"/>
          <w:lang w:val="en-GB"/>
        </w:rPr>
      </w:pPr>
      <w:r w:rsidRPr="00055015">
        <w:rPr>
          <w:rFonts w:ascii="Segoe UI" w:hAnsi="Segoe UI" w:cs="Segoe UI"/>
          <w:spacing w:val="1"/>
          <w:lang w:val="en-GB"/>
        </w:rPr>
        <w:t>Build the capacity of local leaders, youth groups, schools, and health stakeholders to sustain menstrual health initiatives beyond the project period.</w:t>
      </w:r>
    </w:p>
    <w:p w14:paraId="274CC57B" w14:textId="77777777" w:rsidR="00055015" w:rsidRPr="00055015" w:rsidRDefault="00055015" w:rsidP="00055015">
      <w:pPr>
        <w:pStyle w:val="my-2"/>
        <w:rPr>
          <w:rFonts w:ascii="Segoe UI" w:hAnsi="Segoe UI" w:cs="Segoe UI"/>
          <w:spacing w:val="1"/>
          <w:lang w:val="en-GB"/>
        </w:rPr>
      </w:pPr>
      <w:r w:rsidRPr="00055015">
        <w:rPr>
          <w:rFonts w:ascii="Segoe UI" w:hAnsi="Segoe UI" w:cs="Segoe UI"/>
          <w:spacing w:val="1"/>
          <w:lang w:val="en-GB"/>
        </w:rPr>
        <w:lastRenderedPageBreak/>
        <w:t>Your generous contribution will directly enable vulnerable women and girls to remain healthy, attend school with confidence, and participate fully in community life. It will also help create lasting social change by promoting gender equality, dignity, and inclusive community development.</w:t>
      </w:r>
    </w:p>
    <w:p w14:paraId="4740BA34" w14:textId="77777777" w:rsidR="00055015" w:rsidRPr="00055015" w:rsidRDefault="00055015" w:rsidP="00055015">
      <w:pPr>
        <w:pStyle w:val="my-2"/>
        <w:rPr>
          <w:rFonts w:ascii="Segoe UI" w:hAnsi="Segoe UI" w:cs="Segoe UI"/>
          <w:spacing w:val="1"/>
          <w:lang w:val="en-GB"/>
        </w:rPr>
      </w:pPr>
      <w:r w:rsidRPr="00055015">
        <w:rPr>
          <w:rFonts w:ascii="Segoe UI" w:hAnsi="Segoe UI" w:cs="Segoe UI"/>
          <w:spacing w:val="1"/>
          <w:lang w:val="en-GB"/>
        </w:rPr>
        <w:t>We would be honoured to discuss this proposal further and explore opportunities for collaboration. Your support can make a meaningful and lasting difference in the lives of thousands of women and girls.</w:t>
      </w:r>
    </w:p>
    <w:p w14:paraId="1934316A" w14:textId="77777777" w:rsidR="00055015" w:rsidRPr="00055015" w:rsidRDefault="00055015" w:rsidP="00055015">
      <w:pPr>
        <w:pStyle w:val="my-2"/>
        <w:rPr>
          <w:rFonts w:ascii="Segoe UI" w:hAnsi="Segoe UI" w:cs="Segoe UI"/>
          <w:spacing w:val="1"/>
          <w:lang w:val="en-GB"/>
        </w:rPr>
      </w:pPr>
      <w:r w:rsidRPr="00055015">
        <w:rPr>
          <w:rFonts w:ascii="Segoe UI" w:hAnsi="Segoe UI" w:cs="Segoe UI"/>
          <w:spacing w:val="1"/>
          <w:lang w:val="en-GB"/>
        </w:rPr>
        <w:t>Thank you for considering our request. We look forward to the opportunity to partner with you in advancing menstrual dignity and educational empowerment.</w:t>
      </w:r>
    </w:p>
    <w:p w14:paraId="02585ECB" w14:textId="77777777" w:rsidR="00055015" w:rsidRPr="00055015" w:rsidRDefault="00055015" w:rsidP="00055015">
      <w:pPr>
        <w:pStyle w:val="my-2"/>
        <w:rPr>
          <w:rFonts w:ascii="Segoe UI" w:hAnsi="Segoe UI" w:cs="Segoe UI"/>
          <w:spacing w:val="1"/>
          <w:lang w:val="en-GB"/>
        </w:rPr>
      </w:pPr>
      <w:r w:rsidRPr="00055015">
        <w:rPr>
          <w:rFonts w:ascii="Segoe UI" w:hAnsi="Segoe UI" w:cs="Segoe UI"/>
          <w:b/>
          <w:bCs/>
          <w:spacing w:val="1"/>
          <w:lang w:val="en-GB"/>
        </w:rPr>
        <w:t>Sincerely,</w:t>
      </w:r>
    </w:p>
    <w:p w14:paraId="13393677" w14:textId="77777777" w:rsidR="00055015" w:rsidRPr="00055015" w:rsidRDefault="00055015" w:rsidP="00055015">
      <w:pPr>
        <w:pStyle w:val="my-2"/>
        <w:rPr>
          <w:rFonts w:ascii="Segoe UI" w:hAnsi="Segoe UI" w:cs="Segoe UI"/>
          <w:spacing w:val="1"/>
          <w:lang w:val="en-GB"/>
        </w:rPr>
      </w:pPr>
      <w:r w:rsidRPr="00055015">
        <w:rPr>
          <w:rFonts w:ascii="Segoe UI" w:hAnsi="Segoe UI" w:cs="Segoe UI"/>
          <w:b/>
          <w:bCs/>
          <w:spacing w:val="1"/>
          <w:lang w:val="en-GB"/>
        </w:rPr>
        <w:t>JM. Azhar</w:t>
      </w:r>
      <w:r w:rsidRPr="00055015">
        <w:rPr>
          <w:rFonts w:ascii="Segoe UI" w:hAnsi="Segoe UI" w:cs="Segoe UI"/>
          <w:spacing w:val="1"/>
          <w:lang w:val="en-GB"/>
        </w:rPr>
        <w:br/>
        <w:t>Chairman</w:t>
      </w:r>
      <w:r w:rsidRPr="00055015">
        <w:rPr>
          <w:rFonts w:ascii="Segoe UI" w:hAnsi="Segoe UI" w:cs="Segoe UI"/>
          <w:spacing w:val="1"/>
          <w:lang w:val="en-GB"/>
        </w:rPr>
        <w:br/>
      </w:r>
      <w:r w:rsidRPr="00055015">
        <w:rPr>
          <w:rFonts w:ascii="Segoe UI" w:hAnsi="Segoe UI" w:cs="Segoe UI"/>
          <w:b/>
          <w:bCs/>
          <w:spacing w:val="1"/>
          <w:lang w:val="en-GB"/>
        </w:rPr>
        <w:t>Rural Economic and Community Development Organization (RECDO)</w:t>
      </w:r>
    </w:p>
    <w:p w14:paraId="14EB26DD" w14:textId="77777777" w:rsidR="00055015" w:rsidRPr="00055015" w:rsidRDefault="00055015" w:rsidP="00055015">
      <w:pPr>
        <w:pStyle w:val="my-2"/>
        <w:rPr>
          <w:rFonts w:ascii="Segoe UI" w:hAnsi="Segoe UI" w:cs="Segoe UI"/>
          <w:spacing w:val="1"/>
          <w:lang w:val="en-GB"/>
        </w:rPr>
      </w:pPr>
      <w:r w:rsidRPr="00055015">
        <w:rPr>
          <w:rFonts w:ascii="Segoe UI" w:hAnsi="Segoe UI" w:cs="Segoe UI"/>
          <w:b/>
          <w:bCs/>
          <w:spacing w:val="1"/>
          <w:lang w:val="en-GB"/>
        </w:rPr>
        <w:t>Contact:</w:t>
      </w:r>
      <w:r w:rsidRPr="00055015">
        <w:rPr>
          <w:rFonts w:ascii="Segoe UI" w:hAnsi="Segoe UI" w:cs="Segoe UI"/>
          <w:spacing w:val="1"/>
          <w:lang w:val="en-GB"/>
        </w:rPr>
        <w:t xml:space="preserve"> +94 77 707 3441</w:t>
      </w:r>
      <w:r w:rsidRPr="00055015">
        <w:rPr>
          <w:rFonts w:ascii="Segoe UI" w:hAnsi="Segoe UI" w:cs="Segoe UI"/>
          <w:spacing w:val="1"/>
          <w:lang w:val="en-GB"/>
        </w:rPr>
        <w:br/>
      </w:r>
      <w:r w:rsidRPr="00055015">
        <w:rPr>
          <w:rFonts w:ascii="Segoe UI" w:hAnsi="Segoe UI" w:cs="Segoe UI"/>
          <w:b/>
          <w:bCs/>
          <w:spacing w:val="1"/>
          <w:lang w:val="en-GB"/>
        </w:rPr>
        <w:t>Email:</w:t>
      </w:r>
      <w:r w:rsidRPr="00055015">
        <w:rPr>
          <w:rFonts w:ascii="Segoe UI" w:hAnsi="Segoe UI" w:cs="Segoe UI"/>
          <w:spacing w:val="1"/>
          <w:lang w:val="en-GB"/>
        </w:rPr>
        <w:t xml:space="preserve"> </w:t>
      </w:r>
      <w:hyperlink r:id="rId18" w:history="1">
        <w:r w:rsidRPr="00055015">
          <w:rPr>
            <w:rStyle w:val="Hyperlink"/>
            <w:rFonts w:ascii="Segoe UI" w:hAnsi="Segoe UI" w:cs="Segoe UI"/>
            <w:spacing w:val="1"/>
            <w:lang w:val="en-GB"/>
          </w:rPr>
          <w:t>recdosl@gmail.com</w:t>
        </w:r>
      </w:hyperlink>
      <w:r w:rsidRPr="00055015">
        <w:rPr>
          <w:rFonts w:ascii="Segoe UI" w:hAnsi="Segoe UI" w:cs="Segoe UI"/>
          <w:spacing w:val="1"/>
          <w:lang w:val="en-GB"/>
        </w:rPr>
        <w:br/>
      </w:r>
      <w:r w:rsidRPr="00055015">
        <w:rPr>
          <w:rFonts w:ascii="Segoe UI" w:hAnsi="Segoe UI" w:cs="Segoe UI"/>
          <w:b/>
          <w:bCs/>
          <w:spacing w:val="1"/>
          <w:lang w:val="en-GB"/>
        </w:rPr>
        <w:t>Website:</w:t>
      </w:r>
      <w:r w:rsidRPr="00055015">
        <w:rPr>
          <w:rFonts w:ascii="Segoe UI" w:hAnsi="Segoe UI" w:cs="Segoe UI"/>
          <w:spacing w:val="1"/>
          <w:lang w:val="en-GB"/>
        </w:rPr>
        <w:t xml:space="preserve"> </w:t>
      </w:r>
      <w:hyperlink r:id="rId19" w:history="1">
        <w:r w:rsidRPr="00055015">
          <w:rPr>
            <w:rStyle w:val="Hyperlink"/>
            <w:rFonts w:ascii="Segoe UI" w:hAnsi="Segoe UI" w:cs="Segoe UI"/>
            <w:spacing w:val="1"/>
            <w:lang w:val="en-GB"/>
          </w:rPr>
          <w:t>www.recdo.org</w:t>
        </w:r>
      </w:hyperlink>
    </w:p>
    <w:p w14:paraId="0C1C29F1" w14:textId="77777777" w:rsidR="00055015" w:rsidRDefault="00055015" w:rsidP="007E4A00">
      <w:pPr>
        <w:pStyle w:val="my-2"/>
        <w:rPr>
          <w:rFonts w:ascii="Segoe UI" w:hAnsi="Segoe UI" w:cs="Segoe UI"/>
          <w:spacing w:val="1"/>
        </w:rPr>
      </w:pPr>
    </w:p>
    <w:sectPr w:rsidR="00055015">
      <w:headerReference w:type="default" r:id="rId20"/>
      <w:footerReference w:type="default" r:id="rId21"/>
      <w:headerReference w:type="first" r:id="rId22"/>
      <w:pgSz w:w="12240" w:h="15840"/>
      <w:pgMar w:top="540" w:right="1440" w:bottom="90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6E7DE" w14:textId="77777777" w:rsidR="007F19A6" w:rsidRDefault="007F19A6">
      <w:pPr>
        <w:spacing w:line="240" w:lineRule="auto"/>
      </w:pPr>
      <w:r>
        <w:separator/>
      </w:r>
    </w:p>
  </w:endnote>
  <w:endnote w:type="continuationSeparator" w:id="0">
    <w:p w14:paraId="3041DB74" w14:textId="77777777" w:rsidR="007F19A6" w:rsidRDefault="007F19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1" w:fontKey="{81875D14-5726-4684-ABD9-FEEC05CEDDE7}"/>
    <w:embedBold r:id="rId2" w:fontKey="{3F5C799B-9DE9-491A-B8DB-6CB0E250278B}"/>
    <w:embedItalic r:id="rId3" w:fontKey="{7287AA57-F2DA-4B6E-BA41-B55A74CC09A5}"/>
    <w:embedBoldItalic r:id="rId4" w:fontKey="{D2B950E8-1462-479B-A6A4-E703924EB8B1}"/>
  </w:font>
  <w:font w:name="Aleo">
    <w:charset w:val="00"/>
    <w:family w:val="auto"/>
    <w:pitch w:val="variable"/>
    <w:sig w:usb0="00000007" w:usb1="00000000" w:usb2="00000000" w:usb3="00000000" w:csb0="00000083" w:csb1="00000000"/>
    <w:embedRegular r:id="rId5" w:fontKey="{18931915-ADCF-44D1-B9B3-35D1D99F2678}"/>
    <w:embedBold r:id="rId6" w:fontKey="{EE8221BF-1BE5-46F1-981B-505FEE8B664D}"/>
    <w:embedBoldItalic r:id="rId7" w:fontKey="{C730FF08-FA28-4386-92AB-559201334CD9}"/>
  </w:font>
  <w:font w:name="Open Sans SemiBold">
    <w:charset w:val="00"/>
    <w:family w:val="swiss"/>
    <w:pitch w:val="variable"/>
    <w:sig w:usb0="E00002EF" w:usb1="4000205B" w:usb2="00000028" w:usb3="00000000" w:csb0="0000019F" w:csb1="00000000"/>
    <w:embedRegular r:id="rId8" w:fontKey="{FC36BCDD-9D3C-44A8-9792-F849A965F6AA}"/>
    <w:embedItalic r:id="rId9" w:fontKey="{53AD02B9-0CAF-4EA9-9BDA-1E43C9512110}"/>
  </w:font>
  <w:font w:name="Segoe UI">
    <w:panose1 w:val="020B0502040204020203"/>
    <w:charset w:val="00"/>
    <w:family w:val="swiss"/>
    <w:pitch w:val="variable"/>
    <w:sig w:usb0="E4002EFF" w:usb1="C000E47F" w:usb2="00000009" w:usb3="00000000" w:csb0="000001FF" w:csb1="00000000"/>
    <w:embedRegular r:id="rId10" w:fontKey="{12899972-8544-4342-B8B5-E79FF070EF32}"/>
    <w:embedBold r:id="rId11" w:fontKey="{A87647C0-7CBA-4F1A-99D5-9F912C243B0B}"/>
  </w:font>
  <w:font w:name="Seaford">
    <w:charset w:val="00"/>
    <w:family w:val="auto"/>
    <w:pitch w:val="variable"/>
    <w:sig w:usb0="80000003" w:usb1="00000001" w:usb2="00000000" w:usb3="00000000" w:csb0="00000001" w:csb1="00000000"/>
    <w:embedRegular r:id="rId12" w:fontKey="{7AFBE2DF-6B57-4D71-B59E-067062D055D4}"/>
    <w:embedBold r:id="rId13" w:fontKey="{FA145F88-EB1B-4AF3-A345-AA66B3E2375B}"/>
    <w:embedItalic r:id="rId14" w:fontKey="{95873684-4381-4A00-A38B-AE9540357BA9}"/>
    <w:embedBoldItalic r:id="rId15" w:fontKey="{8C2DCB94-FAC0-4B22-882F-D980890D204A}"/>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embedRegular r:id="rId16" w:fontKey="{C50B5F4B-00C2-4A5C-94E0-0832F021D31C}"/>
  </w:font>
  <w:font w:name="Cambria">
    <w:panose1 w:val="02040503050406030204"/>
    <w:charset w:val="00"/>
    <w:family w:val="roman"/>
    <w:pitch w:val="variable"/>
    <w:sig w:usb0="E00006FF" w:usb1="420024FF" w:usb2="02000000" w:usb3="00000000" w:csb0="0000019F" w:csb1="00000000"/>
    <w:embedRegular r:id="rId17" w:fontKey="{4F0C25A7-82B0-4F90-A679-4002B9E80B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AD1" w14:textId="77777777" w:rsidR="00E6396C" w:rsidRDefault="00000000">
    <w:pPr>
      <w:jc w:val="center"/>
      <w:rPr>
        <w:rFonts w:ascii="Aleo" w:eastAsia="Aleo" w:hAnsi="Aleo" w:cs="Aleo"/>
        <w:color w:val="293541"/>
        <w:sz w:val="60"/>
        <w:szCs w:val="60"/>
      </w:rPr>
    </w:pPr>
    <w:r>
      <w:rPr>
        <w:rFonts w:ascii="Aleo" w:eastAsia="Aleo" w:hAnsi="Aleo" w:cs="Aleo"/>
        <w:color w:val="293541"/>
        <w:sz w:val="60"/>
        <w:szCs w:val="60"/>
      </w:rPr>
      <w:t xml:space="preserve"> </w:t>
    </w:r>
    <w:r>
      <w:rPr>
        <w:noProof/>
      </w:rPr>
      <w:drawing>
        <wp:anchor distT="114300" distB="114300" distL="114300" distR="114300" simplePos="0" relativeHeight="251658240" behindDoc="0" locked="0" layoutInCell="1" hidden="0" allowOverlap="1" wp14:anchorId="29F5B3F6" wp14:editId="5205A63A">
          <wp:simplePos x="0" y="0"/>
          <wp:positionH relativeFrom="column">
            <wp:posOffset>-304799</wp:posOffset>
          </wp:positionH>
          <wp:positionV relativeFrom="paragraph">
            <wp:posOffset>571500</wp:posOffset>
          </wp:positionV>
          <wp:extent cx="1671638" cy="230571"/>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5329" b="15432"/>
                  <a:stretch>
                    <a:fillRect/>
                  </a:stretch>
                </pic:blipFill>
                <pic:spPr>
                  <a:xfrm>
                    <a:off x="0" y="0"/>
                    <a:ext cx="1671638" cy="230571"/>
                  </a:xfrm>
                  <a:prstGeom prst="rect">
                    <a:avLst/>
                  </a:prstGeom>
                  <a:ln/>
                </pic:spPr>
              </pic:pic>
            </a:graphicData>
          </a:graphic>
        </wp:anchor>
      </w:drawing>
    </w:r>
  </w:p>
  <w:p w14:paraId="7647FE38" w14:textId="77777777" w:rsidR="00E6396C" w:rsidRDefault="00000000">
    <w:pPr>
      <w:jc w:val="right"/>
    </w:pPr>
    <w:r>
      <w:fldChar w:fldCharType="begin"/>
    </w:r>
    <w:r>
      <w:instrText>PAGE</w:instrText>
    </w:r>
    <w:r>
      <w:fldChar w:fldCharType="separate"/>
    </w:r>
    <w:r w:rsidR="00CA10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80583" w14:textId="77777777" w:rsidR="007F19A6" w:rsidRDefault="007F19A6">
      <w:pPr>
        <w:spacing w:line="240" w:lineRule="auto"/>
      </w:pPr>
      <w:r>
        <w:separator/>
      </w:r>
    </w:p>
  </w:footnote>
  <w:footnote w:type="continuationSeparator" w:id="0">
    <w:p w14:paraId="7EA59388" w14:textId="77777777" w:rsidR="007F19A6" w:rsidRDefault="007F19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D51E" w14:textId="77777777" w:rsidR="00E6396C" w:rsidRDefault="00E6396C">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7BDF" w14:textId="77777777" w:rsidR="00E6396C" w:rsidRDefault="00000000">
    <w:pPr>
      <w:jc w:val="center"/>
      <w:rPr>
        <w:color w:val="F08B1D"/>
      </w:rPr>
    </w:pPr>
    <w:r>
      <w:rPr>
        <w:b/>
        <w:bCs/>
        <w:color w:val="F08B1D"/>
        <w:sz w:val="18"/>
        <w:szCs w:val="18"/>
        <w:u w:val="single"/>
      </w:rPr>
      <w:t>VIEW-ONLY</w:t>
    </w:r>
    <w:r>
      <w:rPr>
        <w:b/>
        <w:bCs/>
        <w:color w:val="F08B1D"/>
        <w:sz w:val="18"/>
        <w:szCs w:val="18"/>
      </w:rPr>
      <w:t>:</w:t>
    </w:r>
    <w:r>
      <w:rPr>
        <w:color w:val="F08B1D"/>
        <w:sz w:val="18"/>
        <w:szCs w:val="18"/>
      </w:rPr>
      <w:t xml:space="preserve"> </w:t>
    </w:r>
    <w:r>
      <w:rPr>
        <w:rFonts w:ascii="Arial Unicode MS" w:eastAsia="Arial Unicode MS" w:hAnsi="Arial Unicode MS" w:cs="Arial Unicode MS"/>
        <w:b/>
        <w:bCs/>
        <w:color w:val="F08B1D"/>
        <w:sz w:val="18"/>
        <w:szCs w:val="18"/>
      </w:rPr>
      <w:t xml:space="preserve">This document is for viewing only. To edit, please create your copy by </w:t>
    </w:r>
    <w:proofErr w:type="spellStart"/>
    <w:r>
      <w:rPr>
        <w:rFonts w:ascii="Arial Unicode MS" w:eastAsia="Arial Unicode MS" w:hAnsi="Arial Unicode MS" w:cs="Arial Unicode MS"/>
        <w:b/>
        <w:bCs/>
        <w:color w:val="F08B1D"/>
        <w:sz w:val="18"/>
        <w:szCs w:val="18"/>
      </w:rPr>
      <w:t>selecting"File</w:t>
    </w:r>
    <w:proofErr w:type="spellEnd"/>
    <w:r>
      <w:rPr>
        <w:rFonts w:ascii="Arial Unicode MS" w:eastAsia="Arial Unicode MS" w:hAnsi="Arial Unicode MS" w:cs="Arial Unicode MS"/>
        <w:b/>
        <w:bCs/>
        <w:color w:val="F08B1D"/>
        <w:sz w:val="18"/>
        <w:szCs w:val="18"/>
      </w:rPr>
      <w:t xml:space="preserve">" → "Make a copy." If you wish to download it to your computer, select “File” →  “Download.” </w:t>
    </w:r>
    <w:r>
      <w:rPr>
        <w:rFonts w:ascii="Aleo" w:eastAsia="Aleo" w:hAnsi="Aleo" w:cs="Aleo"/>
        <w:noProof/>
        <w:color w:val="293541"/>
        <w:sz w:val="60"/>
        <w:szCs w:val="60"/>
      </w:rPr>
      <w:drawing>
        <wp:inline distT="114300" distB="114300" distL="114300" distR="114300" wp14:anchorId="3DC6F24F" wp14:editId="144AA87A">
          <wp:extent cx="2481263" cy="34462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5329" b="15432"/>
                  <a:stretch>
                    <a:fillRect/>
                  </a:stretch>
                </pic:blipFill>
                <pic:spPr>
                  <a:xfrm>
                    <a:off x="0" y="0"/>
                    <a:ext cx="2481263" cy="344620"/>
                  </a:xfrm>
                  <a:prstGeom prst="rect">
                    <a:avLst/>
                  </a:prstGeom>
                  <a:ln/>
                </pic:spPr>
              </pic:pic>
            </a:graphicData>
          </a:graphic>
        </wp:inline>
      </w:drawing>
    </w:r>
  </w:p>
  <w:p w14:paraId="48E5EAEF" w14:textId="77777777" w:rsidR="00E6396C" w:rsidRDefault="00E639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3340"/>
    <w:multiLevelType w:val="hybridMultilevel"/>
    <w:tmpl w:val="949E1D6E"/>
    <w:lvl w:ilvl="0" w:tplc="8F8C7582">
      <w:start w:val="1"/>
      <w:numFmt w:val="lowerLetter"/>
      <w:lvlText w:val="%1)"/>
      <w:lvlJc w:val="left"/>
      <w:pPr>
        <w:ind w:left="840" w:hanging="361"/>
      </w:pPr>
      <w:rPr>
        <w:rFonts w:ascii="Arial" w:eastAsia="Arial" w:hAnsi="Arial" w:cs="Arial" w:hint="default"/>
        <w:b w:val="0"/>
        <w:bCs w:val="0"/>
        <w:i w:val="0"/>
        <w:iCs w:val="0"/>
        <w:spacing w:val="-1"/>
        <w:w w:val="95"/>
        <w:sz w:val="22"/>
        <w:szCs w:val="22"/>
        <w:lang w:val="en-US" w:eastAsia="en-US" w:bidi="ar-SA"/>
      </w:rPr>
    </w:lvl>
    <w:lvl w:ilvl="1" w:tplc="6B1818F8">
      <w:numFmt w:val="bullet"/>
      <w:lvlText w:val="•"/>
      <w:lvlJc w:val="left"/>
      <w:pPr>
        <w:ind w:left="1712" w:hanging="361"/>
      </w:pPr>
      <w:rPr>
        <w:rFonts w:hint="default"/>
        <w:lang w:val="en-US" w:eastAsia="en-US" w:bidi="ar-SA"/>
      </w:rPr>
    </w:lvl>
    <w:lvl w:ilvl="2" w:tplc="5162A34C">
      <w:numFmt w:val="bullet"/>
      <w:lvlText w:val="•"/>
      <w:lvlJc w:val="left"/>
      <w:pPr>
        <w:ind w:left="2584" w:hanging="361"/>
      </w:pPr>
      <w:rPr>
        <w:rFonts w:hint="default"/>
        <w:lang w:val="en-US" w:eastAsia="en-US" w:bidi="ar-SA"/>
      </w:rPr>
    </w:lvl>
    <w:lvl w:ilvl="3" w:tplc="14ECE7FE">
      <w:numFmt w:val="bullet"/>
      <w:lvlText w:val="•"/>
      <w:lvlJc w:val="left"/>
      <w:pPr>
        <w:ind w:left="3456" w:hanging="361"/>
      </w:pPr>
      <w:rPr>
        <w:rFonts w:hint="default"/>
        <w:lang w:val="en-US" w:eastAsia="en-US" w:bidi="ar-SA"/>
      </w:rPr>
    </w:lvl>
    <w:lvl w:ilvl="4" w:tplc="B47EF328">
      <w:numFmt w:val="bullet"/>
      <w:lvlText w:val="•"/>
      <w:lvlJc w:val="left"/>
      <w:pPr>
        <w:ind w:left="4328" w:hanging="361"/>
      </w:pPr>
      <w:rPr>
        <w:rFonts w:hint="default"/>
        <w:lang w:val="en-US" w:eastAsia="en-US" w:bidi="ar-SA"/>
      </w:rPr>
    </w:lvl>
    <w:lvl w:ilvl="5" w:tplc="E8F48DDC">
      <w:numFmt w:val="bullet"/>
      <w:lvlText w:val="•"/>
      <w:lvlJc w:val="left"/>
      <w:pPr>
        <w:ind w:left="5200" w:hanging="361"/>
      </w:pPr>
      <w:rPr>
        <w:rFonts w:hint="default"/>
        <w:lang w:val="en-US" w:eastAsia="en-US" w:bidi="ar-SA"/>
      </w:rPr>
    </w:lvl>
    <w:lvl w:ilvl="6" w:tplc="DC1CDF14">
      <w:numFmt w:val="bullet"/>
      <w:lvlText w:val="•"/>
      <w:lvlJc w:val="left"/>
      <w:pPr>
        <w:ind w:left="6072" w:hanging="361"/>
      </w:pPr>
      <w:rPr>
        <w:rFonts w:hint="default"/>
        <w:lang w:val="en-US" w:eastAsia="en-US" w:bidi="ar-SA"/>
      </w:rPr>
    </w:lvl>
    <w:lvl w:ilvl="7" w:tplc="84F88E38">
      <w:numFmt w:val="bullet"/>
      <w:lvlText w:val="•"/>
      <w:lvlJc w:val="left"/>
      <w:pPr>
        <w:ind w:left="6944" w:hanging="361"/>
      </w:pPr>
      <w:rPr>
        <w:rFonts w:hint="default"/>
        <w:lang w:val="en-US" w:eastAsia="en-US" w:bidi="ar-SA"/>
      </w:rPr>
    </w:lvl>
    <w:lvl w:ilvl="8" w:tplc="9DAA140C">
      <w:numFmt w:val="bullet"/>
      <w:lvlText w:val="•"/>
      <w:lvlJc w:val="left"/>
      <w:pPr>
        <w:ind w:left="7816" w:hanging="361"/>
      </w:pPr>
      <w:rPr>
        <w:rFonts w:hint="default"/>
        <w:lang w:val="en-US" w:eastAsia="en-US" w:bidi="ar-SA"/>
      </w:rPr>
    </w:lvl>
  </w:abstractNum>
  <w:abstractNum w:abstractNumId="1" w15:restartNumberingAfterBreak="0">
    <w:nsid w:val="09292280"/>
    <w:multiLevelType w:val="hybridMultilevel"/>
    <w:tmpl w:val="8316666A"/>
    <w:lvl w:ilvl="0" w:tplc="47B44C66">
      <w:start w:val="1"/>
      <w:numFmt w:val="lowerLetter"/>
      <w:lvlText w:val="%1)"/>
      <w:lvlJc w:val="left"/>
      <w:pPr>
        <w:ind w:left="840" w:hanging="361"/>
      </w:pPr>
      <w:rPr>
        <w:rFonts w:ascii="Arial" w:eastAsia="Arial" w:hAnsi="Arial" w:cs="Arial" w:hint="default"/>
        <w:b w:val="0"/>
        <w:bCs w:val="0"/>
        <w:i w:val="0"/>
        <w:iCs w:val="0"/>
        <w:spacing w:val="-1"/>
        <w:w w:val="95"/>
        <w:sz w:val="22"/>
        <w:szCs w:val="22"/>
        <w:lang w:val="en-US" w:eastAsia="en-US" w:bidi="ar-SA"/>
      </w:rPr>
    </w:lvl>
    <w:lvl w:ilvl="1" w:tplc="645A40D2">
      <w:numFmt w:val="bullet"/>
      <w:lvlText w:val="•"/>
      <w:lvlJc w:val="left"/>
      <w:pPr>
        <w:ind w:left="1712" w:hanging="361"/>
      </w:pPr>
      <w:rPr>
        <w:rFonts w:hint="default"/>
        <w:lang w:val="en-US" w:eastAsia="en-US" w:bidi="ar-SA"/>
      </w:rPr>
    </w:lvl>
    <w:lvl w:ilvl="2" w:tplc="24AADAD8">
      <w:numFmt w:val="bullet"/>
      <w:lvlText w:val="•"/>
      <w:lvlJc w:val="left"/>
      <w:pPr>
        <w:ind w:left="2584" w:hanging="361"/>
      </w:pPr>
      <w:rPr>
        <w:rFonts w:hint="default"/>
        <w:lang w:val="en-US" w:eastAsia="en-US" w:bidi="ar-SA"/>
      </w:rPr>
    </w:lvl>
    <w:lvl w:ilvl="3" w:tplc="41CC9248">
      <w:numFmt w:val="bullet"/>
      <w:lvlText w:val="•"/>
      <w:lvlJc w:val="left"/>
      <w:pPr>
        <w:ind w:left="3456" w:hanging="361"/>
      </w:pPr>
      <w:rPr>
        <w:rFonts w:hint="default"/>
        <w:lang w:val="en-US" w:eastAsia="en-US" w:bidi="ar-SA"/>
      </w:rPr>
    </w:lvl>
    <w:lvl w:ilvl="4" w:tplc="683E6D92">
      <w:numFmt w:val="bullet"/>
      <w:lvlText w:val="•"/>
      <w:lvlJc w:val="left"/>
      <w:pPr>
        <w:ind w:left="4328" w:hanging="361"/>
      </w:pPr>
      <w:rPr>
        <w:rFonts w:hint="default"/>
        <w:lang w:val="en-US" w:eastAsia="en-US" w:bidi="ar-SA"/>
      </w:rPr>
    </w:lvl>
    <w:lvl w:ilvl="5" w:tplc="F7B6BF12">
      <w:numFmt w:val="bullet"/>
      <w:lvlText w:val="•"/>
      <w:lvlJc w:val="left"/>
      <w:pPr>
        <w:ind w:left="5200" w:hanging="361"/>
      </w:pPr>
      <w:rPr>
        <w:rFonts w:hint="default"/>
        <w:lang w:val="en-US" w:eastAsia="en-US" w:bidi="ar-SA"/>
      </w:rPr>
    </w:lvl>
    <w:lvl w:ilvl="6" w:tplc="B256FA9A">
      <w:numFmt w:val="bullet"/>
      <w:lvlText w:val="•"/>
      <w:lvlJc w:val="left"/>
      <w:pPr>
        <w:ind w:left="6072" w:hanging="361"/>
      </w:pPr>
      <w:rPr>
        <w:rFonts w:hint="default"/>
        <w:lang w:val="en-US" w:eastAsia="en-US" w:bidi="ar-SA"/>
      </w:rPr>
    </w:lvl>
    <w:lvl w:ilvl="7" w:tplc="8850EE94">
      <w:numFmt w:val="bullet"/>
      <w:lvlText w:val="•"/>
      <w:lvlJc w:val="left"/>
      <w:pPr>
        <w:ind w:left="6944" w:hanging="361"/>
      </w:pPr>
      <w:rPr>
        <w:rFonts w:hint="default"/>
        <w:lang w:val="en-US" w:eastAsia="en-US" w:bidi="ar-SA"/>
      </w:rPr>
    </w:lvl>
    <w:lvl w:ilvl="8" w:tplc="6B204B9A">
      <w:numFmt w:val="bullet"/>
      <w:lvlText w:val="•"/>
      <w:lvlJc w:val="left"/>
      <w:pPr>
        <w:ind w:left="7816" w:hanging="361"/>
      </w:pPr>
      <w:rPr>
        <w:rFonts w:hint="default"/>
        <w:lang w:val="en-US" w:eastAsia="en-US" w:bidi="ar-SA"/>
      </w:rPr>
    </w:lvl>
  </w:abstractNum>
  <w:abstractNum w:abstractNumId="2" w15:restartNumberingAfterBreak="0">
    <w:nsid w:val="16C95B7B"/>
    <w:multiLevelType w:val="multilevel"/>
    <w:tmpl w:val="A25C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33BF2"/>
    <w:multiLevelType w:val="multilevel"/>
    <w:tmpl w:val="E34699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4CF20AA"/>
    <w:multiLevelType w:val="multilevel"/>
    <w:tmpl w:val="9EBC2A70"/>
    <w:lvl w:ilvl="0">
      <w:start w:val="2"/>
      <w:numFmt w:val="upperLetter"/>
      <w:lvlText w:val="%1."/>
      <w:lvlJc w:val="left"/>
      <w:pPr>
        <w:ind w:left="393" w:hanging="274"/>
        <w:jc w:val="right"/>
      </w:pPr>
      <w:rPr>
        <w:rFonts w:hint="default"/>
        <w:spacing w:val="0"/>
        <w:w w:val="92"/>
        <w:lang w:val="en-US" w:eastAsia="en-US" w:bidi="ar-SA"/>
      </w:rPr>
    </w:lvl>
    <w:lvl w:ilvl="1">
      <w:start w:val="1"/>
      <w:numFmt w:val="decimal"/>
      <w:lvlText w:val="%1.%2."/>
      <w:lvlJc w:val="left"/>
      <w:pPr>
        <w:ind w:left="646" w:hanging="466"/>
      </w:pPr>
      <w:rPr>
        <w:rFonts w:ascii="Arial" w:eastAsia="Arial" w:hAnsi="Arial" w:cs="Arial" w:hint="default"/>
        <w:b/>
        <w:bCs/>
        <w:i w:val="0"/>
        <w:iCs w:val="0"/>
        <w:spacing w:val="0"/>
        <w:w w:val="91"/>
        <w:sz w:val="24"/>
        <w:szCs w:val="24"/>
        <w:lang w:val="en-US" w:eastAsia="en-US" w:bidi="ar-SA"/>
      </w:rPr>
    </w:lvl>
    <w:lvl w:ilvl="2">
      <w:start w:val="1"/>
      <w:numFmt w:val="decimal"/>
      <w:lvlText w:val="%1.%2.%3."/>
      <w:lvlJc w:val="left"/>
      <w:pPr>
        <w:ind w:left="775" w:hanging="656"/>
      </w:pPr>
      <w:rPr>
        <w:rFonts w:ascii="Arial" w:eastAsia="Arial" w:hAnsi="Arial" w:cs="Arial" w:hint="default"/>
        <w:b/>
        <w:bCs/>
        <w:i w:val="0"/>
        <w:iCs w:val="0"/>
        <w:spacing w:val="-2"/>
        <w:w w:val="91"/>
        <w:sz w:val="24"/>
        <w:szCs w:val="24"/>
        <w:lang w:val="en-US" w:eastAsia="en-US" w:bidi="ar-SA"/>
      </w:rPr>
    </w:lvl>
    <w:lvl w:ilvl="3">
      <w:start w:val="1"/>
      <w:numFmt w:val="lowerLetter"/>
      <w:lvlText w:val="%4)"/>
      <w:lvlJc w:val="left"/>
      <w:pPr>
        <w:ind w:left="840" w:hanging="361"/>
      </w:pPr>
      <w:rPr>
        <w:rFonts w:hint="default"/>
        <w:spacing w:val="-1"/>
        <w:w w:val="95"/>
        <w:lang w:val="en-US" w:eastAsia="en-US" w:bidi="ar-SA"/>
      </w:rPr>
    </w:lvl>
    <w:lvl w:ilvl="4">
      <w:numFmt w:val="bullet"/>
      <w:lvlText w:val="•"/>
      <w:lvlJc w:val="left"/>
      <w:pPr>
        <w:ind w:left="840" w:hanging="361"/>
      </w:pPr>
      <w:rPr>
        <w:rFonts w:hint="default"/>
        <w:lang w:val="en-US" w:eastAsia="en-US" w:bidi="ar-SA"/>
      </w:rPr>
    </w:lvl>
    <w:lvl w:ilvl="5">
      <w:numFmt w:val="bullet"/>
      <w:lvlText w:val="•"/>
      <w:lvlJc w:val="left"/>
      <w:pPr>
        <w:ind w:left="2293" w:hanging="361"/>
      </w:pPr>
      <w:rPr>
        <w:rFonts w:hint="default"/>
        <w:lang w:val="en-US" w:eastAsia="en-US" w:bidi="ar-SA"/>
      </w:rPr>
    </w:lvl>
    <w:lvl w:ilvl="6">
      <w:numFmt w:val="bullet"/>
      <w:lvlText w:val="•"/>
      <w:lvlJc w:val="left"/>
      <w:pPr>
        <w:ind w:left="3746" w:hanging="361"/>
      </w:pPr>
      <w:rPr>
        <w:rFonts w:hint="default"/>
        <w:lang w:val="en-US" w:eastAsia="en-US" w:bidi="ar-SA"/>
      </w:rPr>
    </w:lvl>
    <w:lvl w:ilvl="7">
      <w:numFmt w:val="bullet"/>
      <w:lvlText w:val="•"/>
      <w:lvlJc w:val="left"/>
      <w:pPr>
        <w:ind w:left="5200" w:hanging="361"/>
      </w:pPr>
      <w:rPr>
        <w:rFonts w:hint="default"/>
        <w:lang w:val="en-US" w:eastAsia="en-US" w:bidi="ar-SA"/>
      </w:rPr>
    </w:lvl>
    <w:lvl w:ilvl="8">
      <w:numFmt w:val="bullet"/>
      <w:lvlText w:val="•"/>
      <w:lvlJc w:val="left"/>
      <w:pPr>
        <w:ind w:left="6653" w:hanging="361"/>
      </w:pPr>
      <w:rPr>
        <w:rFonts w:hint="default"/>
        <w:lang w:val="en-US" w:eastAsia="en-US" w:bidi="ar-SA"/>
      </w:rPr>
    </w:lvl>
  </w:abstractNum>
  <w:abstractNum w:abstractNumId="5" w15:restartNumberingAfterBreak="0">
    <w:nsid w:val="66227B0C"/>
    <w:multiLevelType w:val="multilevel"/>
    <w:tmpl w:val="E7E28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270047D"/>
    <w:multiLevelType w:val="multilevel"/>
    <w:tmpl w:val="BC547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73B5AB4"/>
    <w:multiLevelType w:val="multilevel"/>
    <w:tmpl w:val="0F662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A3222B6"/>
    <w:multiLevelType w:val="multilevel"/>
    <w:tmpl w:val="D0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95808">
    <w:abstractNumId w:val="5"/>
  </w:num>
  <w:num w:numId="2" w16cid:durableId="992828006">
    <w:abstractNumId w:val="3"/>
  </w:num>
  <w:num w:numId="3" w16cid:durableId="1150170088">
    <w:abstractNumId w:val="6"/>
  </w:num>
  <w:num w:numId="4" w16cid:durableId="1511529883">
    <w:abstractNumId w:val="7"/>
  </w:num>
  <w:num w:numId="5" w16cid:durableId="868298690">
    <w:abstractNumId w:val="4"/>
  </w:num>
  <w:num w:numId="6" w16cid:durableId="520515135">
    <w:abstractNumId w:val="1"/>
  </w:num>
  <w:num w:numId="7" w16cid:durableId="48463775">
    <w:abstractNumId w:val="0"/>
  </w:num>
  <w:num w:numId="8" w16cid:durableId="2099016180">
    <w:abstractNumId w:val="2"/>
  </w:num>
  <w:num w:numId="9" w16cid:durableId="2609955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96C"/>
    <w:rsid w:val="00007E04"/>
    <w:rsid w:val="00020973"/>
    <w:rsid w:val="00055015"/>
    <w:rsid w:val="00116E90"/>
    <w:rsid w:val="00175E04"/>
    <w:rsid w:val="00261C3C"/>
    <w:rsid w:val="002670AA"/>
    <w:rsid w:val="002715A5"/>
    <w:rsid w:val="00455110"/>
    <w:rsid w:val="004C6DEC"/>
    <w:rsid w:val="004D7EB6"/>
    <w:rsid w:val="005E2574"/>
    <w:rsid w:val="006764BB"/>
    <w:rsid w:val="006D3767"/>
    <w:rsid w:val="007B511A"/>
    <w:rsid w:val="007E4A00"/>
    <w:rsid w:val="007F19A6"/>
    <w:rsid w:val="008039A9"/>
    <w:rsid w:val="008540E9"/>
    <w:rsid w:val="00930DB0"/>
    <w:rsid w:val="00980863"/>
    <w:rsid w:val="00AC2A7A"/>
    <w:rsid w:val="00B82E99"/>
    <w:rsid w:val="00B93EC1"/>
    <w:rsid w:val="00C71F7D"/>
    <w:rsid w:val="00C7726C"/>
    <w:rsid w:val="00CA109B"/>
    <w:rsid w:val="00E56195"/>
    <w:rsid w:val="00E6396C"/>
    <w:rsid w:val="00F838CD"/>
    <w:rsid w:val="00FD4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B4E3"/>
  <w15:docId w15:val="{C5427DBD-A060-4BE1-9F25-81E294CB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Aleo" w:eastAsia="Aleo" w:hAnsi="Aleo" w:cs="Aleo"/>
      <w:color w:val="F08B1D"/>
      <w:sz w:val="48"/>
      <w:szCs w:val="48"/>
    </w:rPr>
  </w:style>
  <w:style w:type="paragraph" w:styleId="Heading2">
    <w:name w:val="heading 2"/>
    <w:basedOn w:val="Normal"/>
    <w:next w:val="Normal"/>
    <w:uiPriority w:val="9"/>
    <w:semiHidden/>
    <w:unhideWhenUsed/>
    <w:qFormat/>
    <w:pPr>
      <w:keepNext/>
      <w:keepLines/>
      <w:spacing w:before="360" w:after="120"/>
      <w:outlineLvl w:val="1"/>
    </w:pPr>
    <w:rPr>
      <w:b/>
      <w:bCs/>
      <w:color w:val="293541"/>
      <w:sz w:val="40"/>
      <w:szCs w:val="40"/>
    </w:rPr>
  </w:style>
  <w:style w:type="paragraph" w:styleId="Heading3">
    <w:name w:val="heading 3"/>
    <w:basedOn w:val="Normal"/>
    <w:next w:val="Normal"/>
    <w:uiPriority w:val="9"/>
    <w:semiHidden/>
    <w:unhideWhenUsed/>
    <w:qFormat/>
    <w:pPr>
      <w:keepNext/>
      <w:keepLines/>
      <w:spacing w:before="320" w:after="80"/>
      <w:outlineLvl w:val="2"/>
    </w:pPr>
    <w:rPr>
      <w:b/>
      <w:bCs/>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sz w:val="24"/>
      <w:szCs w:val="24"/>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rFonts w:ascii="Aleo" w:eastAsia="Aleo" w:hAnsi="Aleo" w:cs="Aleo"/>
      <w:color w:val="293541"/>
      <w:sz w:val="84"/>
      <w:szCs w:val="84"/>
    </w:rPr>
  </w:style>
  <w:style w:type="paragraph" w:styleId="Subtitle">
    <w:name w:val="Subtitle"/>
    <w:basedOn w:val="Normal"/>
    <w:next w:val="Normal"/>
    <w:uiPriority w:val="11"/>
    <w:qFormat/>
    <w:pPr>
      <w:keepNext/>
      <w:keepLines/>
      <w:spacing w:after="320"/>
    </w:pPr>
    <w:rPr>
      <w:i/>
      <w:iCs/>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020973"/>
    <w:pPr>
      <w:tabs>
        <w:tab w:val="center" w:pos="4513"/>
        <w:tab w:val="right" w:pos="9026"/>
      </w:tabs>
      <w:spacing w:line="240" w:lineRule="auto"/>
    </w:pPr>
  </w:style>
  <w:style w:type="character" w:customStyle="1" w:styleId="HeaderChar">
    <w:name w:val="Header Char"/>
    <w:basedOn w:val="DefaultParagraphFont"/>
    <w:link w:val="Header"/>
    <w:uiPriority w:val="99"/>
    <w:rsid w:val="00020973"/>
  </w:style>
  <w:style w:type="paragraph" w:styleId="Footer">
    <w:name w:val="footer"/>
    <w:basedOn w:val="Normal"/>
    <w:link w:val="FooterChar"/>
    <w:uiPriority w:val="99"/>
    <w:unhideWhenUsed/>
    <w:rsid w:val="00020973"/>
    <w:pPr>
      <w:tabs>
        <w:tab w:val="center" w:pos="4513"/>
        <w:tab w:val="right" w:pos="9026"/>
      </w:tabs>
      <w:spacing w:line="240" w:lineRule="auto"/>
    </w:pPr>
  </w:style>
  <w:style w:type="character" w:customStyle="1" w:styleId="FooterChar">
    <w:name w:val="Footer Char"/>
    <w:basedOn w:val="DefaultParagraphFont"/>
    <w:link w:val="Footer"/>
    <w:uiPriority w:val="99"/>
    <w:rsid w:val="00020973"/>
  </w:style>
  <w:style w:type="paragraph" w:customStyle="1" w:styleId="my-2">
    <w:name w:val="my-2"/>
    <w:basedOn w:val="Normal"/>
    <w:rsid w:val="007E4A00"/>
    <w:pPr>
      <w:spacing w:before="100" w:beforeAutospacing="1" w:after="100" w:afterAutospacing="1" w:line="240" w:lineRule="auto"/>
    </w:pPr>
    <w:rPr>
      <w:rFonts w:ascii="Times New Roman" w:eastAsia="Times New Roman" w:hAnsi="Times New Roman" w:cs="Times New Roman"/>
      <w:sz w:val="24"/>
      <w:szCs w:val="24"/>
      <w:lang w:val="en-US" w:eastAsia="en-US" w:bidi="ta-IN"/>
    </w:rPr>
  </w:style>
  <w:style w:type="character" w:styleId="Hyperlink">
    <w:name w:val="Hyperlink"/>
    <w:basedOn w:val="DefaultParagraphFont"/>
    <w:uiPriority w:val="99"/>
    <w:unhideWhenUsed/>
    <w:rsid w:val="007E4A00"/>
    <w:rPr>
      <w:color w:val="0000FF" w:themeColor="hyperlink"/>
      <w:u w:val="single"/>
    </w:rPr>
  </w:style>
  <w:style w:type="paragraph" w:styleId="ListParagraph">
    <w:name w:val="List Paragraph"/>
    <w:basedOn w:val="Normal"/>
    <w:uiPriority w:val="1"/>
    <w:qFormat/>
    <w:rsid w:val="008540E9"/>
    <w:pPr>
      <w:widowControl w:val="0"/>
      <w:autoSpaceDE w:val="0"/>
      <w:autoSpaceDN w:val="0"/>
      <w:spacing w:line="240" w:lineRule="auto"/>
      <w:ind w:left="720"/>
      <w:contextualSpacing/>
    </w:pPr>
    <w:rPr>
      <w:rFonts w:ascii="Arial" w:eastAsia="Arial" w:hAnsi="Arial" w:cs="Arial"/>
      <w:lang w:val="en-US" w:eastAsia="en-US"/>
    </w:rPr>
  </w:style>
  <w:style w:type="paragraph" w:styleId="BodyText">
    <w:name w:val="Body Text"/>
    <w:basedOn w:val="Normal"/>
    <w:link w:val="BodyTextChar"/>
    <w:uiPriority w:val="1"/>
    <w:qFormat/>
    <w:rsid w:val="008540E9"/>
    <w:pPr>
      <w:widowControl w:val="0"/>
      <w:autoSpaceDE w:val="0"/>
      <w:autoSpaceDN w:val="0"/>
      <w:spacing w:line="240" w:lineRule="auto"/>
    </w:pPr>
    <w:rPr>
      <w:rFonts w:ascii="Arial" w:eastAsia="Arial" w:hAnsi="Arial" w:cs="Arial"/>
      <w:lang w:val="en-US" w:eastAsia="en-US"/>
    </w:rPr>
  </w:style>
  <w:style w:type="character" w:customStyle="1" w:styleId="BodyTextChar">
    <w:name w:val="Body Text Char"/>
    <w:basedOn w:val="DefaultParagraphFont"/>
    <w:link w:val="BodyText"/>
    <w:uiPriority w:val="1"/>
    <w:rsid w:val="008540E9"/>
    <w:rPr>
      <w:rFonts w:ascii="Arial" w:eastAsia="Arial" w:hAnsi="Arial" w:cs="Arial"/>
      <w:lang w:val="en-US" w:eastAsia="en-US"/>
    </w:rPr>
  </w:style>
  <w:style w:type="character" w:styleId="UnresolvedMention">
    <w:name w:val="Unresolved Mention"/>
    <w:basedOn w:val="DefaultParagraphFont"/>
    <w:uiPriority w:val="99"/>
    <w:semiHidden/>
    <w:unhideWhenUsed/>
    <w:rsid w:val="00055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giving.org/search/" TargetMode="External"/><Relationship Id="rId13" Type="http://schemas.openxmlformats.org/officeDocument/2006/relationships/image" Target="media/image1.png"/><Relationship Id="rId18" Type="http://schemas.openxmlformats.org/officeDocument/2006/relationships/hyperlink" Target="mailto:recdosl@gmail.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globalgiving.org/search/" TargetMode="External"/><Relationship Id="rId12" Type="http://schemas.openxmlformats.org/officeDocument/2006/relationships/hyperlink" Target="https://youtu.be/hqxqaKFosD4"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lobalgiving.org/nonprofit-partner-handbook-static/GG_CommunityPhotoStandards.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s://www.globalgiving.org/learn/nonprofit-storytelling-best-practices-list/" TargetMode="External"/><Relationship Id="rId19" Type="http://schemas.openxmlformats.org/officeDocument/2006/relationships/hyperlink" Target="http://www.recdo.org" TargetMode="External"/><Relationship Id="rId4" Type="http://schemas.openxmlformats.org/officeDocument/2006/relationships/webSettings" Target="webSettings.xml"/><Relationship Id="rId9" Type="http://schemas.openxmlformats.org/officeDocument/2006/relationships/hyperlink" Target="https://globalgiving.typeform.com/P2G-worksheet" TargetMode="External"/><Relationship Id="rId14" Type="http://schemas.openxmlformats.org/officeDocument/2006/relationships/image" Target="media/image2.jpeg"/><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12</Pages>
  <Words>3001</Words>
  <Characters>17112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icom</dc:creator>
  <cp:lastModifiedBy>icom</cp:lastModifiedBy>
  <cp:revision>14</cp:revision>
  <dcterms:created xsi:type="dcterms:W3CDTF">2026-02-13T16:57:00Z</dcterms:created>
  <dcterms:modified xsi:type="dcterms:W3CDTF">2026-07-03T14:45:00Z</dcterms:modified>
</cp:coreProperties>
</file>