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0B162">
      <w:pPr>
        <w:pStyle w:val="2"/>
        <w:spacing w:before="0" w:after="0" w:line="276" w:lineRule="auto"/>
        <w:jc w:val="both"/>
        <w:rPr>
          <w:rFonts w:ascii="Times New Roman" w:hAnsi="Times New Roman" w:cs="Times New Roman"/>
          <w:color w:val="4472C4" w:themeColor="accent1"/>
          <w:sz w:val="22"/>
          <w:szCs w:val="22"/>
          <w14:textFill>
            <w14:solidFill>
              <w14:schemeClr w14:val="accent1"/>
            </w14:solidFill>
          </w14:textFill>
        </w:rPr>
      </w:pPr>
    </w:p>
    <w:tbl>
      <w:tblPr>
        <w:tblStyle w:val="13"/>
        <w:tblpPr w:leftFromText="180" w:rightFromText="180" w:vertAnchor="page" w:horzAnchor="page" w:tblpX="574" w:tblpY="2161"/>
        <w:tblW w:w="10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5"/>
        <w:gridCol w:w="2970"/>
        <w:gridCol w:w="3150"/>
        <w:gridCol w:w="1953"/>
      </w:tblGrid>
      <w:tr w14:paraId="3647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4E4A6AD9">
            <w:pPr>
              <w:spacing w:after="0" w:line="276" w:lineRule="auto"/>
              <w:jc w:val="both"/>
              <w:rPr>
                <w:rFonts w:ascii="Times New Roman" w:hAnsi="Times New Roman" w:cs="Times New Roman"/>
                <w:b/>
                <w:sz w:val="24"/>
              </w:rPr>
            </w:pPr>
            <w:r>
              <w:rPr>
                <w:rFonts w:ascii="Times New Roman" w:hAnsi="Times New Roman" w:cs="Times New Roman"/>
                <w:sz w:val="24"/>
              </w:rPr>
              <w:t>Project Title:</w:t>
            </w:r>
          </w:p>
        </w:tc>
        <w:tc>
          <w:tcPr>
            <w:tcW w:w="8073" w:type="dxa"/>
            <w:gridSpan w:val="3"/>
            <w:tcBorders>
              <w:top w:val="single" w:color="auto" w:sz="4" w:space="0"/>
              <w:left w:val="single" w:color="auto" w:sz="4" w:space="0"/>
              <w:bottom w:val="single" w:color="auto" w:sz="4" w:space="0"/>
              <w:right w:val="single" w:color="auto" w:sz="4" w:space="0"/>
            </w:tcBorders>
          </w:tcPr>
          <w:p w14:paraId="17F1E76B">
            <w:pPr>
              <w:tabs>
                <w:tab w:val="left" w:pos="2835"/>
              </w:tabs>
              <w:spacing w:line="276" w:lineRule="auto"/>
              <w:rPr>
                <w:rFonts w:ascii="Times New Roman" w:hAnsi="Times New Roman" w:cs="Times New Roman"/>
                <w:sz w:val="24"/>
              </w:rPr>
            </w:pPr>
            <w:r>
              <w:rPr>
                <w:rFonts w:ascii="Times New Roman" w:hAnsi="Times New Roman" w:cs="Times New Roman"/>
                <w:sz w:val="24"/>
              </w:rPr>
              <w:t>Combating malnutrition, nutrition education and support in Song LGA Adamawa State.</w:t>
            </w:r>
          </w:p>
        </w:tc>
      </w:tr>
      <w:tr w14:paraId="2DC7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19C415BB">
            <w:pPr>
              <w:spacing w:after="0" w:line="276" w:lineRule="auto"/>
              <w:jc w:val="both"/>
              <w:rPr>
                <w:rFonts w:ascii="Times New Roman" w:hAnsi="Times New Roman" w:cs="Times New Roman"/>
                <w:sz w:val="24"/>
              </w:rPr>
            </w:pPr>
            <w:r>
              <w:rPr>
                <w:rFonts w:ascii="Times New Roman" w:hAnsi="Times New Roman" w:cs="Times New Roman"/>
                <w:sz w:val="24"/>
              </w:rPr>
              <w:t>Project Location:</w:t>
            </w:r>
          </w:p>
        </w:tc>
        <w:tc>
          <w:tcPr>
            <w:tcW w:w="8073" w:type="dxa"/>
            <w:gridSpan w:val="3"/>
            <w:tcBorders>
              <w:top w:val="single" w:color="auto" w:sz="4" w:space="0"/>
              <w:left w:val="single" w:color="auto" w:sz="4" w:space="0"/>
              <w:bottom w:val="single" w:color="auto" w:sz="4" w:space="0"/>
              <w:right w:val="single" w:color="auto" w:sz="4" w:space="0"/>
            </w:tcBorders>
          </w:tcPr>
          <w:p w14:paraId="12825A1D">
            <w:pPr>
              <w:tabs>
                <w:tab w:val="left" w:pos="2835"/>
              </w:tabs>
              <w:spacing w:line="276" w:lineRule="auto"/>
              <w:rPr>
                <w:rFonts w:ascii="Times New Roman" w:hAnsi="Times New Roman" w:cs="Times New Roman"/>
                <w:sz w:val="24"/>
              </w:rPr>
            </w:pPr>
            <w:r>
              <w:rPr>
                <w:rFonts w:ascii="Times New Roman" w:hAnsi="Times New Roman" w:cs="Times New Roman"/>
                <w:sz w:val="24"/>
              </w:rPr>
              <w:t>Song Local Government Area, Adamawa State</w:t>
            </w:r>
          </w:p>
        </w:tc>
      </w:tr>
      <w:tr w14:paraId="5E3D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76B22A14">
            <w:pPr>
              <w:spacing w:after="0" w:line="276" w:lineRule="auto"/>
              <w:jc w:val="both"/>
              <w:rPr>
                <w:rFonts w:ascii="Times New Roman" w:hAnsi="Times New Roman" w:cs="Times New Roman"/>
                <w:b/>
                <w:sz w:val="24"/>
              </w:rPr>
            </w:pPr>
            <w:r>
              <w:rPr>
                <w:rFonts w:ascii="Times New Roman" w:hAnsi="Times New Roman" w:cs="Times New Roman"/>
                <w:sz w:val="24"/>
              </w:rPr>
              <w:t>Budget:</w:t>
            </w:r>
          </w:p>
        </w:tc>
        <w:tc>
          <w:tcPr>
            <w:tcW w:w="8073" w:type="dxa"/>
            <w:gridSpan w:val="3"/>
            <w:tcBorders>
              <w:top w:val="single" w:color="auto" w:sz="4" w:space="0"/>
              <w:left w:val="single" w:color="auto" w:sz="4" w:space="0"/>
              <w:bottom w:val="single" w:color="auto" w:sz="4" w:space="0"/>
              <w:right w:val="single" w:color="auto" w:sz="4" w:space="0"/>
            </w:tcBorders>
          </w:tcPr>
          <w:p w14:paraId="2C053136">
            <w:pPr>
              <w:spacing w:after="0" w:line="276" w:lineRule="auto"/>
              <w:jc w:val="both"/>
              <w:rPr>
                <w:rFonts w:hint="default" w:ascii="Times New Roman" w:hAnsi="Times New Roman" w:cs="Times New Roman"/>
                <w:sz w:val="24"/>
                <w:lang w:val="en-GB"/>
              </w:rPr>
            </w:pPr>
            <w:r>
              <w:rPr>
                <w:rFonts w:hint="default" w:ascii="Times New Roman" w:hAnsi="Times New Roman" w:cs="Times New Roman"/>
                <w:sz w:val="24"/>
                <w:lang w:val="en-GB"/>
              </w:rPr>
              <w:t>$43,050</w:t>
            </w:r>
          </w:p>
        </w:tc>
      </w:tr>
      <w:tr w14:paraId="7846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48467651">
            <w:pPr>
              <w:spacing w:after="0" w:line="276" w:lineRule="auto"/>
              <w:jc w:val="both"/>
              <w:rPr>
                <w:rFonts w:ascii="Times New Roman" w:hAnsi="Times New Roman" w:cs="Times New Roman"/>
                <w:b/>
                <w:sz w:val="24"/>
              </w:rPr>
            </w:pPr>
            <w:r>
              <w:rPr>
                <w:rFonts w:ascii="Times New Roman" w:hAnsi="Times New Roman" w:cs="Times New Roman"/>
                <w:sz w:val="24"/>
              </w:rPr>
              <w:t>Percentage:</w:t>
            </w:r>
          </w:p>
        </w:tc>
        <w:tc>
          <w:tcPr>
            <w:tcW w:w="8073" w:type="dxa"/>
            <w:gridSpan w:val="3"/>
            <w:tcBorders>
              <w:top w:val="single" w:color="auto" w:sz="4" w:space="0"/>
              <w:left w:val="single" w:color="auto" w:sz="4" w:space="0"/>
              <w:bottom w:val="single" w:color="auto" w:sz="4" w:space="0"/>
              <w:right w:val="single" w:color="auto" w:sz="4" w:space="0"/>
            </w:tcBorders>
          </w:tcPr>
          <w:p w14:paraId="5235E2AF">
            <w:pPr>
              <w:spacing w:after="0" w:line="276" w:lineRule="auto"/>
              <w:jc w:val="both"/>
              <w:rPr>
                <w:rFonts w:ascii="Times New Roman" w:hAnsi="Times New Roman" w:cs="Times New Roman"/>
                <w:sz w:val="24"/>
              </w:rPr>
            </w:pPr>
            <w:r>
              <w:rPr>
                <w:rFonts w:ascii="Times New Roman" w:hAnsi="Times New Roman" w:cs="Times New Roman"/>
                <w:sz w:val="24"/>
              </w:rPr>
              <w:t>100%</w:t>
            </w:r>
          </w:p>
        </w:tc>
      </w:tr>
      <w:tr w14:paraId="4138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7E28898E">
            <w:pPr>
              <w:spacing w:after="0" w:line="276" w:lineRule="auto"/>
              <w:jc w:val="both"/>
              <w:rPr>
                <w:rFonts w:ascii="Times New Roman" w:hAnsi="Times New Roman" w:cs="Times New Roman"/>
                <w:b/>
                <w:sz w:val="24"/>
              </w:rPr>
            </w:pPr>
            <w:r>
              <w:rPr>
                <w:rFonts w:ascii="Times New Roman" w:hAnsi="Times New Roman" w:cs="Times New Roman"/>
                <w:sz w:val="24"/>
              </w:rPr>
              <w:t>Duration:</w:t>
            </w:r>
          </w:p>
        </w:tc>
        <w:tc>
          <w:tcPr>
            <w:tcW w:w="8073" w:type="dxa"/>
            <w:gridSpan w:val="3"/>
            <w:tcBorders>
              <w:top w:val="single" w:color="auto" w:sz="4" w:space="0"/>
              <w:left w:val="single" w:color="auto" w:sz="4" w:space="0"/>
              <w:bottom w:val="single" w:color="auto" w:sz="4" w:space="0"/>
              <w:right w:val="single" w:color="auto" w:sz="4" w:space="0"/>
            </w:tcBorders>
          </w:tcPr>
          <w:p w14:paraId="74321AB9">
            <w:pPr>
              <w:spacing w:after="0" w:line="276" w:lineRule="auto"/>
              <w:jc w:val="both"/>
              <w:rPr>
                <w:rFonts w:ascii="Times New Roman" w:hAnsi="Times New Roman" w:cs="Times New Roman"/>
                <w:sz w:val="24"/>
              </w:rPr>
            </w:pPr>
            <w:r>
              <w:rPr>
                <w:rFonts w:ascii="Times New Roman" w:hAnsi="Times New Roman" w:cs="Times New Roman"/>
                <w:sz w:val="24"/>
              </w:rPr>
              <w:t xml:space="preserve">12 Months </w:t>
            </w:r>
          </w:p>
        </w:tc>
      </w:tr>
      <w:tr w14:paraId="5105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20738916">
            <w:pPr>
              <w:spacing w:after="0" w:line="276" w:lineRule="auto"/>
              <w:jc w:val="both"/>
              <w:rPr>
                <w:rFonts w:ascii="Times New Roman" w:hAnsi="Times New Roman" w:cs="Times New Roman"/>
                <w:b/>
                <w:sz w:val="24"/>
              </w:rPr>
            </w:pPr>
            <w:r>
              <w:rPr>
                <w:rFonts w:ascii="Times New Roman" w:hAnsi="Times New Roman" w:cs="Times New Roman"/>
                <w:sz w:val="24"/>
              </w:rPr>
              <w:t>Sector:</w:t>
            </w:r>
          </w:p>
        </w:tc>
        <w:tc>
          <w:tcPr>
            <w:tcW w:w="8073" w:type="dxa"/>
            <w:gridSpan w:val="3"/>
            <w:tcBorders>
              <w:top w:val="single" w:color="auto" w:sz="4" w:space="0"/>
              <w:left w:val="single" w:color="auto" w:sz="4" w:space="0"/>
              <w:bottom w:val="single" w:color="auto" w:sz="4" w:space="0"/>
              <w:right w:val="single" w:color="auto" w:sz="4" w:space="0"/>
            </w:tcBorders>
          </w:tcPr>
          <w:p w14:paraId="0B5EDB06">
            <w:pPr>
              <w:spacing w:after="0" w:line="276" w:lineRule="auto"/>
              <w:jc w:val="both"/>
              <w:rPr>
                <w:rFonts w:ascii="Times New Roman" w:hAnsi="Times New Roman" w:cs="Times New Roman"/>
                <w:sz w:val="24"/>
              </w:rPr>
            </w:pPr>
            <w:r>
              <w:rPr>
                <w:rFonts w:ascii="Times New Roman" w:hAnsi="Times New Roman" w:cs="Times New Roman"/>
                <w:sz w:val="24"/>
              </w:rPr>
              <w:t>Health</w:t>
            </w:r>
          </w:p>
        </w:tc>
      </w:tr>
      <w:tr w14:paraId="5FDC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509BE82E">
            <w:pPr>
              <w:spacing w:after="0" w:line="276" w:lineRule="auto"/>
              <w:jc w:val="both"/>
              <w:rPr>
                <w:rFonts w:ascii="Times New Roman" w:hAnsi="Times New Roman" w:cs="Times New Roman"/>
                <w:b/>
                <w:sz w:val="24"/>
              </w:rPr>
            </w:pPr>
            <w:r>
              <w:rPr>
                <w:rFonts w:ascii="Times New Roman" w:hAnsi="Times New Roman" w:cs="Times New Roman"/>
                <w:sz w:val="24"/>
              </w:rPr>
              <w:t>Proposed Date:</w:t>
            </w:r>
          </w:p>
        </w:tc>
        <w:tc>
          <w:tcPr>
            <w:tcW w:w="8073" w:type="dxa"/>
            <w:gridSpan w:val="3"/>
            <w:tcBorders>
              <w:top w:val="single" w:color="auto" w:sz="4" w:space="0"/>
              <w:left w:val="single" w:color="auto" w:sz="4" w:space="0"/>
              <w:bottom w:val="single" w:color="auto" w:sz="4" w:space="0"/>
              <w:right w:val="single" w:color="auto" w:sz="4" w:space="0"/>
            </w:tcBorders>
          </w:tcPr>
          <w:p w14:paraId="08271EFB">
            <w:pPr>
              <w:spacing w:after="0" w:line="276" w:lineRule="auto"/>
              <w:jc w:val="both"/>
              <w:rPr>
                <w:rFonts w:hint="default" w:ascii="Times New Roman" w:hAnsi="Times New Roman" w:cs="Times New Roman"/>
                <w:sz w:val="24"/>
                <w:lang w:val="en-GB"/>
              </w:rPr>
            </w:pPr>
            <w:r>
              <w:rPr>
                <w:rFonts w:ascii="Times New Roman" w:hAnsi="Times New Roman" w:cs="Times New Roman"/>
                <w:sz w:val="24"/>
              </w:rPr>
              <w:t>5</w:t>
            </w:r>
            <w:r>
              <w:rPr>
                <w:rFonts w:ascii="Times New Roman" w:hAnsi="Times New Roman" w:cs="Times New Roman"/>
                <w:sz w:val="24"/>
                <w:vertAlign w:val="superscript"/>
              </w:rPr>
              <w:t>th</w:t>
            </w:r>
            <w:r>
              <w:rPr>
                <w:rFonts w:ascii="Times New Roman" w:hAnsi="Times New Roman" w:cs="Times New Roman"/>
                <w:sz w:val="24"/>
              </w:rPr>
              <w:t xml:space="preserve"> November 202</w:t>
            </w:r>
            <w:r>
              <w:rPr>
                <w:rFonts w:hint="default" w:ascii="Times New Roman" w:hAnsi="Times New Roman" w:cs="Times New Roman"/>
                <w:sz w:val="24"/>
                <w:lang w:val="en-GB"/>
              </w:rPr>
              <w:t>6</w:t>
            </w:r>
          </w:p>
        </w:tc>
      </w:tr>
      <w:tr w14:paraId="5715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52161773">
            <w:pPr>
              <w:spacing w:after="0" w:line="276" w:lineRule="auto"/>
              <w:jc w:val="both"/>
              <w:rPr>
                <w:rFonts w:ascii="Times New Roman" w:hAnsi="Times New Roman" w:cs="Times New Roman"/>
                <w:sz w:val="24"/>
              </w:rPr>
            </w:pPr>
            <w:r>
              <w:rPr>
                <w:rFonts w:ascii="Times New Roman" w:hAnsi="Times New Roman" w:cs="Times New Roman"/>
                <w:sz w:val="24"/>
              </w:rPr>
              <w:t>Project end:</w:t>
            </w:r>
          </w:p>
        </w:tc>
        <w:tc>
          <w:tcPr>
            <w:tcW w:w="8073" w:type="dxa"/>
            <w:gridSpan w:val="3"/>
            <w:tcBorders>
              <w:top w:val="single" w:color="auto" w:sz="4" w:space="0"/>
              <w:left w:val="single" w:color="auto" w:sz="4" w:space="0"/>
              <w:bottom w:val="single" w:color="auto" w:sz="4" w:space="0"/>
              <w:right w:val="single" w:color="auto" w:sz="4" w:space="0"/>
            </w:tcBorders>
          </w:tcPr>
          <w:p w14:paraId="348E6DC5">
            <w:pPr>
              <w:spacing w:after="0" w:line="276" w:lineRule="auto"/>
              <w:jc w:val="both"/>
              <w:rPr>
                <w:rFonts w:hint="default" w:ascii="Times New Roman" w:hAnsi="Times New Roman" w:cs="Times New Roman"/>
                <w:sz w:val="24"/>
                <w:lang w:val="en-GB"/>
              </w:rPr>
            </w:pPr>
            <w:r>
              <w:rPr>
                <w:rFonts w:ascii="Times New Roman" w:hAnsi="Times New Roman" w:cs="Times New Roman"/>
                <w:sz w:val="24"/>
              </w:rPr>
              <w:t>5</w:t>
            </w:r>
            <w:r>
              <w:rPr>
                <w:rFonts w:ascii="Times New Roman" w:hAnsi="Times New Roman" w:cs="Times New Roman"/>
                <w:sz w:val="24"/>
                <w:vertAlign w:val="superscript"/>
              </w:rPr>
              <w:t>th</w:t>
            </w:r>
            <w:r>
              <w:rPr>
                <w:rFonts w:ascii="Times New Roman" w:hAnsi="Times New Roman" w:cs="Times New Roman"/>
                <w:sz w:val="24"/>
              </w:rPr>
              <w:t xml:space="preserve"> November 202</w:t>
            </w:r>
            <w:r>
              <w:rPr>
                <w:rFonts w:hint="default" w:ascii="Times New Roman" w:hAnsi="Times New Roman" w:cs="Times New Roman"/>
                <w:sz w:val="24"/>
                <w:lang w:val="en-GB"/>
              </w:rPr>
              <w:t>7</w:t>
            </w:r>
          </w:p>
        </w:tc>
      </w:tr>
      <w:tr w14:paraId="3686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695" w:type="dxa"/>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4E1D4DDD">
            <w:pPr>
              <w:spacing w:after="0" w:line="276" w:lineRule="auto"/>
              <w:jc w:val="both"/>
              <w:rPr>
                <w:rFonts w:ascii="Times New Roman" w:hAnsi="Times New Roman" w:cs="Times New Roman"/>
                <w:sz w:val="24"/>
              </w:rPr>
            </w:pPr>
            <w:r>
              <w:rPr>
                <w:rFonts w:ascii="Times New Roman" w:hAnsi="Times New Roman" w:cs="Times New Roman"/>
                <w:sz w:val="24"/>
              </w:rPr>
              <w:t>Donor:</w:t>
            </w:r>
          </w:p>
        </w:tc>
        <w:tc>
          <w:tcPr>
            <w:tcW w:w="8073" w:type="dxa"/>
            <w:gridSpan w:val="3"/>
            <w:tcBorders>
              <w:top w:val="single" w:color="auto" w:sz="4" w:space="0"/>
              <w:left w:val="single" w:color="auto" w:sz="4" w:space="0"/>
              <w:bottom w:val="single" w:color="auto" w:sz="4" w:space="0"/>
              <w:right w:val="single" w:color="auto" w:sz="4" w:space="0"/>
            </w:tcBorders>
          </w:tcPr>
          <w:p w14:paraId="5540EB0E">
            <w:pPr>
              <w:spacing w:after="0" w:line="276" w:lineRule="auto"/>
              <w:jc w:val="both"/>
              <w:rPr>
                <w:rFonts w:ascii="Times New Roman" w:hAnsi="Times New Roman" w:cs="Times New Roman"/>
                <w:sz w:val="24"/>
              </w:rPr>
            </w:pPr>
          </w:p>
        </w:tc>
      </w:tr>
      <w:tr w14:paraId="42B6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0768" w:type="dxa"/>
            <w:gridSpan w:val="4"/>
            <w:tcBorders>
              <w:top w:val="single" w:color="auto" w:sz="4" w:space="0"/>
              <w:left w:val="single" w:color="auto" w:sz="4" w:space="0"/>
              <w:bottom w:val="single" w:color="auto" w:sz="4" w:space="0"/>
              <w:right w:val="single" w:color="auto" w:sz="4" w:space="0"/>
            </w:tcBorders>
            <w:shd w:val="clear" w:color="auto" w:fill="8EAADB" w:themeFill="accent1" w:themeFillTint="99"/>
          </w:tcPr>
          <w:p w14:paraId="756BC6CE">
            <w:pPr>
              <w:spacing w:after="0" w:line="276" w:lineRule="auto"/>
              <w:jc w:val="both"/>
              <w:rPr>
                <w:rFonts w:ascii="Times New Roman" w:hAnsi="Times New Roman" w:cs="Times New Roman"/>
              </w:rPr>
            </w:pPr>
            <w:r>
              <w:rPr>
                <w:rFonts w:ascii="Times New Roman" w:hAnsi="Times New Roman" w:cs="Times New Roman"/>
              </w:rPr>
              <w:t xml:space="preserve">                                                           Organization Contact Persons.</w:t>
            </w:r>
          </w:p>
        </w:tc>
      </w:tr>
      <w:tr w14:paraId="2E9E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695" w:type="dxa"/>
            <w:tcBorders>
              <w:top w:val="single" w:color="auto" w:sz="4" w:space="0"/>
              <w:left w:val="single" w:color="auto" w:sz="4" w:space="0"/>
              <w:bottom w:val="single" w:color="auto" w:sz="4" w:space="0"/>
              <w:right w:val="single" w:color="auto" w:sz="4" w:space="0"/>
            </w:tcBorders>
            <w:shd w:val="clear" w:color="auto" w:fill="FFFFFF" w:themeFill="background1"/>
          </w:tcPr>
          <w:p w14:paraId="38BDAF1F">
            <w:pPr>
              <w:spacing w:after="0" w:line="276" w:lineRule="auto"/>
              <w:jc w:val="both"/>
              <w:rPr>
                <w:rFonts w:ascii="Times New Roman" w:hAnsi="Times New Roman" w:cs="Times New Roman"/>
                <w:b/>
              </w:rPr>
            </w:pPr>
            <w:r>
              <w:rPr>
                <w:rFonts w:ascii="Times New Roman" w:hAnsi="Times New Roman" w:cs="Times New Roman"/>
                <w:b/>
              </w:rPr>
              <w:t>Name</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14:paraId="5FF3FF84">
            <w:pPr>
              <w:spacing w:after="0" w:line="276" w:lineRule="auto"/>
              <w:jc w:val="both"/>
              <w:rPr>
                <w:rFonts w:ascii="Times New Roman" w:hAnsi="Times New Roman" w:cs="Times New Roman"/>
              </w:rPr>
            </w:pPr>
            <w:r>
              <w:rPr>
                <w:rFonts w:ascii="Times New Roman" w:hAnsi="Times New Roman" w:cs="Times New Roman"/>
              </w:rPr>
              <w:t xml:space="preserve">Title </w:t>
            </w:r>
          </w:p>
        </w:tc>
        <w:tc>
          <w:tcPr>
            <w:tcW w:w="3150" w:type="dxa"/>
            <w:tcBorders>
              <w:top w:val="single" w:color="auto" w:sz="4" w:space="0"/>
              <w:left w:val="single" w:color="auto" w:sz="4" w:space="0"/>
              <w:bottom w:val="single" w:color="auto" w:sz="4" w:space="0"/>
              <w:right w:val="single" w:color="auto" w:sz="4" w:space="0"/>
            </w:tcBorders>
            <w:shd w:val="clear" w:color="auto" w:fill="FFFFFF" w:themeFill="background1"/>
          </w:tcPr>
          <w:p w14:paraId="55EF173D">
            <w:pPr>
              <w:spacing w:after="0" w:line="276" w:lineRule="auto"/>
              <w:jc w:val="both"/>
              <w:rPr>
                <w:rFonts w:ascii="Times New Roman" w:hAnsi="Times New Roman" w:cs="Times New Roman"/>
              </w:rPr>
            </w:pPr>
            <w:r>
              <w:rPr>
                <w:rFonts w:ascii="Times New Roman" w:hAnsi="Times New Roman" w:cs="Times New Roman"/>
              </w:rPr>
              <w:t xml:space="preserve">Email </w:t>
            </w:r>
          </w:p>
        </w:tc>
        <w:tc>
          <w:tcPr>
            <w:tcW w:w="1953" w:type="dxa"/>
            <w:tcBorders>
              <w:top w:val="single" w:color="auto" w:sz="4" w:space="0"/>
              <w:left w:val="single" w:color="auto" w:sz="4" w:space="0"/>
              <w:bottom w:val="single" w:color="auto" w:sz="4" w:space="0"/>
              <w:right w:val="single" w:color="auto" w:sz="4" w:space="0"/>
            </w:tcBorders>
            <w:shd w:val="clear" w:color="auto" w:fill="FFFFFF" w:themeFill="background1"/>
          </w:tcPr>
          <w:p w14:paraId="5F855360">
            <w:pPr>
              <w:spacing w:after="0" w:line="276" w:lineRule="auto"/>
              <w:jc w:val="both"/>
              <w:rPr>
                <w:rFonts w:ascii="Times New Roman" w:hAnsi="Times New Roman" w:cs="Times New Roman"/>
              </w:rPr>
            </w:pPr>
            <w:r>
              <w:rPr>
                <w:rFonts w:ascii="Times New Roman" w:hAnsi="Times New Roman" w:cs="Times New Roman"/>
              </w:rPr>
              <w:t>Phone Number</w:t>
            </w:r>
          </w:p>
        </w:tc>
      </w:tr>
      <w:tr w14:paraId="3A04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695" w:type="dxa"/>
            <w:tcBorders>
              <w:top w:val="single" w:color="auto" w:sz="4" w:space="0"/>
              <w:left w:val="single" w:color="auto" w:sz="4" w:space="0"/>
              <w:bottom w:val="single" w:color="auto" w:sz="4" w:space="0"/>
              <w:right w:val="single" w:color="auto" w:sz="4" w:space="0"/>
            </w:tcBorders>
            <w:shd w:val="clear" w:color="auto" w:fill="FFFFFF" w:themeFill="background1"/>
          </w:tcPr>
          <w:p w14:paraId="2DD40A24">
            <w:pPr>
              <w:spacing w:after="0" w:line="276" w:lineRule="auto"/>
              <w:jc w:val="both"/>
              <w:rPr>
                <w:rFonts w:ascii="Times New Roman" w:hAnsi="Times New Roman" w:cs="Times New Roman"/>
                <w:b/>
              </w:rPr>
            </w:pPr>
            <w:r>
              <w:rPr>
                <w:rFonts w:ascii="Times New Roman" w:hAnsi="Times New Roman" w:cs="Times New Roman"/>
                <w:b/>
              </w:rPr>
              <w:t>Mercy Solomon</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14:paraId="3A95D0F5">
            <w:pPr>
              <w:spacing w:after="0" w:line="276" w:lineRule="auto"/>
              <w:jc w:val="both"/>
              <w:rPr>
                <w:rFonts w:ascii="Times New Roman" w:hAnsi="Times New Roman" w:cs="Times New Roman"/>
              </w:rPr>
            </w:pPr>
            <w:r>
              <w:rPr>
                <w:rFonts w:ascii="Times New Roman" w:hAnsi="Times New Roman" w:cs="Times New Roman"/>
              </w:rPr>
              <w:t xml:space="preserve">Executive Director </w:t>
            </w:r>
          </w:p>
        </w:tc>
        <w:tc>
          <w:tcPr>
            <w:tcW w:w="3150" w:type="dxa"/>
            <w:tcBorders>
              <w:top w:val="single" w:color="auto" w:sz="4" w:space="0"/>
              <w:left w:val="single" w:color="auto" w:sz="4" w:space="0"/>
              <w:bottom w:val="single" w:color="auto" w:sz="4" w:space="0"/>
              <w:right w:val="single" w:color="auto" w:sz="4" w:space="0"/>
            </w:tcBorders>
            <w:shd w:val="clear" w:color="auto" w:fill="FFFFFF" w:themeFill="background1"/>
          </w:tcPr>
          <w:p w14:paraId="207E2497">
            <w:pPr>
              <w:spacing w:after="0" w:line="276" w:lineRule="auto"/>
              <w:jc w:val="both"/>
              <w:rPr>
                <w:rFonts w:ascii="Times New Roman" w:hAnsi="Times New Roman" w:cs="Times New Roman"/>
              </w:rPr>
            </w:pPr>
            <w:r>
              <w:rPr>
                <w:rFonts w:ascii="Times New Roman" w:hAnsi="Times New Roman" w:cs="Times New Roman"/>
              </w:rPr>
              <w:t>elezharcareinitiative@gmail.com</w:t>
            </w:r>
          </w:p>
        </w:tc>
        <w:tc>
          <w:tcPr>
            <w:tcW w:w="1953" w:type="dxa"/>
            <w:tcBorders>
              <w:top w:val="single" w:color="auto" w:sz="4" w:space="0"/>
              <w:left w:val="single" w:color="auto" w:sz="4" w:space="0"/>
              <w:bottom w:val="single" w:color="auto" w:sz="4" w:space="0"/>
              <w:right w:val="single" w:color="auto" w:sz="4" w:space="0"/>
            </w:tcBorders>
            <w:shd w:val="clear" w:color="auto" w:fill="FFFFFF" w:themeFill="background1"/>
          </w:tcPr>
          <w:p w14:paraId="224E89AD">
            <w:pPr>
              <w:spacing w:after="0" w:line="276" w:lineRule="auto"/>
              <w:jc w:val="both"/>
              <w:rPr>
                <w:rFonts w:ascii="Times New Roman" w:hAnsi="Times New Roman" w:cs="Times New Roman"/>
              </w:rPr>
            </w:pPr>
            <w:r>
              <w:rPr>
                <w:rFonts w:ascii="Times New Roman" w:hAnsi="Times New Roman" w:cs="Times New Roman"/>
              </w:rPr>
              <w:t>08060794207</w:t>
            </w:r>
          </w:p>
        </w:tc>
      </w:tr>
      <w:tr w14:paraId="7D4B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695" w:type="dxa"/>
            <w:tcBorders>
              <w:top w:val="single" w:color="auto" w:sz="4" w:space="0"/>
              <w:left w:val="single" w:color="auto" w:sz="4" w:space="0"/>
              <w:bottom w:val="single" w:color="auto" w:sz="4" w:space="0"/>
              <w:right w:val="single" w:color="auto" w:sz="4" w:space="0"/>
            </w:tcBorders>
            <w:shd w:val="clear" w:color="auto" w:fill="FFFFFF" w:themeFill="background1"/>
          </w:tcPr>
          <w:p w14:paraId="27D806E4">
            <w:pPr>
              <w:spacing w:after="0" w:line="276" w:lineRule="auto"/>
              <w:jc w:val="both"/>
              <w:rPr>
                <w:rFonts w:ascii="Times New Roman" w:hAnsi="Times New Roman" w:cs="Times New Roman"/>
                <w:b/>
              </w:rPr>
            </w:pPr>
            <w:r>
              <w:rPr>
                <w:rFonts w:ascii="Times New Roman" w:hAnsi="Times New Roman" w:cs="Times New Roman"/>
                <w:b/>
              </w:rPr>
              <w:t xml:space="preserve">Beny James  </w:t>
            </w:r>
          </w:p>
        </w:tc>
        <w:tc>
          <w:tcPr>
            <w:tcW w:w="2970" w:type="dxa"/>
            <w:tcBorders>
              <w:top w:val="single" w:color="auto" w:sz="4" w:space="0"/>
              <w:left w:val="single" w:color="auto" w:sz="4" w:space="0"/>
              <w:bottom w:val="single" w:color="auto" w:sz="4" w:space="0"/>
              <w:right w:val="single" w:color="auto" w:sz="4" w:space="0"/>
            </w:tcBorders>
            <w:shd w:val="clear" w:color="auto" w:fill="FFFFFF" w:themeFill="background1"/>
          </w:tcPr>
          <w:p w14:paraId="258D11B3">
            <w:pPr>
              <w:spacing w:after="0" w:line="276" w:lineRule="auto"/>
              <w:rPr>
                <w:rFonts w:ascii="Times New Roman" w:hAnsi="Times New Roman" w:cs="Times New Roman"/>
              </w:rPr>
            </w:pPr>
            <w:r>
              <w:rPr>
                <w:rFonts w:ascii="Times New Roman" w:hAnsi="Times New Roman" w:cs="Times New Roman"/>
              </w:rPr>
              <w:t>Director of partnership and Grant.</w:t>
            </w:r>
          </w:p>
        </w:tc>
        <w:tc>
          <w:tcPr>
            <w:tcW w:w="3150" w:type="dxa"/>
            <w:tcBorders>
              <w:top w:val="single" w:color="auto" w:sz="4" w:space="0"/>
              <w:left w:val="single" w:color="auto" w:sz="4" w:space="0"/>
              <w:bottom w:val="single" w:color="auto" w:sz="4" w:space="0"/>
              <w:right w:val="single" w:color="auto" w:sz="4" w:space="0"/>
            </w:tcBorders>
            <w:shd w:val="clear" w:color="auto" w:fill="FFFFFF" w:themeFill="background1"/>
          </w:tcPr>
          <w:p w14:paraId="2FECD4B3">
            <w:pPr>
              <w:spacing w:after="0" w:line="276" w:lineRule="auto"/>
              <w:jc w:val="both"/>
              <w:rPr>
                <w:rFonts w:ascii="Times New Roman" w:hAnsi="Times New Roman" w:cs="Times New Roman"/>
              </w:rPr>
            </w:pPr>
            <w:r>
              <w:rPr>
                <w:rFonts w:ascii="Times New Roman" w:hAnsi="Times New Roman" w:cs="Times New Roman"/>
              </w:rPr>
              <w:t>elezhar2@gmai</w:t>
            </w:r>
            <w:bookmarkStart w:id="0" w:name="_GoBack"/>
            <w:bookmarkEnd w:id="0"/>
            <w:r>
              <w:rPr>
                <w:rFonts w:ascii="Times New Roman" w:hAnsi="Times New Roman" w:cs="Times New Roman"/>
              </w:rPr>
              <w:t xml:space="preserve">l.com </w:t>
            </w:r>
          </w:p>
        </w:tc>
        <w:tc>
          <w:tcPr>
            <w:tcW w:w="1953" w:type="dxa"/>
            <w:tcBorders>
              <w:top w:val="single" w:color="auto" w:sz="4" w:space="0"/>
              <w:left w:val="single" w:color="auto" w:sz="4" w:space="0"/>
              <w:bottom w:val="single" w:color="auto" w:sz="4" w:space="0"/>
              <w:right w:val="single" w:color="auto" w:sz="4" w:space="0"/>
            </w:tcBorders>
            <w:shd w:val="clear" w:color="auto" w:fill="FFFFFF" w:themeFill="background1"/>
          </w:tcPr>
          <w:p w14:paraId="2BA8943F">
            <w:pPr>
              <w:spacing w:after="0" w:line="276" w:lineRule="auto"/>
              <w:jc w:val="both"/>
              <w:rPr>
                <w:rFonts w:ascii="Times New Roman" w:hAnsi="Times New Roman" w:cs="Times New Roman"/>
              </w:rPr>
            </w:pPr>
            <w:r>
              <w:rPr>
                <w:rFonts w:ascii="Times New Roman" w:hAnsi="Times New Roman" w:cs="Times New Roman"/>
              </w:rPr>
              <w:t>07026088028</w:t>
            </w:r>
          </w:p>
        </w:tc>
      </w:tr>
    </w:tbl>
    <w:p w14:paraId="6A00FC1E">
      <w:pPr>
        <w:spacing w:line="276" w:lineRule="auto"/>
        <w:ind w:left="2880"/>
        <w:jc w:val="both"/>
        <w:rPr>
          <w:rFonts w:ascii="Times New Roman" w:hAnsi="Times New Roman" w:cs="Times New Roman"/>
          <w:i/>
          <w:iCs/>
          <w:color w:val="FF0000"/>
        </w:rPr>
      </w:pPr>
      <w:r>
        <w:rPr>
          <w:rFonts w:ascii="Times New Roman" w:hAnsi="Times New Roman" w:cs="Times New Roman"/>
          <w:i/>
          <w:iCs/>
          <w:color w:val="FF0000"/>
        </w:rPr>
        <w:t xml:space="preserve"> </w:t>
      </w:r>
    </w:p>
    <w:p w14:paraId="787F444E">
      <w:pPr>
        <w:pBdr>
          <w:top w:val="single" w:color="auto" w:sz="4" w:space="1"/>
          <w:left w:val="single" w:color="auto" w:sz="4" w:space="4"/>
          <w:bottom w:val="single" w:color="auto" w:sz="4" w:space="1"/>
          <w:right w:val="single" w:color="auto" w:sz="4" w:space="4"/>
          <w:between w:val="single" w:color="auto" w:sz="4" w:space="1"/>
        </w:pBdr>
        <w:shd w:val="clear" w:color="auto" w:fill="8EAADB" w:themeFill="accent1" w:themeFillTint="99"/>
        <w:spacing w:line="276" w:lineRule="auto"/>
        <w:jc w:val="both"/>
        <w:rPr>
          <w:rFonts w:ascii="Times New Roman" w:hAnsi="Times New Roman" w:cs="Times New Roman"/>
          <w:bCs/>
        </w:rPr>
      </w:pPr>
      <w:r>
        <w:rPr>
          <w:rFonts w:ascii="Times New Roman" w:hAnsi="Times New Roman" w:cs="Times New Roman"/>
          <w:bCs/>
        </w:rPr>
        <w:t>1.0 Executive summary:</w:t>
      </w:r>
    </w:p>
    <w:p w14:paraId="79390BE7">
      <w:pPr>
        <w:pStyle w:val="11"/>
      </w:pPr>
      <w:r>
        <w:t xml:space="preserve">Song Local Government Area, Adamawa State Nigeria, like many other parts of the State, faces significant nutrition challenges, particularly among children under five, pregnant women and lactating mothers. The area is predominantly rural and food insecurity is a key concern due to poverty, limited access to diver’s food and the impact of climate change on agriculture. </w:t>
      </w:r>
    </w:p>
    <w:p w14:paraId="34BE1AF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Elezhar Care Initiative has played a crucial role in giving the communities of Lunga in Song LGA access to critical healthcare services and support. But in light of current issues, such as financial and resource shortages, we suggest a thorough revitalization of the project to increase its efficacy and scope. Given the high levels of food insecurity and malnutrition in the area, El-Ezhar Care Initiative seek the funding of NGN65,000,000 to implement a targeted nutrition program which will benefit over 11,090 children, pregnant and lactating Mothers and food insecure households in Lunga community precisely and other communities within Song LGA. </w:t>
      </w:r>
    </w:p>
    <w:p w14:paraId="4D70EE0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need assessment conducted by El-Ezhar Care Initiative (ECI) was to determine the Lunga community particular needs and analyze the nutritional status of the area. Data for this study was gathered via surveys, focus groups, and interviews with community residents and local health professionals. Important conclusions emphasized problems like undernourishment, ignorance of healthy eating habits, and restricted availability of nutrient-dense food. To close the gaps and promote community health overall, the study underlined the necessity of focused interventions, such as nutrition education initiatives, better food security policies, and expanded health services.</w:t>
      </w:r>
    </w:p>
    <w:p w14:paraId="0D562BE5">
      <w:pPr>
        <w:pStyle w:val="11"/>
      </w:pPr>
      <w:r>
        <w:t xml:space="preserve">This proposal outlines the nutrition intervention strategy aimed at addressing malnutrition status of vulnerable communities in Lunga, Song LGA Adamawa State. The program will focus on providing lifesaving nutrition support, promoting healthy dietary practices and building community resilience through sustainable food system. </w:t>
      </w:r>
    </w:p>
    <w:p w14:paraId="5A6ECB66">
      <w:pPr>
        <w:pBdr>
          <w:top w:val="single" w:color="auto" w:sz="4" w:space="1"/>
          <w:left w:val="single" w:color="auto" w:sz="4" w:space="4"/>
          <w:bottom w:val="single" w:color="auto" w:sz="4" w:space="1"/>
          <w:right w:val="single" w:color="auto" w:sz="4" w:space="4"/>
        </w:pBdr>
        <w:shd w:val="clear" w:color="auto" w:fill="8EAADB" w:themeFill="accent1" w:themeFillTint="99"/>
        <w:spacing w:line="276" w:lineRule="auto"/>
        <w:jc w:val="both"/>
        <w:rPr>
          <w:rFonts w:ascii="Times New Roman" w:hAnsi="Times New Roman" w:cs="Times New Roman"/>
          <w:b/>
        </w:rPr>
      </w:pPr>
      <w:r>
        <w:rPr>
          <w:rFonts w:ascii="Times New Roman" w:hAnsi="Times New Roman" w:cs="Times New Roman"/>
          <w:b/>
        </w:rPr>
        <w:t xml:space="preserve">2.0 Problem statement </w:t>
      </w:r>
    </w:p>
    <w:p w14:paraId="185F5B80">
      <w:pPr>
        <w:pStyle w:val="11"/>
      </w:pPr>
      <w:r>
        <w:t>Lunga community in Song LGA, has been severely affected by malnutrition, exacerbated by poverty, lack of access to diver’s foods and the impacts of climate change especially on agricultural productivity where drought at the beginning of almost every year and flood at the end of every year has been affecting a lot of farms. Children under five and pregnant women are the most vulnerable with high prevalence of stunting, wasting and micronutrient deficiencies.</w:t>
      </w:r>
    </w:p>
    <w:p w14:paraId="4D2BD025">
      <w:pPr>
        <w:pStyle w:val="11"/>
      </w:pPr>
      <w:r>
        <w:t xml:space="preserve">Insecurity caused by herdsmen in Song LGA, have also added significantly in affecting food production in various ways. Frequently clashes between herdsmen and farmers have brought fear which leads to farmers avoiding certain areas that are prone to conflict or herdsmen encroachment. That have limited access to farmed land and reduces the scale of farming activities, leading to lower food production and diminishing the community’s capacity to meet its own food needs. This result in significant crop loss, especially staple foods like maize, millet and vegetables, and loss of livestock disrupts the mixed farming systems that contribute to both meat production and manure for soil fertility. This have also led to missing of critical period of planting or harvesting that have drastically reduced yielding for the entire season, leading to a food shortage and reduced food availability in the markets and worsening food security. </w:t>
      </w:r>
    </w:p>
    <w:p w14:paraId="7CD50A07">
      <w:pPr>
        <w:pStyle w:val="11"/>
      </w:pPr>
      <w:r>
        <w:t>According to recent needs assessment conducted by El-Ezhar Care Initiative, approximately 40% of children in the community are undernourished, while 60% of households lack access to sufficient nutritious food. There is an urgent need for nutritional support to prevent further deterioration of health conditions particularly among the most risk populations. High rates of stunting, wasting, and micronutrient deficiencies persist despite continuous efforts to treat them. These issues include restricted access to nutrient-dense diets, insufficient healthcare facilities, cultural attitudes, and financial limitations. In addition to harming personal growth and well-being, these dietary issues also impede community expansion and economic output. Developing successful interventions to improve nutritional outcomes in the area requires a thorough understanding of the socioeconomic factors, eating patterns, and accessibility of health services in the area.</w:t>
      </w:r>
    </w:p>
    <w:p w14:paraId="7A9AA279">
      <w:pPr>
        <w:pBdr>
          <w:top w:val="single" w:color="auto" w:sz="4" w:space="1"/>
          <w:left w:val="single" w:color="auto" w:sz="4" w:space="4"/>
          <w:bottom w:val="single" w:color="auto" w:sz="4" w:space="1"/>
          <w:right w:val="single" w:color="auto" w:sz="4" w:space="4"/>
        </w:pBdr>
        <w:shd w:val="clear" w:color="auto" w:fill="8EAADB" w:themeFill="accent1" w:themeFillTint="99"/>
        <w:spacing w:after="0" w:line="276" w:lineRule="auto"/>
        <w:jc w:val="both"/>
        <w:rPr>
          <w:rFonts w:ascii="Times New Roman" w:hAnsi="Times New Roman" w:cs="Times New Roman"/>
          <w:b/>
          <w:bCs/>
          <w:sz w:val="24"/>
          <w:szCs w:val="24"/>
        </w:rPr>
      </w:pPr>
      <w:r>
        <w:rPr>
          <w:rFonts w:ascii="Times New Roman" w:hAnsi="Times New Roman" w:cs="Times New Roman"/>
          <w:b/>
          <w:bCs/>
        </w:rPr>
        <w:t>3</w:t>
      </w:r>
      <w:r>
        <w:rPr>
          <w:rFonts w:ascii="Times New Roman" w:hAnsi="Times New Roman" w:cs="Times New Roman"/>
          <w:b/>
          <w:bCs/>
          <w:sz w:val="24"/>
          <w:szCs w:val="24"/>
        </w:rPr>
        <w:t>.0 Justification:</w:t>
      </w:r>
    </w:p>
    <w:p w14:paraId="0C284C66">
      <w:pPr>
        <w:pStyle w:val="11"/>
      </w:pPr>
      <w:r>
        <w:t>Nutrition situation in Lunga, Song LGA has significant public health challenges, especially among children under five years, pregnant and lactating mothers, food-insecure households many several other factors can justify the urgent need for nutrition intervention in Lunga Song LGA Adamawa State.</w:t>
      </w:r>
    </w:p>
    <w:p w14:paraId="489E43C4">
      <w:pPr>
        <w:pStyle w:val="11"/>
        <w:numPr>
          <w:ilvl w:val="0"/>
          <w:numId w:val="1"/>
        </w:numPr>
      </w:pPr>
      <w:r>
        <w:rPr>
          <w:b/>
        </w:rPr>
        <w:t>High malnutrition rate</w:t>
      </w:r>
      <w:r>
        <w:t xml:space="preserve">: Lunga in Song LGA over the year’s experiences high level of stunting and wasting among children under five. Chronic malnutrition effects physical and cognitive development, making these children more susceptible to illness, poor educational performance and reduced productivity. </w:t>
      </w:r>
    </w:p>
    <w:p w14:paraId="423CD56C">
      <w:pPr>
        <w:pStyle w:val="11"/>
        <w:numPr>
          <w:ilvl w:val="0"/>
          <w:numId w:val="1"/>
        </w:numPr>
      </w:pPr>
      <w:r>
        <w:rPr>
          <w:b/>
        </w:rPr>
        <w:t>Micronutrient deficiencies:</w:t>
      </w:r>
      <w:r>
        <w:t xml:space="preserve"> pregnant and lactating mothers in Lunga Song LGA suffered from micronutrient deficiencies, such ads iron deficiency anemia, which increase the risk of maternal mortality, low birth weight and complications during childbirth. Vitamin A deficiency in children further weakens their immunity and increases vulnerability to diseases.</w:t>
      </w:r>
    </w:p>
    <w:p w14:paraId="26D49056">
      <w:pPr>
        <w:pStyle w:val="11"/>
        <w:numPr>
          <w:ilvl w:val="0"/>
          <w:numId w:val="1"/>
        </w:numPr>
      </w:pPr>
      <w:r>
        <w:rPr>
          <w:b/>
        </w:rPr>
        <w:t>Food insecurity:</w:t>
      </w:r>
      <w:r>
        <w:t xml:space="preserve"> Significant portion of households in Lunga community in Song LGA lack consistent access to diverse and nutrient-dense foods. Poverty, communal clash between Fulani and other ethnic groups, resilience on rain-fed agriculture and poor harvest exacerbate food insecurity leading to hunger and malnutrition especially during raining season between June-September every year. </w:t>
      </w:r>
    </w:p>
    <w:p w14:paraId="4FBBD096">
      <w:pPr>
        <w:pStyle w:val="11"/>
        <w:numPr>
          <w:ilvl w:val="0"/>
          <w:numId w:val="1"/>
        </w:numPr>
      </w:pPr>
      <w:r>
        <w:rPr>
          <w:b/>
        </w:rPr>
        <w:t>Vulnerability to climate change:</w:t>
      </w:r>
      <w:r>
        <w:t xml:space="preserve"> Lunga community is prone to climate change-related challenges, such as flooding and drought, which reduce agricultural productivity, and this can lead to limited access to food and worsens the situation in Lunga community in Song LGA. </w:t>
      </w:r>
    </w:p>
    <w:p w14:paraId="0E3B80BA">
      <w:pPr>
        <w:pStyle w:val="11"/>
        <w:numPr>
          <w:ilvl w:val="0"/>
          <w:numId w:val="1"/>
        </w:numPr>
      </w:pPr>
      <w:r>
        <w:rPr>
          <w:b/>
        </w:rPr>
        <w:t>Weak health infrastructure:</w:t>
      </w:r>
      <w:r>
        <w:t xml:space="preserve"> The local health system in Song LGA is not adequately enough and equipped to handle the scale of malnutrition. The shortage of therapeutic food supplies, nutritional supplements and trained health workers to provide nutrition services and early detection of nutrition. </w:t>
      </w:r>
    </w:p>
    <w:p w14:paraId="0FA77F31">
      <w:pPr>
        <w:pStyle w:val="11"/>
        <w:numPr>
          <w:ilvl w:val="0"/>
          <w:numId w:val="1"/>
        </w:numPr>
      </w:pPr>
      <w:r>
        <w:rPr>
          <w:b/>
        </w:rPr>
        <w:t>Lack of nutrition awareness:</w:t>
      </w:r>
      <w:r>
        <w:t xml:space="preserve"> Many other communities in Song LGA lack proper knowledge on balance diets, breastfeeding, complementary feeding practices and affordable sources of essential nutrients and this result to poor feeding practices especially among children and pregnant mothers.  </w:t>
      </w:r>
    </w:p>
    <w:p w14:paraId="557C3CD3">
      <w:pPr>
        <w:pBdr>
          <w:top w:val="single" w:color="auto" w:sz="4" w:space="1"/>
          <w:left w:val="single" w:color="auto" w:sz="4" w:space="4"/>
          <w:bottom w:val="single" w:color="auto" w:sz="4" w:space="1"/>
          <w:right w:val="single" w:color="auto" w:sz="4" w:space="4"/>
        </w:pBdr>
        <w:shd w:val="clear" w:color="auto" w:fill="8EAADB" w:themeFill="accent1" w:themeFillTint="99"/>
        <w:spacing w:line="276" w:lineRule="auto"/>
        <w:jc w:val="both"/>
        <w:rPr>
          <w:rFonts w:ascii="Times New Roman" w:hAnsi="Times New Roman" w:cs="Times New Roman"/>
          <w:b/>
        </w:rPr>
      </w:pPr>
      <w:r>
        <w:rPr>
          <w:rFonts w:ascii="Times New Roman" w:hAnsi="Times New Roman" w:cs="Times New Roman"/>
          <w:b/>
        </w:rPr>
        <w:t xml:space="preserve">4.0 </w:t>
      </w:r>
      <w:r>
        <w:rPr>
          <w:rFonts w:ascii="Times New Roman" w:hAnsi="Times New Roman" w:cs="Times New Roman"/>
          <w:b/>
          <w:sz w:val="24"/>
        </w:rPr>
        <w:t>Goal:</w:t>
      </w:r>
    </w:p>
    <w:p w14:paraId="78934A82">
      <w:pPr>
        <w:tabs>
          <w:tab w:val="left" w:pos="2835"/>
        </w:tabs>
        <w:spacing w:line="276" w:lineRule="auto"/>
        <w:rPr>
          <w:rFonts w:ascii="Times New Roman" w:hAnsi="Times New Roman" w:cs="Times New Roman"/>
          <w:sz w:val="24"/>
        </w:rPr>
      </w:pPr>
      <w:r>
        <w:rPr>
          <w:rFonts w:ascii="Times New Roman" w:hAnsi="Times New Roman" w:cs="Times New Roman"/>
          <w:bCs/>
        </w:rPr>
        <w:t xml:space="preserve">To improve the nutritional status of vulnerable children, pregnant and lactating women and food insecure households in Lunga, Song LGA. </w:t>
      </w:r>
    </w:p>
    <w:p w14:paraId="42E2C7DF">
      <w:pPr>
        <w:spacing w:line="276" w:lineRule="auto"/>
        <w:rPr>
          <w:rFonts w:ascii="Times New Roman" w:hAnsi="Times New Roman" w:cs="Times New Roman"/>
          <w:sz w:val="24"/>
        </w:rPr>
      </w:pPr>
      <w:r>
        <w:rPr>
          <w:rFonts w:ascii="Times New Roman" w:hAnsi="Times New Roman" w:cs="Times New Roman"/>
          <w:sz w:val="24"/>
        </w:rPr>
        <w:t>The overall specific objective of the EL-Ezhar Care Initiative (ECI) proposed project is to:</w:t>
      </w:r>
    </w:p>
    <w:p w14:paraId="650B3BB0">
      <w:pPr>
        <w:pStyle w:val="14"/>
        <w:numPr>
          <w:ilvl w:val="0"/>
          <w:numId w:val="2"/>
        </w:numPr>
        <w:tabs>
          <w:tab w:val="left" w:pos="2835"/>
        </w:tabs>
        <w:spacing w:line="276" w:lineRule="auto"/>
        <w:rPr>
          <w:rFonts w:ascii="Times New Roman" w:hAnsi="Times New Roman" w:cs="Times New Roman"/>
          <w:sz w:val="24"/>
        </w:rPr>
      </w:pPr>
      <w:r>
        <w:rPr>
          <w:rFonts w:ascii="Times New Roman" w:hAnsi="Times New Roman" w:cs="Times New Roman"/>
          <w:bCs/>
          <w:sz w:val="24"/>
        </w:rPr>
        <w:t>To reduce the prevalence of malnutrition among children under five by 30% within the 12 months</w:t>
      </w:r>
    </w:p>
    <w:p w14:paraId="5458A7D2">
      <w:pPr>
        <w:pStyle w:val="14"/>
        <w:numPr>
          <w:ilvl w:val="0"/>
          <w:numId w:val="2"/>
        </w:numPr>
        <w:tabs>
          <w:tab w:val="left" w:pos="2835"/>
        </w:tabs>
        <w:spacing w:line="276" w:lineRule="auto"/>
        <w:rPr>
          <w:rFonts w:ascii="Times New Roman" w:hAnsi="Times New Roman" w:cs="Times New Roman"/>
          <w:sz w:val="24"/>
        </w:rPr>
      </w:pPr>
      <w:r>
        <w:rPr>
          <w:rFonts w:ascii="Times New Roman" w:hAnsi="Times New Roman" w:cs="Times New Roman"/>
          <w:bCs/>
          <w:sz w:val="24"/>
        </w:rPr>
        <w:t xml:space="preserve">To provide nutrition education to over 1200 households on sustainable food practices and health diets. </w:t>
      </w:r>
    </w:p>
    <w:p w14:paraId="29EEE7A1">
      <w:pPr>
        <w:pStyle w:val="14"/>
        <w:numPr>
          <w:ilvl w:val="0"/>
          <w:numId w:val="2"/>
        </w:numPr>
        <w:tabs>
          <w:tab w:val="left" w:pos="2835"/>
        </w:tabs>
        <w:spacing w:line="276" w:lineRule="auto"/>
        <w:rPr>
          <w:rFonts w:ascii="Times New Roman" w:hAnsi="Times New Roman" w:cs="Times New Roman"/>
          <w:sz w:val="24"/>
        </w:rPr>
      </w:pPr>
      <w:r>
        <w:rPr>
          <w:rFonts w:ascii="Times New Roman" w:hAnsi="Times New Roman" w:cs="Times New Roman"/>
          <w:bCs/>
          <w:sz w:val="24"/>
        </w:rPr>
        <w:t>To strengthen local food system through the promotion of backyard gardening and small-scale agriculture.</w:t>
      </w:r>
    </w:p>
    <w:p w14:paraId="7A94CF00">
      <w:pPr>
        <w:pStyle w:val="14"/>
        <w:numPr>
          <w:ilvl w:val="0"/>
          <w:numId w:val="2"/>
        </w:numPr>
        <w:tabs>
          <w:tab w:val="left" w:pos="2835"/>
        </w:tabs>
        <w:spacing w:line="276" w:lineRule="auto"/>
        <w:rPr>
          <w:rFonts w:ascii="Times New Roman" w:hAnsi="Times New Roman" w:cs="Times New Roman"/>
          <w:sz w:val="24"/>
        </w:rPr>
      </w:pPr>
      <w:r>
        <w:rPr>
          <w:rFonts w:ascii="Times New Roman" w:hAnsi="Times New Roman" w:cs="Times New Roman"/>
          <w:bCs/>
          <w:sz w:val="24"/>
        </w:rPr>
        <w:t xml:space="preserve">To improve access to micronutrient-rich foods for 250 pregnant and lactating women. </w:t>
      </w:r>
    </w:p>
    <w:p w14:paraId="7D077740">
      <w:pPr>
        <w:pBdr>
          <w:top w:val="single" w:color="auto" w:sz="4" w:space="1"/>
          <w:left w:val="single" w:color="auto" w:sz="4" w:space="4"/>
          <w:bottom w:val="single" w:color="auto" w:sz="4" w:space="1"/>
          <w:right w:val="single" w:color="auto" w:sz="4" w:space="4"/>
          <w:between w:val="single" w:color="auto" w:sz="4" w:space="1"/>
        </w:pBdr>
        <w:shd w:val="clear" w:color="auto" w:fill="8EAADB" w:themeFill="accent1" w:themeFillTint="99"/>
        <w:spacing w:line="276" w:lineRule="auto"/>
        <w:jc w:val="both"/>
        <w:rPr>
          <w:rFonts w:ascii="Times New Roman" w:hAnsi="Times New Roman" w:cs="Times New Roman"/>
          <w:b/>
          <w:sz w:val="24"/>
        </w:rPr>
      </w:pPr>
      <w:r>
        <w:rPr>
          <w:rFonts w:ascii="Times New Roman" w:hAnsi="Times New Roman" w:cs="Times New Roman"/>
          <w:b/>
          <w:sz w:val="24"/>
        </w:rPr>
        <w:t>5.0 Beneficiaries:</w:t>
      </w:r>
    </w:p>
    <w:p w14:paraId="3211CDB9">
      <w:pPr>
        <w:pStyle w:val="14"/>
        <w:numPr>
          <w:ilvl w:val="0"/>
          <w:numId w:val="3"/>
        </w:num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 xml:space="preserve">Direct beneficiaries: </w:t>
      </w:r>
    </w:p>
    <w:p w14:paraId="700DF1D2">
      <w:pPr>
        <w:pStyle w:val="14"/>
        <w:numPr>
          <w:ilvl w:val="0"/>
          <w:numId w:val="4"/>
        </w:numPr>
        <w:spacing w:after="0" w:line="276" w:lineRule="auto"/>
        <w:rPr>
          <w:rFonts w:ascii="Times New Roman" w:hAnsi="Times New Roman" w:eastAsia="Times New Roman" w:cs="Times New Roman"/>
          <w:b/>
          <w:sz w:val="24"/>
        </w:rPr>
      </w:pPr>
      <w:r>
        <w:rPr>
          <w:rFonts w:ascii="Times New Roman" w:hAnsi="Times New Roman" w:eastAsia="Times New Roman" w:cs="Times New Roman"/>
          <w:sz w:val="24"/>
        </w:rPr>
        <w:t xml:space="preserve">children under five years old and </w:t>
      </w:r>
    </w:p>
    <w:p w14:paraId="6202E74B">
      <w:pPr>
        <w:pStyle w:val="14"/>
        <w:numPr>
          <w:ilvl w:val="0"/>
          <w:numId w:val="4"/>
        </w:numPr>
        <w:spacing w:after="0" w:line="276" w:lineRule="auto"/>
        <w:rPr>
          <w:rFonts w:ascii="Times New Roman" w:hAnsi="Times New Roman" w:eastAsia="Times New Roman" w:cs="Times New Roman"/>
          <w:b/>
          <w:sz w:val="24"/>
        </w:rPr>
      </w:pPr>
      <w:r>
        <w:rPr>
          <w:rFonts w:ascii="Times New Roman" w:hAnsi="Times New Roman" w:eastAsia="Times New Roman" w:cs="Times New Roman"/>
          <w:sz w:val="24"/>
        </w:rPr>
        <w:t xml:space="preserve">pregnant and lactating mothers </w:t>
      </w:r>
    </w:p>
    <w:p w14:paraId="24701891">
      <w:pPr>
        <w:pStyle w:val="14"/>
        <w:numPr>
          <w:ilvl w:val="0"/>
          <w:numId w:val="4"/>
        </w:numPr>
        <w:spacing w:after="0" w:line="276" w:lineRule="auto"/>
        <w:rPr>
          <w:rFonts w:ascii="Times New Roman" w:hAnsi="Times New Roman" w:eastAsia="Times New Roman" w:cs="Times New Roman"/>
          <w:b/>
          <w:sz w:val="24"/>
        </w:rPr>
      </w:pPr>
      <w:r>
        <w:rPr>
          <w:rFonts w:ascii="Times New Roman" w:hAnsi="Times New Roman" w:eastAsia="Times New Roman" w:cs="Times New Roman"/>
          <w:sz w:val="24"/>
        </w:rPr>
        <w:t xml:space="preserve">food-insecure households </w:t>
      </w:r>
    </w:p>
    <w:p w14:paraId="7B6B30DD">
      <w:pPr>
        <w:pStyle w:val="14"/>
        <w:numPr>
          <w:ilvl w:val="0"/>
          <w:numId w:val="4"/>
        </w:numPr>
        <w:spacing w:after="0" w:line="276" w:lineRule="auto"/>
        <w:rPr>
          <w:rFonts w:ascii="Times New Roman" w:hAnsi="Times New Roman" w:eastAsia="Times New Roman" w:cs="Times New Roman"/>
          <w:b/>
          <w:sz w:val="24"/>
        </w:rPr>
      </w:pPr>
      <w:r>
        <w:rPr>
          <w:rFonts w:ascii="Times New Roman" w:hAnsi="Times New Roman" w:eastAsia="Times New Roman" w:cs="Times New Roman"/>
          <w:sz w:val="24"/>
        </w:rPr>
        <w:t xml:space="preserve">Community health workers and volunteers involved in the nutrition education and food security programs. </w:t>
      </w:r>
      <w:r>
        <w:rPr>
          <w:rFonts w:ascii="Times New Roman" w:hAnsi="Times New Roman" w:eastAsia="Times New Roman" w:cs="Times New Roman"/>
          <w:b/>
          <w:sz w:val="24"/>
        </w:rPr>
        <w:t xml:space="preserve"> </w:t>
      </w:r>
    </w:p>
    <w:p w14:paraId="5A3E8558">
      <w:pPr>
        <w:pStyle w:val="14"/>
        <w:numPr>
          <w:ilvl w:val="0"/>
          <w:numId w:val="3"/>
        </w:numPr>
        <w:spacing w:after="0" w:line="276" w:lineRule="auto"/>
        <w:rPr>
          <w:rFonts w:ascii="Times New Roman" w:hAnsi="Times New Roman" w:eastAsia="Times New Roman" w:cs="Times New Roman"/>
          <w:sz w:val="24"/>
        </w:rPr>
      </w:pPr>
      <w:r>
        <w:rPr>
          <w:rFonts w:ascii="Times New Roman" w:hAnsi="Times New Roman" w:eastAsia="Times New Roman" w:cs="Times New Roman"/>
          <w:b/>
          <w:sz w:val="24"/>
        </w:rPr>
        <w:t xml:space="preserve">Indirect beneficiaries:  </w:t>
      </w:r>
      <w:r>
        <w:rPr>
          <w:rFonts w:ascii="Times New Roman" w:hAnsi="Times New Roman" w:eastAsia="Times New Roman" w:cs="Times New Roman"/>
          <w:sz w:val="24"/>
        </w:rPr>
        <w:t>Good community members would benefit through improved nutrition education and reduced malnutrition risk.</w:t>
      </w:r>
    </w:p>
    <w:p w14:paraId="5AE0CC38">
      <w:pPr>
        <w:pStyle w:val="14"/>
        <w:numPr>
          <w:ilvl w:val="0"/>
          <w:numId w:val="3"/>
        </w:numPr>
        <w:spacing w:after="0" w:line="276" w:lineRule="auto"/>
        <w:rPr>
          <w:rFonts w:ascii="Times New Roman" w:hAnsi="Times New Roman" w:eastAsia="Times New Roman" w:cs="Times New Roman"/>
        </w:rPr>
      </w:pPr>
      <w:r>
        <w:rPr>
          <w:rFonts w:ascii="Times New Roman" w:hAnsi="Times New Roman" w:eastAsia="Times New Roman" w:cs="Times New Roman"/>
          <w:b/>
          <w:sz w:val="24"/>
        </w:rPr>
        <w:t>Persons with disabilities:</w:t>
      </w:r>
      <w:r>
        <w:rPr>
          <w:rFonts w:ascii="Times New Roman" w:hAnsi="Times New Roman" w:eastAsia="Times New Roman" w:cs="Times New Roman"/>
          <w:sz w:val="24"/>
        </w:rPr>
        <w:t xml:space="preserve"> Persons with disabilities are targeted within the lifecycle of the project</w:t>
      </w:r>
      <w:r>
        <w:rPr>
          <w:rFonts w:ascii="Times New Roman" w:hAnsi="Times New Roman" w:eastAsia="Times New Roman" w:cs="Times New Roman"/>
        </w:rPr>
        <w:t>.</w:t>
      </w:r>
    </w:p>
    <w:p w14:paraId="320061A0">
      <w:pPr>
        <w:pStyle w:val="14"/>
        <w:spacing w:after="0" w:line="276" w:lineRule="auto"/>
        <w:rPr>
          <w:rFonts w:ascii="Times New Roman" w:hAnsi="Times New Roman" w:eastAsia="Times New Roman" w:cs="Times New Roman"/>
          <w:b/>
          <w:sz w:val="24"/>
        </w:rPr>
      </w:pPr>
    </w:p>
    <w:tbl>
      <w:tblPr>
        <w:tblStyle w:val="13"/>
        <w:tblW w:w="10624"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3"/>
        <w:gridCol w:w="2203"/>
        <w:gridCol w:w="1428"/>
        <w:gridCol w:w="1258"/>
        <w:gridCol w:w="1332"/>
        <w:gridCol w:w="1054"/>
        <w:gridCol w:w="6"/>
      </w:tblGrid>
      <w:tr w14:paraId="5713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3" w:type="dxa"/>
            <w:shd w:val="clear" w:color="auto" w:fill="B4C6E7" w:themeFill="accent1" w:themeFillTint="66"/>
          </w:tcPr>
          <w:p w14:paraId="7ACF25D1">
            <w:pPr>
              <w:spacing w:line="276" w:lineRule="auto"/>
              <w:jc w:val="both"/>
              <w:rPr>
                <w:rFonts w:ascii="Times New Roman" w:hAnsi="Times New Roman" w:cs="Times New Roman"/>
                <w:b/>
                <w:bCs/>
                <w:sz w:val="24"/>
              </w:rPr>
            </w:pPr>
            <w:r>
              <w:rPr>
                <w:rFonts w:ascii="Times New Roman" w:hAnsi="Times New Roman" w:cs="Times New Roman"/>
                <w:b/>
                <w:bCs/>
                <w:sz w:val="24"/>
              </w:rPr>
              <w:t>Types of beneficiaries:</w:t>
            </w:r>
          </w:p>
        </w:tc>
        <w:tc>
          <w:tcPr>
            <w:tcW w:w="2203" w:type="dxa"/>
            <w:shd w:val="clear" w:color="auto" w:fill="B4C6E7" w:themeFill="accent1" w:themeFillTint="66"/>
          </w:tcPr>
          <w:p w14:paraId="77EAB9FC">
            <w:pPr>
              <w:spacing w:line="276" w:lineRule="auto"/>
              <w:rPr>
                <w:rFonts w:ascii="Times New Roman" w:hAnsi="Times New Roman" w:cs="Times New Roman"/>
                <w:b/>
                <w:bCs/>
                <w:sz w:val="24"/>
              </w:rPr>
            </w:pPr>
            <w:r>
              <w:rPr>
                <w:rFonts w:ascii="Times New Roman" w:hAnsi="Times New Roman" w:cs="Times New Roman"/>
                <w:b/>
                <w:bCs/>
                <w:sz w:val="24"/>
              </w:rPr>
              <w:t>Children under five</w:t>
            </w:r>
          </w:p>
        </w:tc>
        <w:tc>
          <w:tcPr>
            <w:tcW w:w="1428" w:type="dxa"/>
            <w:shd w:val="clear" w:color="auto" w:fill="B4C6E7" w:themeFill="accent1" w:themeFillTint="66"/>
          </w:tcPr>
          <w:p w14:paraId="02EDEA84">
            <w:pPr>
              <w:spacing w:line="276" w:lineRule="auto"/>
              <w:jc w:val="both"/>
              <w:rPr>
                <w:rFonts w:ascii="Times New Roman" w:hAnsi="Times New Roman" w:cs="Times New Roman"/>
                <w:b/>
                <w:bCs/>
                <w:sz w:val="24"/>
              </w:rPr>
            </w:pPr>
            <w:r>
              <w:rPr>
                <w:rFonts w:ascii="Times New Roman" w:hAnsi="Times New Roman" w:cs="Times New Roman"/>
                <w:b/>
                <w:bCs/>
                <w:sz w:val="24"/>
              </w:rPr>
              <w:t>Pregnant Women</w:t>
            </w:r>
          </w:p>
        </w:tc>
        <w:tc>
          <w:tcPr>
            <w:tcW w:w="1258" w:type="dxa"/>
            <w:shd w:val="clear" w:color="auto" w:fill="B4C6E7" w:themeFill="accent1" w:themeFillTint="66"/>
          </w:tcPr>
          <w:p w14:paraId="7C4A8811">
            <w:pPr>
              <w:spacing w:line="276" w:lineRule="auto"/>
              <w:jc w:val="both"/>
              <w:rPr>
                <w:rFonts w:ascii="Times New Roman" w:hAnsi="Times New Roman" w:cs="Times New Roman"/>
                <w:b/>
                <w:bCs/>
                <w:sz w:val="24"/>
              </w:rPr>
            </w:pPr>
            <w:r>
              <w:rPr>
                <w:rFonts w:ascii="Times New Roman" w:hAnsi="Times New Roman" w:cs="Times New Roman"/>
                <w:b/>
                <w:bCs/>
                <w:sz w:val="24"/>
              </w:rPr>
              <w:t xml:space="preserve">Lactating mothers </w:t>
            </w:r>
          </w:p>
        </w:tc>
        <w:tc>
          <w:tcPr>
            <w:tcW w:w="1332" w:type="dxa"/>
            <w:shd w:val="clear" w:color="auto" w:fill="B4C6E7" w:themeFill="accent1" w:themeFillTint="66"/>
          </w:tcPr>
          <w:p w14:paraId="5252E445">
            <w:pPr>
              <w:spacing w:line="276" w:lineRule="auto"/>
              <w:jc w:val="both"/>
              <w:rPr>
                <w:rFonts w:ascii="Times New Roman" w:hAnsi="Times New Roman" w:cs="Times New Roman"/>
                <w:b/>
                <w:bCs/>
                <w:sz w:val="24"/>
              </w:rPr>
            </w:pPr>
            <w:r>
              <w:rPr>
                <w:rFonts w:ascii="Times New Roman" w:hAnsi="Times New Roman" w:cs="Times New Roman"/>
                <w:b/>
                <w:bCs/>
                <w:sz w:val="24"/>
              </w:rPr>
              <w:t>Food-insecurity HH</w:t>
            </w:r>
          </w:p>
        </w:tc>
        <w:tc>
          <w:tcPr>
            <w:tcW w:w="1060" w:type="dxa"/>
            <w:gridSpan w:val="2"/>
            <w:shd w:val="clear" w:color="auto" w:fill="B4C6E7" w:themeFill="accent1" w:themeFillTint="66"/>
          </w:tcPr>
          <w:p w14:paraId="510C11CB">
            <w:pPr>
              <w:spacing w:line="276" w:lineRule="auto"/>
              <w:jc w:val="both"/>
              <w:rPr>
                <w:rFonts w:ascii="Times New Roman" w:hAnsi="Times New Roman" w:cs="Times New Roman"/>
                <w:b/>
                <w:bCs/>
                <w:sz w:val="24"/>
              </w:rPr>
            </w:pPr>
            <w:r>
              <w:rPr>
                <w:rFonts w:ascii="Times New Roman" w:hAnsi="Times New Roman" w:cs="Times New Roman"/>
                <w:b/>
                <w:bCs/>
                <w:sz w:val="24"/>
              </w:rPr>
              <w:t>Health workers</w:t>
            </w:r>
          </w:p>
        </w:tc>
      </w:tr>
      <w:tr w14:paraId="391C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3" w:type="dxa"/>
          </w:tcPr>
          <w:p w14:paraId="204AD43A">
            <w:pPr>
              <w:spacing w:line="276" w:lineRule="auto"/>
              <w:jc w:val="both"/>
              <w:rPr>
                <w:rFonts w:ascii="Times New Roman" w:hAnsi="Times New Roman" w:cs="Times New Roman"/>
                <w:bCs/>
                <w:sz w:val="24"/>
              </w:rPr>
            </w:pPr>
            <w:r>
              <w:rPr>
                <w:rFonts w:ascii="Times New Roman" w:hAnsi="Times New Roman" w:cs="Times New Roman"/>
                <w:bCs/>
                <w:sz w:val="24"/>
              </w:rPr>
              <w:t>Direct beneficiaries:</w:t>
            </w:r>
          </w:p>
        </w:tc>
        <w:tc>
          <w:tcPr>
            <w:tcW w:w="2203" w:type="dxa"/>
          </w:tcPr>
          <w:p w14:paraId="71BC7701">
            <w:pPr>
              <w:spacing w:line="276" w:lineRule="auto"/>
              <w:jc w:val="both"/>
              <w:rPr>
                <w:rFonts w:ascii="Times New Roman" w:hAnsi="Times New Roman" w:cs="Times New Roman"/>
                <w:bCs/>
                <w:sz w:val="24"/>
              </w:rPr>
            </w:pPr>
            <w:r>
              <w:rPr>
                <w:rFonts w:ascii="Times New Roman" w:hAnsi="Times New Roman" w:cs="Times New Roman"/>
                <w:bCs/>
                <w:sz w:val="24"/>
              </w:rPr>
              <w:t>700</w:t>
            </w:r>
          </w:p>
        </w:tc>
        <w:tc>
          <w:tcPr>
            <w:tcW w:w="1428" w:type="dxa"/>
          </w:tcPr>
          <w:p w14:paraId="662E5B92">
            <w:pPr>
              <w:spacing w:line="276" w:lineRule="auto"/>
              <w:jc w:val="both"/>
              <w:rPr>
                <w:rFonts w:ascii="Times New Roman" w:hAnsi="Times New Roman" w:cs="Times New Roman"/>
                <w:bCs/>
                <w:sz w:val="24"/>
              </w:rPr>
            </w:pPr>
            <w:r>
              <w:rPr>
                <w:rFonts w:ascii="Times New Roman" w:hAnsi="Times New Roman" w:cs="Times New Roman"/>
                <w:bCs/>
                <w:sz w:val="24"/>
              </w:rPr>
              <w:t>250</w:t>
            </w:r>
          </w:p>
        </w:tc>
        <w:tc>
          <w:tcPr>
            <w:tcW w:w="1258" w:type="dxa"/>
          </w:tcPr>
          <w:p w14:paraId="1B7BD3C5">
            <w:pPr>
              <w:spacing w:line="276" w:lineRule="auto"/>
              <w:jc w:val="both"/>
              <w:rPr>
                <w:rFonts w:ascii="Times New Roman" w:hAnsi="Times New Roman" w:cs="Times New Roman"/>
                <w:bCs/>
                <w:sz w:val="24"/>
              </w:rPr>
            </w:pPr>
            <w:r>
              <w:rPr>
                <w:rFonts w:ascii="Times New Roman" w:hAnsi="Times New Roman" w:cs="Times New Roman"/>
                <w:bCs/>
                <w:sz w:val="24"/>
              </w:rPr>
              <w:t>400</w:t>
            </w:r>
          </w:p>
        </w:tc>
        <w:tc>
          <w:tcPr>
            <w:tcW w:w="1332" w:type="dxa"/>
          </w:tcPr>
          <w:p w14:paraId="7877FD56">
            <w:pPr>
              <w:spacing w:line="276" w:lineRule="auto"/>
              <w:jc w:val="both"/>
              <w:rPr>
                <w:rFonts w:ascii="Times New Roman" w:hAnsi="Times New Roman" w:cs="Times New Roman"/>
                <w:bCs/>
                <w:sz w:val="24"/>
              </w:rPr>
            </w:pPr>
            <w:r>
              <w:rPr>
                <w:rFonts w:ascii="Times New Roman" w:hAnsi="Times New Roman" w:cs="Times New Roman"/>
                <w:bCs/>
                <w:sz w:val="24"/>
              </w:rPr>
              <w:t>2,000</w:t>
            </w:r>
          </w:p>
        </w:tc>
        <w:tc>
          <w:tcPr>
            <w:tcW w:w="1060" w:type="dxa"/>
            <w:gridSpan w:val="2"/>
          </w:tcPr>
          <w:p w14:paraId="2E3EC51A">
            <w:pPr>
              <w:spacing w:line="276" w:lineRule="auto"/>
              <w:jc w:val="both"/>
              <w:rPr>
                <w:rFonts w:ascii="Times New Roman" w:hAnsi="Times New Roman" w:cs="Times New Roman"/>
                <w:bCs/>
                <w:sz w:val="24"/>
              </w:rPr>
            </w:pPr>
            <w:r>
              <w:rPr>
                <w:rFonts w:ascii="Times New Roman" w:hAnsi="Times New Roman" w:cs="Times New Roman"/>
                <w:bCs/>
                <w:sz w:val="24"/>
              </w:rPr>
              <w:t>240</w:t>
            </w:r>
          </w:p>
        </w:tc>
      </w:tr>
      <w:tr w14:paraId="592B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3" w:type="dxa"/>
          </w:tcPr>
          <w:p w14:paraId="0E2F92F8">
            <w:pPr>
              <w:spacing w:line="276" w:lineRule="auto"/>
              <w:jc w:val="both"/>
              <w:rPr>
                <w:rFonts w:ascii="Times New Roman" w:hAnsi="Times New Roman" w:cs="Times New Roman"/>
                <w:bCs/>
                <w:sz w:val="24"/>
              </w:rPr>
            </w:pPr>
            <w:r>
              <w:rPr>
                <w:rFonts w:ascii="Times New Roman" w:hAnsi="Times New Roman" w:cs="Times New Roman"/>
                <w:bCs/>
                <w:sz w:val="24"/>
              </w:rPr>
              <w:t>Indirect beneficiaries:</w:t>
            </w:r>
          </w:p>
        </w:tc>
        <w:tc>
          <w:tcPr>
            <w:tcW w:w="2203" w:type="dxa"/>
          </w:tcPr>
          <w:p w14:paraId="5225FFD8">
            <w:pPr>
              <w:spacing w:line="276" w:lineRule="auto"/>
              <w:jc w:val="both"/>
              <w:rPr>
                <w:rFonts w:ascii="Times New Roman" w:hAnsi="Times New Roman" w:cs="Times New Roman"/>
                <w:bCs/>
                <w:sz w:val="24"/>
              </w:rPr>
            </w:pPr>
            <w:r>
              <w:rPr>
                <w:rFonts w:ascii="Times New Roman" w:hAnsi="Times New Roman" w:cs="Times New Roman"/>
                <w:bCs/>
                <w:sz w:val="24"/>
              </w:rPr>
              <w:t>2,200</w:t>
            </w:r>
          </w:p>
        </w:tc>
        <w:tc>
          <w:tcPr>
            <w:tcW w:w="1428" w:type="dxa"/>
          </w:tcPr>
          <w:p w14:paraId="16D4F3D0">
            <w:pPr>
              <w:spacing w:line="276" w:lineRule="auto"/>
              <w:jc w:val="both"/>
              <w:rPr>
                <w:rFonts w:ascii="Times New Roman" w:hAnsi="Times New Roman" w:cs="Times New Roman"/>
                <w:bCs/>
                <w:sz w:val="24"/>
              </w:rPr>
            </w:pPr>
            <w:r>
              <w:rPr>
                <w:rFonts w:ascii="Times New Roman" w:hAnsi="Times New Roman" w:cs="Times New Roman"/>
                <w:bCs/>
                <w:sz w:val="24"/>
              </w:rPr>
              <w:t>400</w:t>
            </w:r>
          </w:p>
        </w:tc>
        <w:tc>
          <w:tcPr>
            <w:tcW w:w="1258" w:type="dxa"/>
          </w:tcPr>
          <w:p w14:paraId="029A2D16">
            <w:pPr>
              <w:spacing w:line="276" w:lineRule="auto"/>
              <w:jc w:val="both"/>
              <w:rPr>
                <w:rFonts w:ascii="Times New Roman" w:hAnsi="Times New Roman" w:cs="Times New Roman"/>
                <w:bCs/>
                <w:sz w:val="24"/>
              </w:rPr>
            </w:pPr>
            <w:r>
              <w:rPr>
                <w:rFonts w:ascii="Times New Roman" w:hAnsi="Times New Roman" w:cs="Times New Roman"/>
                <w:bCs/>
                <w:sz w:val="24"/>
              </w:rPr>
              <w:t>850</w:t>
            </w:r>
          </w:p>
        </w:tc>
        <w:tc>
          <w:tcPr>
            <w:tcW w:w="1332" w:type="dxa"/>
          </w:tcPr>
          <w:p w14:paraId="6FC05325">
            <w:pPr>
              <w:spacing w:line="276" w:lineRule="auto"/>
              <w:jc w:val="both"/>
              <w:rPr>
                <w:rFonts w:ascii="Times New Roman" w:hAnsi="Times New Roman" w:cs="Times New Roman"/>
                <w:bCs/>
                <w:sz w:val="24"/>
              </w:rPr>
            </w:pPr>
            <w:r>
              <w:rPr>
                <w:rFonts w:ascii="Times New Roman" w:hAnsi="Times New Roman" w:cs="Times New Roman"/>
                <w:bCs/>
                <w:sz w:val="24"/>
              </w:rPr>
              <w:t>4,000</w:t>
            </w:r>
          </w:p>
        </w:tc>
        <w:tc>
          <w:tcPr>
            <w:tcW w:w="1060" w:type="dxa"/>
            <w:gridSpan w:val="2"/>
          </w:tcPr>
          <w:p w14:paraId="4042AE73">
            <w:pPr>
              <w:spacing w:line="276" w:lineRule="auto"/>
              <w:jc w:val="both"/>
              <w:rPr>
                <w:rFonts w:ascii="Times New Roman" w:hAnsi="Times New Roman" w:cs="Times New Roman"/>
                <w:bCs/>
                <w:sz w:val="24"/>
              </w:rPr>
            </w:pPr>
          </w:p>
        </w:tc>
      </w:tr>
      <w:tr w14:paraId="6B30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3343" w:type="dxa"/>
          </w:tcPr>
          <w:p w14:paraId="6E3CEFD8">
            <w:pPr>
              <w:spacing w:line="276" w:lineRule="auto"/>
              <w:jc w:val="both"/>
              <w:rPr>
                <w:rFonts w:ascii="Times New Roman" w:hAnsi="Times New Roman" w:cs="Times New Roman"/>
                <w:bCs/>
                <w:sz w:val="24"/>
              </w:rPr>
            </w:pPr>
            <w:r>
              <w:rPr>
                <w:rFonts w:ascii="Times New Roman" w:hAnsi="Times New Roman" w:cs="Times New Roman"/>
                <w:bCs/>
                <w:sz w:val="24"/>
              </w:rPr>
              <w:t>Persons with disabilities:</w:t>
            </w:r>
          </w:p>
        </w:tc>
        <w:tc>
          <w:tcPr>
            <w:tcW w:w="7275" w:type="dxa"/>
            <w:gridSpan w:val="5"/>
            <w:tcBorders>
              <w:top w:val="nil"/>
              <w:bottom w:val="nil"/>
            </w:tcBorders>
          </w:tcPr>
          <w:p w14:paraId="5B8FB3C0">
            <w:pPr>
              <w:spacing w:after="0" w:line="240" w:lineRule="auto"/>
            </w:pPr>
            <w:r>
              <w:t xml:space="preserve">                                                                                                                                      50</w:t>
            </w:r>
          </w:p>
        </w:tc>
      </w:tr>
      <w:tr w14:paraId="74F8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24" w:type="dxa"/>
            <w:gridSpan w:val="7"/>
            <w:shd w:val="clear" w:color="auto" w:fill="D8D8D8" w:themeFill="background1" w:themeFillShade="D9"/>
          </w:tcPr>
          <w:p w14:paraId="3651A376">
            <w:pPr>
              <w:spacing w:line="276" w:lineRule="auto"/>
              <w:jc w:val="both"/>
              <w:rPr>
                <w:rFonts w:ascii="Times New Roman" w:hAnsi="Times New Roman" w:cs="Times New Roman"/>
                <w:bCs/>
                <w:sz w:val="24"/>
              </w:rPr>
            </w:pPr>
            <w:r>
              <w:rPr>
                <w:rFonts w:ascii="Times New Roman" w:hAnsi="Times New Roman" w:cs="Times New Roman"/>
                <w:bCs/>
                <w:sz w:val="24"/>
              </w:rPr>
              <w:t xml:space="preserve">Total beneficiaries:                                                                                                                                           11090      </w:t>
            </w:r>
          </w:p>
        </w:tc>
      </w:tr>
    </w:tbl>
    <w:p w14:paraId="40CB78F3">
      <w:pPr>
        <w:tabs>
          <w:tab w:val="left" w:pos="2835"/>
        </w:tabs>
        <w:spacing w:line="276" w:lineRule="auto"/>
        <w:rPr>
          <w:rFonts w:ascii="Times New Roman" w:hAnsi="Times New Roman" w:cs="Times New Roman"/>
          <w:sz w:val="24"/>
        </w:rPr>
      </w:pPr>
    </w:p>
    <w:p w14:paraId="5EDC8588">
      <w:pPr>
        <w:pStyle w:val="14"/>
        <w:numPr>
          <w:ilvl w:val="0"/>
          <w:numId w:val="5"/>
        </w:numPr>
        <w:pBdr>
          <w:top w:val="single" w:color="auto" w:sz="4" w:space="1"/>
          <w:left w:val="single" w:color="auto" w:sz="4" w:space="4"/>
          <w:bottom w:val="single" w:color="auto" w:sz="4" w:space="1"/>
          <w:right w:val="single" w:color="auto" w:sz="4" w:space="4"/>
          <w:between w:val="single" w:color="auto" w:sz="4" w:space="1"/>
        </w:pBdr>
        <w:shd w:val="clear" w:color="auto" w:fill="8EAADB" w:themeFill="accent1" w:themeFillTint="99"/>
        <w:spacing w:line="276" w:lineRule="auto"/>
        <w:jc w:val="both"/>
        <w:rPr>
          <w:rFonts w:ascii="Times New Roman" w:hAnsi="Times New Roman" w:cs="Times New Roman"/>
          <w:b/>
          <w:sz w:val="24"/>
        </w:rPr>
      </w:pPr>
      <w:r>
        <w:rPr>
          <w:rFonts w:ascii="Times New Roman" w:hAnsi="Times New Roman" w:cs="Times New Roman"/>
          <w:b/>
          <w:sz w:val="24"/>
        </w:rPr>
        <w:t>Proposed Activities:</w:t>
      </w:r>
    </w:p>
    <w:p w14:paraId="4F380B7E">
      <w:pPr>
        <w:pStyle w:val="14"/>
        <w:tabs>
          <w:tab w:val="left" w:pos="2835"/>
        </w:tabs>
        <w:spacing w:line="276" w:lineRule="auto"/>
        <w:rPr>
          <w:rFonts w:ascii="Times New Roman" w:hAnsi="Times New Roman" w:cs="Times New Roman"/>
          <w:b/>
          <w:bCs/>
          <w:sz w:val="24"/>
          <w:szCs w:val="24"/>
        </w:rPr>
      </w:pPr>
    </w:p>
    <w:p w14:paraId="0EBAC7FB">
      <w:pPr>
        <w:pStyle w:val="14"/>
        <w:numPr>
          <w:ilvl w:val="0"/>
          <w:numId w:val="6"/>
        </w:numPr>
        <w:tabs>
          <w:tab w:val="left" w:pos="2835"/>
        </w:tabs>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Activity 5.1 Community entry at project locations: </w:t>
      </w:r>
      <w:r>
        <w:rPr>
          <w:rFonts w:ascii="Times New Roman" w:hAnsi="Times New Roman" w:cs="Times New Roman"/>
          <w:sz w:val="24"/>
          <w:szCs w:val="24"/>
        </w:rPr>
        <w:t xml:space="preserve">Community engagement, collaboration and interaction with stakeholders to establish relationships, build trust and understand community context. </w:t>
      </w:r>
    </w:p>
    <w:p w14:paraId="2F1CA7F5">
      <w:pPr>
        <w:pStyle w:val="14"/>
        <w:numPr>
          <w:ilvl w:val="0"/>
          <w:numId w:val="6"/>
        </w:numPr>
        <w:tabs>
          <w:tab w:val="left" w:pos="2835"/>
        </w:tabs>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Activity 5.2 </w:t>
      </w:r>
      <w:r>
        <w:rPr>
          <w:rFonts w:ascii="Times New Roman" w:hAnsi="Times New Roman" w:cs="Times New Roman"/>
          <w:b/>
          <w:bCs/>
          <w:sz w:val="24"/>
          <w:szCs w:val="24"/>
          <w:lang w:val="en-GB"/>
        </w:rPr>
        <w:t>On-boarding</w:t>
      </w:r>
      <w:r>
        <w:rPr>
          <w:rFonts w:ascii="Times New Roman" w:hAnsi="Times New Roman" w:cs="Times New Roman"/>
          <w:b/>
          <w:bCs/>
          <w:sz w:val="24"/>
          <w:szCs w:val="24"/>
        </w:rPr>
        <w:t xml:space="preserve">/orientation of new staff: </w:t>
      </w:r>
      <w:r>
        <w:rPr>
          <w:rFonts w:ascii="Times New Roman" w:hAnsi="Times New Roman" w:cs="Times New Roman"/>
          <w:bCs/>
          <w:sz w:val="24"/>
          <w:szCs w:val="24"/>
        </w:rPr>
        <w:t>Session to introduce and welcome the new staff, and introduce the staff to project goals and objective</w:t>
      </w:r>
      <w:r>
        <w:rPr>
          <w:rFonts w:ascii="Times New Roman" w:hAnsi="Times New Roman" w:cs="Times New Roman"/>
          <w:b/>
          <w:bCs/>
          <w:sz w:val="24"/>
          <w:szCs w:val="24"/>
        </w:rPr>
        <w:t xml:space="preserve">. </w:t>
      </w:r>
    </w:p>
    <w:p w14:paraId="23686D8D">
      <w:pPr>
        <w:pStyle w:val="14"/>
        <w:numPr>
          <w:ilvl w:val="0"/>
          <w:numId w:val="6"/>
        </w:numPr>
        <w:tabs>
          <w:tab w:val="left" w:pos="2835"/>
        </w:tabs>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Activity 5.3 Capacity building of health workers and volunteers: </w:t>
      </w:r>
    </w:p>
    <w:p w14:paraId="35B8DBBC">
      <w:pPr>
        <w:pStyle w:val="14"/>
        <w:numPr>
          <w:ilvl w:val="0"/>
          <w:numId w:val="7"/>
        </w:numPr>
        <w:tabs>
          <w:tab w:val="left" w:pos="2835"/>
        </w:tabs>
        <w:spacing w:line="276" w:lineRule="auto"/>
        <w:rPr>
          <w:rFonts w:ascii="Times New Roman" w:hAnsi="Times New Roman" w:cs="Times New Roman"/>
          <w:bCs/>
          <w:sz w:val="24"/>
          <w:szCs w:val="24"/>
        </w:rPr>
      </w:pPr>
      <w:r>
        <w:rPr>
          <w:rFonts w:ascii="Times New Roman" w:hAnsi="Times New Roman" w:cs="Times New Roman"/>
          <w:b/>
          <w:bCs/>
          <w:sz w:val="24"/>
          <w:szCs w:val="24"/>
        </w:rPr>
        <w:t xml:space="preserve">Activity 5.3.1 </w:t>
      </w:r>
      <w:r>
        <w:rPr>
          <w:rFonts w:ascii="Times New Roman" w:hAnsi="Times New Roman" w:cs="Times New Roman"/>
          <w:bCs/>
          <w:sz w:val="24"/>
          <w:szCs w:val="24"/>
        </w:rPr>
        <w:t>Organize training and workshops for local health workers and community volunteers on nutrition assessment, counseling and management of acute malnutrition.</w:t>
      </w:r>
    </w:p>
    <w:p w14:paraId="268F5148">
      <w:pPr>
        <w:pStyle w:val="14"/>
        <w:numPr>
          <w:ilvl w:val="0"/>
          <w:numId w:val="7"/>
        </w:numPr>
        <w:tabs>
          <w:tab w:val="left" w:pos="2835"/>
        </w:tabs>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Activity 5.3.2 </w:t>
      </w:r>
      <w:r>
        <w:rPr>
          <w:rFonts w:ascii="Times New Roman" w:hAnsi="Times New Roman" w:cs="Times New Roman"/>
          <w:bCs/>
          <w:sz w:val="24"/>
          <w:szCs w:val="24"/>
        </w:rPr>
        <w:t>Equip health workers with tools, such as growth monitoring charts, MUAC tapes and nutritional supplements to enhance their ability to manage malnutrition cases.</w:t>
      </w:r>
      <w:r>
        <w:rPr>
          <w:rFonts w:ascii="Times New Roman" w:hAnsi="Times New Roman" w:cs="Times New Roman"/>
          <w:b/>
          <w:bCs/>
          <w:sz w:val="24"/>
          <w:szCs w:val="24"/>
        </w:rPr>
        <w:t xml:space="preserve"> </w:t>
      </w:r>
    </w:p>
    <w:p w14:paraId="309D0E9F">
      <w:pPr>
        <w:pStyle w:val="14"/>
        <w:numPr>
          <w:ilvl w:val="0"/>
          <w:numId w:val="7"/>
        </w:numPr>
        <w:tabs>
          <w:tab w:val="left" w:pos="2835"/>
        </w:tabs>
        <w:spacing w:line="276" w:lineRule="auto"/>
        <w:rPr>
          <w:rFonts w:ascii="Times New Roman" w:hAnsi="Times New Roman" w:cs="Times New Roman"/>
          <w:bCs/>
          <w:sz w:val="24"/>
          <w:szCs w:val="24"/>
        </w:rPr>
      </w:pPr>
      <w:r>
        <w:rPr>
          <w:rFonts w:ascii="Times New Roman" w:hAnsi="Times New Roman" w:cs="Times New Roman"/>
          <w:b/>
          <w:bCs/>
          <w:sz w:val="24"/>
          <w:szCs w:val="24"/>
        </w:rPr>
        <w:t xml:space="preserve">Activity 5.3.3 </w:t>
      </w:r>
      <w:r>
        <w:rPr>
          <w:rFonts w:ascii="Times New Roman" w:hAnsi="Times New Roman" w:cs="Times New Roman"/>
          <w:bCs/>
          <w:sz w:val="24"/>
          <w:szCs w:val="24"/>
        </w:rPr>
        <w:t xml:space="preserve">Organize regular capacity building workshop and refreshers session training for project staff. </w:t>
      </w:r>
    </w:p>
    <w:p w14:paraId="63B4F225">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5.4 Community-based nutrition screening: </w:t>
      </w:r>
    </w:p>
    <w:p w14:paraId="4773F843">
      <w:pPr>
        <w:pStyle w:val="14"/>
        <w:numPr>
          <w:ilvl w:val="0"/>
          <w:numId w:val="9"/>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5.4.1 </w:t>
      </w:r>
      <w:r>
        <w:rPr>
          <w:rFonts w:ascii="Times New Roman" w:hAnsi="Times New Roman" w:cs="Times New Roman"/>
          <w:sz w:val="24"/>
          <w:szCs w:val="24"/>
        </w:rPr>
        <w:t>Organize community outreach sessions to screen children under five with malnutrition using MUAC (mid-upper Arm Circumference) tapes and weight for height measurements</w:t>
      </w:r>
      <w:r>
        <w:rPr>
          <w:rFonts w:ascii="Times New Roman" w:hAnsi="Times New Roman" w:cs="Times New Roman"/>
          <w:b/>
          <w:sz w:val="24"/>
          <w:szCs w:val="24"/>
        </w:rPr>
        <w:t xml:space="preserve">. </w:t>
      </w:r>
    </w:p>
    <w:p w14:paraId="2DFEE004">
      <w:pPr>
        <w:pStyle w:val="14"/>
        <w:numPr>
          <w:ilvl w:val="0"/>
          <w:numId w:val="9"/>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5.4.2 </w:t>
      </w:r>
      <w:r>
        <w:rPr>
          <w:rFonts w:ascii="Times New Roman" w:hAnsi="Times New Roman" w:cs="Times New Roman"/>
          <w:sz w:val="24"/>
          <w:szCs w:val="24"/>
        </w:rPr>
        <w:t xml:space="preserve">Conduct screening for pregnant and lactating mothers to identify cases of anemia and other </w:t>
      </w:r>
      <w:r>
        <w:rPr>
          <w:rFonts w:ascii="Times New Roman" w:hAnsi="Times New Roman" w:cs="Times New Roman"/>
          <w:sz w:val="24"/>
          <w:szCs w:val="24"/>
          <w:lang w:val="en-GB"/>
        </w:rPr>
        <w:t>micro-nutrient</w:t>
      </w:r>
      <w:r>
        <w:rPr>
          <w:rFonts w:ascii="Times New Roman" w:hAnsi="Times New Roman" w:cs="Times New Roman"/>
          <w:sz w:val="24"/>
          <w:szCs w:val="24"/>
        </w:rPr>
        <w:t xml:space="preserve"> deficiencies. </w:t>
      </w:r>
    </w:p>
    <w:p w14:paraId="4807B9F4">
      <w:pPr>
        <w:pStyle w:val="14"/>
        <w:numPr>
          <w:ilvl w:val="0"/>
          <w:numId w:val="9"/>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5.4.3 </w:t>
      </w:r>
      <w:r>
        <w:rPr>
          <w:rFonts w:ascii="Times New Roman" w:hAnsi="Times New Roman" w:cs="Times New Roman"/>
          <w:sz w:val="24"/>
          <w:szCs w:val="24"/>
        </w:rPr>
        <w:t>Establish a referral system for severe cases that need advance care in the health facilities.</w:t>
      </w:r>
      <w:r>
        <w:rPr>
          <w:rFonts w:ascii="Times New Roman" w:hAnsi="Times New Roman" w:cs="Times New Roman"/>
          <w:b/>
          <w:sz w:val="24"/>
          <w:szCs w:val="24"/>
        </w:rPr>
        <w:t xml:space="preserve"> </w:t>
      </w:r>
    </w:p>
    <w:p w14:paraId="26EDD2B7">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5.5. Distribution of therapeutic foods and supplements: </w:t>
      </w:r>
    </w:p>
    <w:p w14:paraId="487FA9D6">
      <w:pPr>
        <w:pStyle w:val="14"/>
        <w:numPr>
          <w:ilvl w:val="0"/>
          <w:numId w:val="10"/>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5.5.1 </w:t>
      </w:r>
      <w:r>
        <w:rPr>
          <w:rFonts w:ascii="Times New Roman" w:hAnsi="Times New Roman" w:cs="Times New Roman"/>
          <w:sz w:val="24"/>
          <w:szCs w:val="24"/>
        </w:rPr>
        <w:t>Procure and distribution of ready-to-use therapeutic foods such as Tom brown for malnourished children under five or those diagnosed with severe acute malnutrition (SAM)</w:t>
      </w:r>
    </w:p>
    <w:p w14:paraId="213D1C73">
      <w:pPr>
        <w:pStyle w:val="14"/>
        <w:numPr>
          <w:ilvl w:val="0"/>
          <w:numId w:val="10"/>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5.5.2 </w:t>
      </w:r>
      <w:r>
        <w:rPr>
          <w:rFonts w:ascii="Times New Roman" w:hAnsi="Times New Roman" w:cs="Times New Roman"/>
          <w:sz w:val="24"/>
          <w:szCs w:val="24"/>
        </w:rPr>
        <w:t>Provide vitamin A supplements to children aged 6-59 months and iron/folic acid tablets to pregnant and lactating mothers.</w:t>
      </w:r>
      <w:r>
        <w:rPr>
          <w:rFonts w:ascii="Times New Roman" w:hAnsi="Times New Roman" w:cs="Times New Roman"/>
          <w:b/>
          <w:sz w:val="24"/>
          <w:szCs w:val="24"/>
        </w:rPr>
        <w:t xml:space="preserve"> </w:t>
      </w:r>
    </w:p>
    <w:p w14:paraId="064CBF7D">
      <w:pPr>
        <w:pStyle w:val="14"/>
        <w:numPr>
          <w:ilvl w:val="0"/>
          <w:numId w:val="10"/>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5.5.3 </w:t>
      </w:r>
      <w:r>
        <w:rPr>
          <w:rFonts w:ascii="Times New Roman" w:hAnsi="Times New Roman" w:cs="Times New Roman"/>
          <w:sz w:val="24"/>
          <w:szCs w:val="24"/>
        </w:rPr>
        <w:t xml:space="preserve">Establish distribution points at health facilities and within communities to easy access to nutrition supplements. </w:t>
      </w:r>
    </w:p>
    <w:p w14:paraId="1D2FDA95">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5.6 Nutrition education and awareness campaigns: </w:t>
      </w:r>
    </w:p>
    <w:p w14:paraId="23E19AAF">
      <w:pPr>
        <w:pStyle w:val="14"/>
        <w:numPr>
          <w:ilvl w:val="0"/>
          <w:numId w:val="11"/>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5.6.1 </w:t>
      </w:r>
      <w:r>
        <w:rPr>
          <w:rFonts w:ascii="Times New Roman" w:hAnsi="Times New Roman" w:cs="Times New Roman"/>
          <w:sz w:val="24"/>
          <w:szCs w:val="24"/>
        </w:rPr>
        <w:t>Conduct community nutrition education sessions focusing on breastfeeding, complementary feeding and the importance of balance diet.</w:t>
      </w:r>
    </w:p>
    <w:p w14:paraId="4400029D">
      <w:pPr>
        <w:pStyle w:val="14"/>
        <w:numPr>
          <w:ilvl w:val="0"/>
          <w:numId w:val="11"/>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Activity 5.6.2</w:t>
      </w:r>
      <w:r>
        <w:rPr>
          <w:rFonts w:ascii="Times New Roman" w:hAnsi="Times New Roman" w:cs="Times New Roman"/>
          <w:sz w:val="24"/>
          <w:szCs w:val="24"/>
        </w:rPr>
        <w:t xml:space="preserve"> Distribution of information, education and communication (IEC) materials on proper nutrition practices in local languages.</w:t>
      </w:r>
    </w:p>
    <w:p w14:paraId="60416DCD">
      <w:pPr>
        <w:pStyle w:val="14"/>
        <w:numPr>
          <w:ilvl w:val="0"/>
          <w:numId w:val="11"/>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5.6.3 </w:t>
      </w:r>
      <w:r>
        <w:rPr>
          <w:rFonts w:ascii="Times New Roman" w:hAnsi="Times New Roman" w:cs="Times New Roman"/>
          <w:sz w:val="24"/>
          <w:szCs w:val="24"/>
        </w:rPr>
        <w:t>Organize radio broadcasts and local sensitization campaigns to raise awareness about malnutrition and encourage healthy eating habits.</w:t>
      </w:r>
    </w:p>
    <w:p w14:paraId="47E9CA65">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Activity 5.7 Establishment of home gardens for food security:</w:t>
      </w:r>
    </w:p>
    <w:p w14:paraId="580202EF">
      <w:pPr>
        <w:pStyle w:val="14"/>
        <w:numPr>
          <w:ilvl w:val="0"/>
          <w:numId w:val="12"/>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Activity 5.7.1</w:t>
      </w:r>
      <w:r>
        <w:rPr>
          <w:rFonts w:ascii="Times New Roman" w:hAnsi="Times New Roman" w:cs="Times New Roman"/>
          <w:sz w:val="24"/>
          <w:szCs w:val="24"/>
        </w:rPr>
        <w:t xml:space="preserve"> Distribution of seeds, tools and technical guidance to households to establish home gardens for growing nutrition-dense vegetables. </w:t>
      </w:r>
    </w:p>
    <w:p w14:paraId="53C334E7">
      <w:pPr>
        <w:pStyle w:val="14"/>
        <w:numPr>
          <w:ilvl w:val="0"/>
          <w:numId w:val="12"/>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5.7.2 </w:t>
      </w:r>
      <w:r>
        <w:rPr>
          <w:rFonts w:ascii="Times New Roman" w:hAnsi="Times New Roman" w:cs="Times New Roman"/>
          <w:sz w:val="24"/>
          <w:szCs w:val="24"/>
        </w:rPr>
        <w:t>Provide training on sustainable farming techniques, including composting, water management and pest control to ensure the success of home gardens.</w:t>
      </w:r>
      <w:r>
        <w:rPr>
          <w:rFonts w:ascii="Times New Roman" w:hAnsi="Times New Roman" w:cs="Times New Roman"/>
          <w:b/>
          <w:sz w:val="24"/>
          <w:szCs w:val="24"/>
        </w:rPr>
        <w:t xml:space="preserve"> </w:t>
      </w:r>
    </w:p>
    <w:p w14:paraId="69EADFDD">
      <w:pPr>
        <w:pStyle w:val="14"/>
        <w:numPr>
          <w:ilvl w:val="0"/>
          <w:numId w:val="12"/>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5.7.3. </w:t>
      </w:r>
      <w:r>
        <w:rPr>
          <w:rFonts w:ascii="Times New Roman" w:hAnsi="Times New Roman" w:cs="Times New Roman"/>
          <w:sz w:val="24"/>
          <w:szCs w:val="24"/>
        </w:rPr>
        <w:t xml:space="preserve">Monitor and support households in maintaining home gardens to enhance dietary diversity and food security. </w:t>
      </w:r>
    </w:p>
    <w:p w14:paraId="5DD7A0F7">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5.8 Livelihood support for vulnerable households: </w:t>
      </w:r>
    </w:p>
    <w:p w14:paraId="7BFD5A80">
      <w:pPr>
        <w:pStyle w:val="14"/>
        <w:numPr>
          <w:ilvl w:val="0"/>
          <w:numId w:val="13"/>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5.8.1 </w:t>
      </w:r>
      <w:r>
        <w:rPr>
          <w:rFonts w:ascii="Times New Roman" w:hAnsi="Times New Roman" w:cs="Times New Roman"/>
          <w:sz w:val="24"/>
          <w:szCs w:val="24"/>
        </w:rPr>
        <w:t xml:space="preserve">Identify vulnerable households and provide small-scale agricultural training in areas of vegetable farming, poultry and other livestock farming and management to improve household income and food accessibility. </w:t>
      </w:r>
    </w:p>
    <w:p w14:paraId="6CDFE66D">
      <w:pPr>
        <w:pStyle w:val="14"/>
        <w:numPr>
          <w:ilvl w:val="0"/>
          <w:numId w:val="13"/>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5.8.2 </w:t>
      </w:r>
      <w:r>
        <w:rPr>
          <w:rFonts w:ascii="Times New Roman" w:hAnsi="Times New Roman" w:cs="Times New Roman"/>
          <w:sz w:val="24"/>
          <w:szCs w:val="24"/>
        </w:rPr>
        <w:t xml:space="preserve">Distribute small livestock (chickens) and other inputs such as feed, drugs, drinkers and feeders to promote protein intake and economic resilience. </w:t>
      </w:r>
    </w:p>
    <w:p w14:paraId="791AE6C9">
      <w:pPr>
        <w:pStyle w:val="14"/>
        <w:numPr>
          <w:ilvl w:val="0"/>
          <w:numId w:val="13"/>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5.8.3 </w:t>
      </w:r>
      <w:r>
        <w:rPr>
          <w:rFonts w:ascii="Times New Roman" w:hAnsi="Times New Roman" w:cs="Times New Roman"/>
          <w:sz w:val="24"/>
          <w:szCs w:val="24"/>
        </w:rPr>
        <w:t>Facilitate community groups for shared agricultural activities and peer learning on food security strategies.</w:t>
      </w:r>
      <w:r>
        <w:rPr>
          <w:rFonts w:ascii="Times New Roman" w:hAnsi="Times New Roman" w:cs="Times New Roman"/>
          <w:b/>
          <w:sz w:val="24"/>
          <w:szCs w:val="24"/>
        </w:rPr>
        <w:t xml:space="preserve">  </w:t>
      </w:r>
    </w:p>
    <w:p w14:paraId="7DE4DAE6">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Activity 5.9 Monitoring and evaluation:</w:t>
      </w:r>
    </w:p>
    <w:p w14:paraId="2B408AF8">
      <w:pPr>
        <w:pStyle w:val="14"/>
        <w:numPr>
          <w:ilvl w:val="0"/>
          <w:numId w:val="14"/>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5.9.1 </w:t>
      </w:r>
      <w:r>
        <w:rPr>
          <w:rFonts w:ascii="Times New Roman" w:hAnsi="Times New Roman" w:cs="Times New Roman"/>
          <w:sz w:val="24"/>
          <w:szCs w:val="24"/>
        </w:rPr>
        <w:t>set up a system for tracking the nutritional status of children and women enrolled in the program through regular check-ups and health monitoring.</w:t>
      </w:r>
    </w:p>
    <w:p w14:paraId="176647B9">
      <w:pPr>
        <w:pStyle w:val="14"/>
        <w:numPr>
          <w:ilvl w:val="0"/>
          <w:numId w:val="14"/>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5.9.2 </w:t>
      </w:r>
      <w:r>
        <w:rPr>
          <w:rFonts w:ascii="Times New Roman" w:hAnsi="Times New Roman" w:cs="Times New Roman"/>
          <w:sz w:val="24"/>
          <w:szCs w:val="24"/>
        </w:rPr>
        <w:t xml:space="preserve">Conduct baseline, mid-term and end-line surveys to assess the effectiveness of the intervention on reducing improving dietary practices. </w:t>
      </w:r>
    </w:p>
    <w:p w14:paraId="4DC50730">
      <w:pPr>
        <w:pStyle w:val="14"/>
        <w:numPr>
          <w:ilvl w:val="0"/>
          <w:numId w:val="14"/>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5.9.3 </w:t>
      </w:r>
      <w:r>
        <w:rPr>
          <w:rFonts w:ascii="Times New Roman" w:hAnsi="Times New Roman" w:cs="Times New Roman"/>
          <w:sz w:val="24"/>
          <w:szCs w:val="24"/>
        </w:rPr>
        <w:t>Establish feedback mechanism, such as community meetings and suggestion boxes to gather insights from beneficiaries and make necessary adjustment where is necessary.</w:t>
      </w:r>
      <w:r>
        <w:rPr>
          <w:rFonts w:ascii="Times New Roman" w:hAnsi="Times New Roman" w:cs="Times New Roman"/>
          <w:b/>
          <w:sz w:val="24"/>
          <w:szCs w:val="24"/>
        </w:rPr>
        <w:t xml:space="preserve"> </w:t>
      </w:r>
    </w:p>
    <w:p w14:paraId="4BDAEBEF">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5.10 Community mobilization and advocacy: </w:t>
      </w:r>
    </w:p>
    <w:p w14:paraId="195F3FD9">
      <w:pPr>
        <w:pStyle w:val="14"/>
        <w:numPr>
          <w:ilvl w:val="0"/>
          <w:numId w:val="15"/>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5.10.1 </w:t>
      </w:r>
      <w:r>
        <w:rPr>
          <w:rFonts w:ascii="Times New Roman" w:hAnsi="Times New Roman" w:cs="Times New Roman"/>
          <w:sz w:val="24"/>
          <w:szCs w:val="24"/>
        </w:rPr>
        <w:t xml:space="preserve">engage community and religious leaders, local influencers in advocacy efforts to promote nutrition sensitive policies and community ownership of the project. </w:t>
      </w:r>
    </w:p>
    <w:p w14:paraId="4FCD7F4C">
      <w:pPr>
        <w:pStyle w:val="14"/>
        <w:numPr>
          <w:ilvl w:val="0"/>
          <w:numId w:val="15"/>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5.10.2 </w:t>
      </w:r>
      <w:r>
        <w:rPr>
          <w:rFonts w:ascii="Times New Roman" w:hAnsi="Times New Roman" w:cs="Times New Roman"/>
          <w:sz w:val="24"/>
          <w:szCs w:val="24"/>
        </w:rPr>
        <w:t>Organize town hall meetings to educate communities about the long-term impacts of malnutrition and the importance of collaborative efforts in improving nutrition outcomes</w:t>
      </w:r>
      <w:r>
        <w:rPr>
          <w:rFonts w:ascii="Times New Roman" w:hAnsi="Times New Roman" w:cs="Times New Roman"/>
          <w:b/>
          <w:sz w:val="24"/>
          <w:szCs w:val="24"/>
        </w:rPr>
        <w:t xml:space="preserve">. </w:t>
      </w:r>
    </w:p>
    <w:p w14:paraId="51C3FA00">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Activity 5.11 Coordination with stakeholders and other partners in Song LGA:</w:t>
      </w:r>
    </w:p>
    <w:p w14:paraId="7F878F7D">
      <w:pPr>
        <w:pStyle w:val="14"/>
        <w:numPr>
          <w:ilvl w:val="0"/>
          <w:numId w:val="16"/>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Activity 5.11.1</w:t>
      </w:r>
      <w:r>
        <w:rPr>
          <w:rFonts w:ascii="Times New Roman" w:hAnsi="Times New Roman" w:cs="Times New Roman"/>
          <w:sz w:val="24"/>
          <w:szCs w:val="24"/>
        </w:rPr>
        <w:t xml:space="preserve"> Hold a regular coordination meeting with local government authorities, NGOs and community leaders to ensure a proper alignment and synergy in nutrition related activities in Song LGA.</w:t>
      </w:r>
    </w:p>
    <w:p w14:paraId="66F77B02">
      <w:pPr>
        <w:pStyle w:val="14"/>
        <w:numPr>
          <w:ilvl w:val="0"/>
          <w:numId w:val="16"/>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 xml:space="preserve">Activity 5.11.2 </w:t>
      </w:r>
      <w:r>
        <w:rPr>
          <w:rFonts w:ascii="Times New Roman" w:hAnsi="Times New Roman" w:cs="Times New Roman"/>
          <w:sz w:val="24"/>
          <w:szCs w:val="24"/>
        </w:rPr>
        <w:t>Collaborate with the ministry of health, primary health care development agency and ministry of agriculture to ensure the sustainability and integration of the project within a public health framework.</w:t>
      </w:r>
    </w:p>
    <w:p w14:paraId="2C5CDC5F">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5.12 Reporting and documentation: </w:t>
      </w:r>
    </w:p>
    <w:p w14:paraId="284EF162">
      <w:pPr>
        <w:pStyle w:val="14"/>
        <w:numPr>
          <w:ilvl w:val="0"/>
          <w:numId w:val="17"/>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Activity 5.12.1</w:t>
      </w:r>
      <w:r>
        <w:rPr>
          <w:rFonts w:ascii="Times New Roman" w:hAnsi="Times New Roman" w:cs="Times New Roman"/>
          <w:sz w:val="24"/>
          <w:szCs w:val="24"/>
        </w:rPr>
        <w:t xml:space="preserve"> Maintain detailed records of all activities, including distribution list, screening data and program attendance and impact assessment to ensure accountability and transparency. </w:t>
      </w:r>
    </w:p>
    <w:p w14:paraId="3D81CB8A">
      <w:pPr>
        <w:pStyle w:val="14"/>
        <w:numPr>
          <w:ilvl w:val="0"/>
          <w:numId w:val="17"/>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Activity 5.12.2</w:t>
      </w:r>
      <w:r>
        <w:rPr>
          <w:rFonts w:ascii="Times New Roman" w:hAnsi="Times New Roman" w:cs="Times New Roman"/>
          <w:sz w:val="24"/>
          <w:szCs w:val="24"/>
        </w:rPr>
        <w:t xml:space="preserve"> prepare monthly, quarterly and final reports to track project progress and share with donors and relevant stakeholders. </w:t>
      </w:r>
    </w:p>
    <w:p w14:paraId="4142B58D">
      <w:pPr>
        <w:pStyle w:val="14"/>
        <w:numPr>
          <w:ilvl w:val="0"/>
          <w:numId w:val="17"/>
        </w:numPr>
        <w:tabs>
          <w:tab w:val="left" w:pos="2835"/>
        </w:tabs>
        <w:spacing w:line="276" w:lineRule="auto"/>
        <w:rPr>
          <w:rFonts w:ascii="Times New Roman" w:hAnsi="Times New Roman" w:cs="Times New Roman"/>
          <w:sz w:val="24"/>
          <w:szCs w:val="24"/>
        </w:rPr>
      </w:pPr>
      <w:r>
        <w:rPr>
          <w:rFonts w:ascii="Times New Roman" w:hAnsi="Times New Roman" w:cs="Times New Roman"/>
          <w:b/>
          <w:sz w:val="24"/>
          <w:szCs w:val="24"/>
        </w:rPr>
        <w:t>Activity 5.12.3</w:t>
      </w:r>
      <w:r>
        <w:rPr>
          <w:rFonts w:ascii="Times New Roman" w:hAnsi="Times New Roman" w:cs="Times New Roman"/>
          <w:sz w:val="24"/>
          <w:szCs w:val="24"/>
        </w:rPr>
        <w:t xml:space="preserve"> Document success stories and lesson learned to highlight the programs impacts and improve future interventions. </w:t>
      </w:r>
    </w:p>
    <w:p w14:paraId="50A1894A">
      <w:pPr>
        <w:pStyle w:val="14"/>
        <w:numPr>
          <w:ilvl w:val="0"/>
          <w:numId w:val="8"/>
        </w:numPr>
        <w:tabs>
          <w:tab w:val="left" w:pos="2835"/>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Activity 5.13 Exist and handover strategy: </w:t>
      </w:r>
      <w:r>
        <w:rPr>
          <w:rFonts w:ascii="Times New Roman" w:hAnsi="Times New Roman" w:cs="Times New Roman"/>
          <w:sz w:val="24"/>
          <w:szCs w:val="24"/>
        </w:rPr>
        <w:t>Organize session of discussion with the stakeholders and some key person in the community to discuss on ownership and exit plan.</w:t>
      </w:r>
      <w:r>
        <w:rPr>
          <w:rFonts w:ascii="Times New Roman" w:hAnsi="Times New Roman" w:cs="Times New Roman"/>
          <w:b/>
          <w:sz w:val="24"/>
          <w:szCs w:val="24"/>
        </w:rPr>
        <w:t xml:space="preserve"> </w:t>
      </w:r>
    </w:p>
    <w:p w14:paraId="3A065590">
      <w:pPr>
        <w:spacing w:after="0" w:line="276" w:lineRule="auto"/>
        <w:jc w:val="both"/>
        <w:rPr>
          <w:rFonts w:ascii="Times New Roman" w:hAnsi="Times New Roman" w:cs="Times New Roman"/>
          <w:b/>
          <w:bCs/>
        </w:rPr>
      </w:pPr>
    </w:p>
    <w:p w14:paraId="68F01203">
      <w:pPr>
        <w:pBdr>
          <w:top w:val="single" w:color="auto" w:sz="4" w:space="1"/>
          <w:left w:val="single" w:color="auto" w:sz="4" w:space="4"/>
          <w:bottom w:val="single" w:color="auto" w:sz="4" w:space="1"/>
          <w:right w:val="single" w:color="auto" w:sz="4" w:space="4"/>
        </w:pBdr>
        <w:shd w:val="clear" w:color="auto" w:fill="8EAADB" w:themeFill="accent1" w:themeFillTint="99"/>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10. Measure of success:</w:t>
      </w:r>
    </w:p>
    <w:p w14:paraId="0D464D1A">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success of the nutrition intervention in Lunga Song LGA of Adamawa State will be measured through various indicators that reflect both the process and outcome. The following measures assessment of the project’s success. </w:t>
      </w:r>
    </w:p>
    <w:p w14:paraId="01D3E21A">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Reduction in malnutrition rate.</w:t>
      </w:r>
    </w:p>
    <w:p w14:paraId="58A72EB0">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Achieving at least 35% reduction in wasting (acute malnutrition) and a 25% reduction in stunting (chronic malnutrition) among children under five by the end of the project. </w:t>
      </w:r>
    </w:p>
    <w:p w14:paraId="2DB571C4">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Percentage of children under five with wasting (low weight-for-height) and stunting (low height-for-age) measured through quarterly nutrition screening. </w:t>
      </w:r>
    </w:p>
    <w:p w14:paraId="693707E6">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t>I</w:t>
      </w:r>
      <w:r>
        <w:rPr>
          <w:rFonts w:ascii="Times New Roman" w:hAnsi="Times New Roman" w:eastAsia="Times New Roman" w:cs="Times New Roman"/>
          <w:b/>
          <w:sz w:val="24"/>
          <w:szCs w:val="24"/>
        </w:rPr>
        <w:t>mprovement in dietary diversity.</w:t>
      </w:r>
    </w:p>
    <w:p w14:paraId="7B1264C2">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 80</w:t>
      </w:r>
      <w:r>
        <w:rPr>
          <w:rFonts w:ascii="Times New Roman" w:hAnsi="Times New Roman" w:eastAsia="Times New Roman" w:cs="Times New Roman"/>
          <w:sz w:val="24"/>
          <w:szCs w:val="24"/>
        </w:rPr>
        <w:t>% of households demonstrating improved dietary diversity, consuming at least 6 out of 12 food groups on the household dietary diversity score (HDDS).</w:t>
      </w:r>
    </w:p>
    <w:p w14:paraId="5D088602">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Percentage of households with diverse diets, assessed through baseline, mid-term and End-line survey.</w:t>
      </w:r>
    </w:p>
    <w:p w14:paraId="6B14598F">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Increased supplement coverage.</w:t>
      </w:r>
    </w:p>
    <w:p w14:paraId="512ED73C">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85% of pregnant and lactating mothers receiving iron/folic acid supplements and 95% of children under five receiving Vitamin A supplement. </w:t>
      </w:r>
    </w:p>
    <w:p w14:paraId="255A6B08">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Health facility records and distribution reports tracking supplement coverage and distribution.</w:t>
      </w:r>
    </w:p>
    <w:p w14:paraId="16296153">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Adoption of exclusive breastfeeding.</w:t>
      </w:r>
    </w:p>
    <w:p w14:paraId="585C8C88">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70% of mothers with infants under six months practicing exclusive breastfeeding for the first six months.</w:t>
      </w:r>
    </w:p>
    <w:p w14:paraId="445D8396">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Households survey and focus group discussion (FGDs) assessing breastfeeding practices. </w:t>
      </w:r>
    </w:p>
    <w:p w14:paraId="4D045CF4">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Food security improvement.</w:t>
      </w:r>
    </w:p>
    <w:p w14:paraId="3D73D548">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At least 60% of the households reporting improved food security by the end of the project, with a reduction in seasonal hunger and improved access to food.</w:t>
      </w:r>
    </w:p>
    <w:p w14:paraId="02D3CA55">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Household surveys tracking food security levels and coping strategies during the project. </w:t>
      </w:r>
    </w:p>
    <w:p w14:paraId="65190990">
      <w:pPr>
        <w:pStyle w:val="14"/>
        <w:numPr>
          <w:ilvl w:val="0"/>
          <w:numId w:val="18"/>
        </w:numPr>
        <w:spacing w:after="0"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Cooking Practices:</w:t>
      </w:r>
    </w:p>
    <w:p w14:paraId="233663D5">
      <w:pPr>
        <w:pStyle w:val="14"/>
        <w:numPr>
          <w:ilvl w:val="0"/>
          <w:numId w:val="19"/>
        </w:numPr>
        <w:spacing w:after="0"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Success measure: </w:t>
      </w:r>
      <w:r>
        <w:rPr>
          <w:rFonts w:ascii="Times New Roman" w:hAnsi="Times New Roman" w:eastAsia="Times New Roman" w:cs="Times New Roman"/>
          <w:sz w:val="24"/>
          <w:szCs w:val="24"/>
        </w:rPr>
        <w:t>Participants adopt healthier cooking habits and incorporate nutrient-dense ingredients into their meal</w:t>
      </w:r>
    </w:p>
    <w:p w14:paraId="7AF52507">
      <w:pPr>
        <w:pStyle w:val="14"/>
        <w:numPr>
          <w:ilvl w:val="0"/>
          <w:numId w:val="19"/>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Indicators: </w:t>
      </w:r>
      <w:r>
        <w:rPr>
          <w:rFonts w:ascii="Times New Roman" w:hAnsi="Times New Roman" w:eastAsia="Times New Roman" w:cs="Times New Roman"/>
          <w:sz w:val="24"/>
          <w:szCs w:val="24"/>
        </w:rPr>
        <w:t>Participants to successfully prepare healthy dishes and demonstrate proper cooking techniques.</w:t>
      </w:r>
    </w:p>
    <w:p w14:paraId="01DAE29A">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Home garden establishment and productivity.</w:t>
      </w:r>
    </w:p>
    <w:p w14:paraId="603EC611">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 75</w:t>
      </w:r>
      <w:r>
        <w:rPr>
          <w:rFonts w:ascii="Times New Roman" w:hAnsi="Times New Roman" w:eastAsia="Times New Roman" w:cs="Times New Roman"/>
          <w:sz w:val="24"/>
          <w:szCs w:val="24"/>
        </w:rPr>
        <w:t>% of households receiving support for home gardens establishing and maintaining productive gardens.</w:t>
      </w:r>
    </w:p>
    <w:p w14:paraId="7D5BFD04">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Indicators:</w:t>
      </w:r>
      <w:r>
        <w:rPr>
          <w:rFonts w:ascii="Times New Roman" w:hAnsi="Times New Roman" w:eastAsia="Times New Roman" w:cs="Times New Roman"/>
          <w:sz w:val="24"/>
          <w:szCs w:val="24"/>
        </w:rPr>
        <w:t xml:space="preserve"> Monitoring reports and household visits assessing the success of the home garden initiatives and the production of nutrition-rich crops.</w:t>
      </w:r>
    </w:p>
    <w:p w14:paraId="3FFCDE71">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Capacity building of health workers and volunteers.</w:t>
      </w:r>
    </w:p>
    <w:p w14:paraId="2A879D71">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Training of at least 50 health workers and 100 community volunteers on nutrition screening, malnutrition management and nutrition education. </w:t>
      </w:r>
    </w:p>
    <w:p w14:paraId="1C35C385">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Indicators:</w:t>
      </w:r>
      <w:r>
        <w:rPr>
          <w:rFonts w:ascii="Times New Roman" w:hAnsi="Times New Roman" w:eastAsia="Times New Roman" w:cs="Times New Roman"/>
          <w:sz w:val="24"/>
          <w:szCs w:val="24"/>
        </w:rPr>
        <w:t xml:space="preserve"> Post-training evaluations and monitoring of health workers and volunteer engagements in nutrition activities.</w:t>
      </w:r>
    </w:p>
    <w:p w14:paraId="0447E375">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Community engagement and participation.</w:t>
      </w:r>
    </w:p>
    <w:p w14:paraId="64E2FC18">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Reaching 1,300 community members through nutrition awareness campaigns and education sessions with at least 80% of participants demonstrating knowledge of proper nutrition and feeding practices. </w:t>
      </w:r>
    </w:p>
    <w:p w14:paraId="79C566AA">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Attendance records from education sessions and follow-up surveys to assess knowledge retention.</w:t>
      </w:r>
    </w:p>
    <w:p w14:paraId="31299B39">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Timely implementation of project activities.</w:t>
      </w:r>
    </w:p>
    <w:p w14:paraId="20E9D3E0">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95% of project activities implemented according to the work plan, ensuring that all planned interventions (screening, distributions, training etc) are completed on time.</w:t>
      </w:r>
    </w:p>
    <w:p w14:paraId="672E27EC">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Project activity reports and timelines tracking the completion of each activity against the original schedule.</w:t>
      </w:r>
    </w:p>
    <w:p w14:paraId="64FDD9FB">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Positive feeding from beneficiaries.</w:t>
      </w:r>
    </w:p>
    <w:p w14:paraId="5F07B536">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At least 80% of beneficiaries (children’s caregivers, women and households) reporting satisfaction with the services received (nutrition education, supplements screening etc.).</w:t>
      </w:r>
    </w:p>
    <w:p w14:paraId="174BE466">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Beneficiary feedback collected through survey, interviews and community feedback mechanism. </w:t>
      </w:r>
    </w:p>
    <w:p w14:paraId="513A9094">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Sustainable impact.</w:t>
      </w:r>
    </w:p>
    <w:p w14:paraId="0F24A7DD">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Evidence of sustained improvements in nutrition practices (e.g continued home gardening, exclusive breastfeeding) and reduced malnutrition rates after the project ends.</w:t>
      </w:r>
    </w:p>
    <w:p w14:paraId="768D62AC">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Post-project evaluation assessing the sustainability of the intervention outcomes.</w:t>
      </w:r>
    </w:p>
    <w:p w14:paraId="6F77AB4A">
      <w:pPr>
        <w:pStyle w:val="14"/>
        <w:numPr>
          <w:ilvl w:val="0"/>
          <w:numId w:val="8"/>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Financial and resources efficiency. </w:t>
      </w:r>
    </w:p>
    <w:p w14:paraId="0477D1D5">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Success measure:</w:t>
      </w:r>
      <w:r>
        <w:rPr>
          <w:rFonts w:ascii="Times New Roman" w:hAnsi="Times New Roman" w:eastAsia="Times New Roman" w:cs="Times New Roman"/>
          <w:sz w:val="24"/>
          <w:szCs w:val="24"/>
        </w:rPr>
        <w:t xml:space="preserve"> At least 90% of the project budget used effectively to achieve the desired outcomes, with minimal wastage or delays in fund disbursement.</w:t>
      </w:r>
    </w:p>
    <w:p w14:paraId="1A46E528">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Indicator:</w:t>
      </w:r>
      <w:r>
        <w:rPr>
          <w:rFonts w:ascii="Times New Roman" w:hAnsi="Times New Roman" w:eastAsia="Times New Roman" w:cs="Times New Roman"/>
          <w:sz w:val="24"/>
          <w:szCs w:val="24"/>
        </w:rPr>
        <w:t xml:space="preserve"> Financial audits and budget reports tracking resources allocation and usage. </w:t>
      </w:r>
    </w:p>
    <w:p w14:paraId="0A9D1E66">
      <w:pPr>
        <w:spacing w:after="0" w:line="276" w:lineRule="auto"/>
        <w:rPr>
          <w:rFonts w:ascii="Times New Roman" w:hAnsi="Times New Roman" w:eastAsia="Times New Roman" w:cs="Times New Roman"/>
          <w:sz w:val="24"/>
          <w:szCs w:val="24"/>
        </w:rPr>
      </w:pPr>
    </w:p>
    <w:p w14:paraId="7084E494">
      <w:pPr>
        <w:pStyle w:val="14"/>
        <w:pBdr>
          <w:top w:val="single" w:color="auto" w:sz="4" w:space="1"/>
          <w:left w:val="single" w:color="auto" w:sz="4" w:space="4"/>
          <w:bottom w:val="single" w:color="auto" w:sz="4" w:space="1"/>
          <w:right w:val="single" w:color="auto" w:sz="4" w:space="4"/>
        </w:pBdr>
        <w:shd w:val="clear" w:color="auto" w:fill="8EAADB" w:themeFill="accent1" w:themeFillTint="99"/>
        <w:spacing w:after="0"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11.0 Impact:</w:t>
      </w:r>
    </w:p>
    <w:p w14:paraId="13FB3963">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Reduction in malnutrition rate:</w:t>
      </w:r>
    </w:p>
    <w:p w14:paraId="3FF9F9C7">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early detection and treatment of malnutrition through community-based nutrition screening will result in the reduction of wasting (acute malnutrition) and stunting (chronic malnutrition) among children under five.</w:t>
      </w:r>
    </w:p>
    <w:p w14:paraId="075683AC">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sustained nutrition support, education and improved food security will lead to a significant reduction in malnutrition rates over time, contributing to healthier growth and development in children.</w:t>
      </w:r>
    </w:p>
    <w:p w14:paraId="764C604F">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Improved maternal and child health: </w:t>
      </w:r>
    </w:p>
    <w:p w14:paraId="62798FF3">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the distribution of micronutrient supplement eg iron/folic acid to pregnant and lactating mothers will reduce the prevalence of anemia, improve maternal health outcomes and enhance the nutritional status of infants through breastfeeding.</w:t>
      </w:r>
    </w:p>
    <w:p w14:paraId="0D136AD2">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improved maternal nutrition will lead to better pregnancy outcomes, reduce maternal mortality and healthier infants, contributing to lower rates of infant and maternal malnutrition in the community. </w:t>
      </w:r>
    </w:p>
    <w:p w14:paraId="0723C0E2">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Enhanced dietary diversity and food security.</w:t>
      </w:r>
    </w:p>
    <w:p w14:paraId="19DFE58D">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Through the establishment of home gardens and nutrition education, households will have increased access to diverse, nutrition-rich foods, improving their overall dietary intake.</w:t>
      </w:r>
    </w:p>
    <w:p w14:paraId="4A1A8E85">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The adoption of sustainable home gardening practices and income generation through small-scale farming will enhance household food-security, reduced independence on external food aid and promote long-term resilience against food insecurity.</w:t>
      </w:r>
    </w:p>
    <w:p w14:paraId="5694DCC9">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Strengthened local capacity. </w:t>
      </w:r>
    </w:p>
    <w:p w14:paraId="2F1E71FE">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training health workers, volunteers and community’s capacity to manage malnutrition, conduct nutrition screenings and provide nutrition counseling. </w:t>
      </w:r>
    </w:p>
    <w:p w14:paraId="1B711112">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Building local capacity will ensure that the community can independently continue nutrition activities after the project ends, creating a </w:t>
      </w:r>
      <w:r>
        <w:rPr>
          <w:rFonts w:ascii="Times New Roman" w:hAnsi="Times New Roman" w:eastAsia="Times New Roman" w:cs="Times New Roman"/>
          <w:sz w:val="24"/>
          <w:szCs w:val="24"/>
          <w:lang w:val="en-GB"/>
        </w:rPr>
        <w:t>self-sustaining</w:t>
      </w:r>
      <w:r>
        <w:rPr>
          <w:rFonts w:ascii="Times New Roman" w:hAnsi="Times New Roman" w:eastAsia="Times New Roman" w:cs="Times New Roman"/>
          <w:sz w:val="24"/>
          <w:szCs w:val="24"/>
        </w:rPr>
        <w:t xml:space="preserve"> model for improving health outcomes. </w:t>
      </w:r>
    </w:p>
    <w:p w14:paraId="53CBC107">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Increased community resilience.</w:t>
      </w:r>
    </w:p>
    <w:p w14:paraId="11DE86E8">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Addressing food insecurity and malnutrition, the project will provide immediate relief to vulnerable households, improving their ability to cope with shocks such as food shortage or price hikes.</w:t>
      </w:r>
    </w:p>
    <w:p w14:paraId="4706450E">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strengthening livelihoods through gardening and small-scale farming will increase household’s resilience to future crises, such as climate change-related impacts on food production and contribute to poverty reduction. </w:t>
      </w:r>
    </w:p>
    <w:p w14:paraId="4CCDF1BC">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Behavioral change in nutrition practices.</w:t>
      </w:r>
    </w:p>
    <w:p w14:paraId="4458E8F3">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Community member will gain knowledge on proper infant and child feeding practices, the importance of dietary diversity and the benefits of exclusive breastfeeding. This will lead to improved health-seeking behaviors and better practices.</w:t>
      </w:r>
    </w:p>
    <w:p w14:paraId="5B7FB183">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Long-term behavioral change in nutrition and health practices, such as exclusive breastfeeding and improved child feeding, will contribute to healthier generations and reduce the burden of malnutrition. </w:t>
      </w:r>
    </w:p>
    <w:p w14:paraId="74D55388">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Empowerment of women and vulnerable groups.</w:t>
      </w:r>
    </w:p>
    <w:p w14:paraId="2FD0F9AA">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Empowering women with knowledge on nutrition, access to supplements and tools for home gardening will improve their role in family food security and nutrition.</w:t>
      </w:r>
    </w:p>
    <w:p w14:paraId="5B68340D">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Women’s empowerment in decision-making about family health and nutrition will promote gender equality and improve the well-being of children and other family members over time.</w:t>
      </w:r>
    </w:p>
    <w:p w14:paraId="0B6D0FD4">
      <w:pPr>
        <w:pStyle w:val="14"/>
        <w:numPr>
          <w:ilvl w:val="0"/>
          <w:numId w:val="8"/>
        </w:numPr>
        <w:spacing w:before="100" w:beforeAutospacing="1" w:after="100" w:afterAutospacing="1"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Positive impact on community health system.</w:t>
      </w:r>
    </w:p>
    <w:p w14:paraId="0F6B0976">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Immediate impact:</w:t>
      </w:r>
      <w:r>
        <w:rPr>
          <w:rFonts w:ascii="Times New Roman" w:hAnsi="Times New Roman" w:eastAsia="Times New Roman" w:cs="Times New Roman"/>
          <w:sz w:val="24"/>
          <w:szCs w:val="24"/>
        </w:rPr>
        <w:t xml:space="preserve"> The integration of nutrition services into local health systems will strengthen the capacity of health facilities to manage malnutrition and provide essential maternal and child health services. </w:t>
      </w:r>
    </w:p>
    <w:p w14:paraId="3923DD73">
      <w:pPr>
        <w:pStyle w:val="14"/>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Long-term impact:</w:t>
      </w:r>
      <w:r>
        <w:rPr>
          <w:rFonts w:ascii="Times New Roman" w:hAnsi="Times New Roman" w:eastAsia="Times New Roman" w:cs="Times New Roman"/>
          <w:sz w:val="24"/>
          <w:szCs w:val="24"/>
        </w:rPr>
        <w:t xml:space="preserve"> Strengthened health systems will lead to sustained improvements in services delivery, ensuring that malnutrition and related health issues and addressed in the long term.</w:t>
      </w:r>
    </w:p>
    <w:p w14:paraId="2D2DEF6D">
      <w:pPr>
        <w:pStyle w:val="14"/>
        <w:spacing w:before="100" w:beforeAutospacing="1" w:after="100" w:afterAutospacing="1" w:line="240" w:lineRule="auto"/>
        <w:ind w:left="780"/>
        <w:rPr>
          <w:rFonts w:ascii="Times New Roman" w:hAnsi="Times New Roman" w:eastAsia="Times New Roman" w:cs="Times New Roman"/>
          <w:sz w:val="24"/>
          <w:szCs w:val="24"/>
        </w:rPr>
      </w:pPr>
    </w:p>
    <w:p w14:paraId="0413E901">
      <w:pPr>
        <w:pStyle w:val="14"/>
        <w:spacing w:before="100" w:beforeAutospacing="1" w:after="100" w:afterAutospacing="1" w:line="240" w:lineRule="auto"/>
        <w:ind w:left="780"/>
        <w:rPr>
          <w:rFonts w:ascii="Times New Roman" w:hAnsi="Times New Roman" w:eastAsia="Times New Roman" w:cs="Times New Roman"/>
          <w:sz w:val="24"/>
          <w:szCs w:val="24"/>
        </w:rPr>
      </w:pPr>
    </w:p>
    <w:p w14:paraId="073E8F0A">
      <w:pPr>
        <w:spacing w:before="100" w:beforeAutospacing="1" w:after="100" w:afterAutospacing="1" w:line="240" w:lineRule="auto"/>
        <w:rPr>
          <w:rFonts w:ascii="Times New Roman" w:hAnsi="Times New Roman" w:eastAsia="Times New Roman" w:cs="Times New Roman"/>
          <w:sz w:val="24"/>
          <w:szCs w:val="24"/>
        </w:rPr>
      </w:pPr>
    </w:p>
    <w:p w14:paraId="47F3F17D">
      <w:pPr>
        <w:pBdr>
          <w:top w:val="single" w:color="auto" w:sz="4" w:space="1"/>
          <w:left w:val="single" w:color="auto" w:sz="4" w:space="4"/>
          <w:bottom w:val="single" w:color="auto" w:sz="4" w:space="1"/>
          <w:right w:val="single" w:color="auto" w:sz="4" w:space="4"/>
          <w:between w:val="single" w:color="auto" w:sz="4" w:space="1"/>
        </w:pBdr>
        <w:shd w:val="clear" w:color="auto" w:fill="8EAADB" w:themeFill="accent1" w:themeFillTint="99"/>
        <w:tabs>
          <w:tab w:val="left" w:pos="4665"/>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12.0 Sustainability:</w:t>
      </w:r>
      <w:r>
        <w:rPr>
          <w:rFonts w:ascii="Times New Roman" w:hAnsi="Times New Roman" w:cs="Times New Roman"/>
          <w:b/>
          <w:bCs/>
          <w:sz w:val="24"/>
          <w:szCs w:val="24"/>
        </w:rPr>
        <w:tab/>
      </w:r>
    </w:p>
    <w:p w14:paraId="17F80B39">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To ensure the sustainability of the project, we will:</w:t>
      </w:r>
    </w:p>
    <w:p w14:paraId="385FAAD5">
      <w:pPr>
        <w:pStyle w:val="14"/>
        <w:numPr>
          <w:ilvl w:val="0"/>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Capacity building:</w:t>
      </w:r>
      <w:r>
        <w:rPr>
          <w:rFonts w:ascii="Times New Roman" w:hAnsi="Times New Roman" w:eastAsia="Times New Roman" w:cs="Times New Roman"/>
          <w:sz w:val="24"/>
          <w:szCs w:val="24"/>
        </w:rPr>
        <w:t xml:space="preserve"> Training of local health workers, community volunteers and small-scale farmers will equip the community with the knowledge and skills to continue supporting nutrition and food security efforts beyond the project period.</w:t>
      </w:r>
    </w:p>
    <w:p w14:paraId="22699CF9">
      <w:pPr>
        <w:pStyle w:val="14"/>
        <w:numPr>
          <w:ilvl w:val="0"/>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Partnership with local authorities:</w:t>
      </w:r>
      <w:r>
        <w:rPr>
          <w:rFonts w:ascii="Times New Roman" w:hAnsi="Times New Roman" w:eastAsia="Times New Roman" w:cs="Times New Roman"/>
          <w:sz w:val="24"/>
          <w:szCs w:val="24"/>
        </w:rPr>
        <w:t xml:space="preserve"> By collaborating with local authorities and health agencies and health facilities, the project will ensure the nutrition service are integrated into existing health structures to enable long-term sustainability.</w:t>
      </w:r>
    </w:p>
    <w:p w14:paraId="32588726">
      <w:pPr>
        <w:pStyle w:val="14"/>
        <w:numPr>
          <w:ilvl w:val="0"/>
          <w:numId w:val="8"/>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Community ownership:</w:t>
      </w:r>
      <w:r>
        <w:rPr>
          <w:rFonts w:ascii="Times New Roman" w:hAnsi="Times New Roman" w:eastAsia="Times New Roman" w:cs="Times New Roman"/>
          <w:sz w:val="24"/>
          <w:szCs w:val="24"/>
        </w:rPr>
        <w:t xml:space="preserve"> The project will work with the community leaders to ensure that nutrition education, home gardening and livelihood support activities are sustained within the communities.</w:t>
      </w:r>
    </w:p>
    <w:p w14:paraId="5E7704CC">
      <w:pPr>
        <w:pBdr>
          <w:top w:val="single" w:color="auto" w:sz="4" w:space="1"/>
          <w:left w:val="single" w:color="auto" w:sz="4" w:space="4"/>
          <w:bottom w:val="single" w:color="auto" w:sz="4" w:space="1"/>
          <w:right w:val="single" w:color="auto" w:sz="4" w:space="4"/>
          <w:between w:val="single" w:color="auto" w:sz="4" w:space="1"/>
        </w:pBdr>
        <w:shd w:val="clear" w:color="auto" w:fill="8EAADB" w:themeFill="accent1" w:themeFillTint="99"/>
        <w:spacing w:after="0"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13.0 Assumption and risk</w:t>
      </w:r>
    </w:p>
    <w:p w14:paraId="757DCE10">
      <w:pPr>
        <w:spacing w:after="0"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Assumptions:</w:t>
      </w:r>
    </w:p>
    <w:p w14:paraId="58330834">
      <w:pPr>
        <w:pStyle w:val="14"/>
        <w:numPr>
          <w:ilvl w:val="0"/>
          <w:numId w:val="20"/>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Local communities will actively engage and support the projects.</w:t>
      </w:r>
    </w:p>
    <w:p w14:paraId="53CFA629">
      <w:pPr>
        <w:pStyle w:val="14"/>
        <w:numPr>
          <w:ilvl w:val="0"/>
          <w:numId w:val="20"/>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Communities will support and enforce policies that promote sustainable practices.</w:t>
      </w:r>
    </w:p>
    <w:p w14:paraId="3B241CE1">
      <w:pPr>
        <w:pStyle w:val="14"/>
        <w:numPr>
          <w:ilvl w:val="0"/>
          <w:numId w:val="20"/>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They will be adequate technical expertise and capacity to implement and maintain the project.</w:t>
      </w:r>
    </w:p>
    <w:p w14:paraId="342C4404">
      <w:pPr>
        <w:pStyle w:val="14"/>
        <w:numPr>
          <w:ilvl w:val="0"/>
          <w:numId w:val="20"/>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Environmental conditions will allow for the successful implementation of adoption and the project activities within the project locations.</w:t>
      </w:r>
    </w:p>
    <w:p w14:paraId="1FFC6673">
      <w:pPr>
        <w:pStyle w:val="14"/>
        <w:spacing w:after="0" w:line="276" w:lineRule="auto"/>
        <w:ind w:left="900"/>
        <w:rPr>
          <w:rFonts w:ascii="Times New Roman" w:hAnsi="Times New Roman" w:eastAsia="Times New Roman" w:cs="Times New Roman"/>
          <w:sz w:val="24"/>
          <w:szCs w:val="24"/>
        </w:rPr>
      </w:pPr>
    </w:p>
    <w:p w14:paraId="672B7227">
      <w:p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Risks:</w:t>
      </w:r>
    </w:p>
    <w:p w14:paraId="6F8BA35F">
      <w:pPr>
        <w:spacing w:after="0" w:line="276" w:lineRule="auto"/>
        <w:rPr>
          <w:rFonts w:ascii="Times New Roman" w:hAnsi="Times New Roman" w:eastAsia="Times New Roman" w:cs="Times New Roman"/>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7671"/>
      </w:tblGrid>
      <w:tr w14:paraId="70CF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7727A63F">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Risk</w:t>
            </w:r>
          </w:p>
        </w:tc>
        <w:tc>
          <w:tcPr>
            <w:tcW w:w="7671" w:type="dxa"/>
          </w:tcPr>
          <w:p w14:paraId="4721A550">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Mitigation strategy </w:t>
            </w:r>
          </w:p>
        </w:tc>
      </w:tr>
      <w:tr w14:paraId="7854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6FF5266A">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Low community participation </w:t>
            </w:r>
          </w:p>
        </w:tc>
        <w:tc>
          <w:tcPr>
            <w:tcW w:w="7671" w:type="dxa"/>
          </w:tcPr>
          <w:p w14:paraId="2ACF9357">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Engage local leaders and influencers from the start to ensure community buy-in and conduct regular sensitization meetings.</w:t>
            </w:r>
          </w:p>
        </w:tc>
      </w:tr>
      <w:tr w14:paraId="02C5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52576481">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Supply chain delay. </w:t>
            </w:r>
          </w:p>
        </w:tc>
        <w:tc>
          <w:tcPr>
            <w:tcW w:w="7671" w:type="dxa"/>
          </w:tcPr>
          <w:p w14:paraId="7DB779B5">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Procure nutrition supplies in advance and establish partnerships with local suppliers to avoid delays. </w:t>
            </w:r>
          </w:p>
        </w:tc>
      </w:tr>
      <w:tr w14:paraId="6A64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5DB36D79">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Poor agricultural output from home gardens</w:t>
            </w:r>
          </w:p>
        </w:tc>
        <w:tc>
          <w:tcPr>
            <w:tcW w:w="7671" w:type="dxa"/>
          </w:tcPr>
          <w:p w14:paraId="477B9087">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Provide training on climate-smart agriculture and offer technical support throughout the growing season.</w:t>
            </w:r>
          </w:p>
        </w:tc>
      </w:tr>
      <w:tr w14:paraId="4F4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28AFE194">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Inadequate follow up on beneficiaries.</w:t>
            </w:r>
          </w:p>
        </w:tc>
        <w:tc>
          <w:tcPr>
            <w:tcW w:w="7671" w:type="dxa"/>
          </w:tcPr>
          <w:p w14:paraId="7E6DA475">
            <w:p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Utilize community volunteers for consistent follow up and ensure mobile monitoring where feasible. </w:t>
            </w:r>
          </w:p>
        </w:tc>
      </w:tr>
    </w:tbl>
    <w:p w14:paraId="5B077908">
      <w:pPr>
        <w:spacing w:after="0" w:line="276" w:lineRule="auto"/>
        <w:rPr>
          <w:rFonts w:ascii="Times New Roman" w:hAnsi="Times New Roman" w:eastAsia="Times New Roman" w:cs="Times New Roman"/>
          <w:sz w:val="24"/>
          <w:szCs w:val="24"/>
        </w:rPr>
      </w:pPr>
    </w:p>
    <w:p w14:paraId="72E799A0">
      <w:pPr>
        <w:spacing w:after="0" w:line="276" w:lineRule="auto"/>
        <w:rPr>
          <w:rFonts w:ascii="Times New Roman" w:hAnsi="Times New Roman" w:eastAsia="Times New Roman" w:cs="Times New Roman"/>
          <w:b/>
          <w:bCs/>
        </w:rPr>
      </w:pPr>
    </w:p>
    <w:p w14:paraId="52DEE233">
      <w:pPr>
        <w:pBdr>
          <w:top w:val="single" w:color="auto" w:sz="4" w:space="1"/>
          <w:left w:val="single" w:color="auto" w:sz="4" w:space="4"/>
          <w:bottom w:val="single" w:color="auto" w:sz="4" w:space="1"/>
          <w:right w:val="single" w:color="auto" w:sz="4" w:space="4"/>
          <w:between w:val="single" w:color="auto" w:sz="4" w:space="1"/>
        </w:pBdr>
        <w:shd w:val="clear" w:color="auto" w:fill="8EAADB" w:themeFill="accent1" w:themeFillTint="99"/>
        <w:spacing w:after="0" w:line="276" w:lineRule="auto"/>
        <w:rPr>
          <w:rFonts w:ascii="Times New Roman" w:hAnsi="Times New Roman" w:eastAsia="Times New Roman" w:cs="Times New Roman"/>
          <w:sz w:val="24"/>
        </w:rPr>
      </w:pPr>
      <w:r>
        <w:rPr>
          <w:rFonts w:ascii="Times New Roman" w:hAnsi="Times New Roman" w:eastAsia="Times New Roman" w:cs="Times New Roman"/>
          <w:b/>
          <w:sz w:val="24"/>
        </w:rPr>
        <w:t>14. Monitoring and evaluation</w:t>
      </w:r>
      <w:r>
        <w:rPr>
          <w:rFonts w:ascii="Times New Roman" w:hAnsi="Times New Roman" w:eastAsia="Times New Roman" w:cs="Times New Roman"/>
          <w:sz w:val="24"/>
        </w:rPr>
        <w:t>:</w:t>
      </w:r>
    </w:p>
    <w:p w14:paraId="5D6E03D4">
      <w:pPr>
        <w:spacing w:after="0" w:line="276" w:lineRule="auto"/>
        <w:rPr>
          <w:rFonts w:ascii="Times New Roman" w:hAnsi="Times New Roman" w:eastAsia="Times New Roman" w:cs="Times New Roman"/>
          <w:b/>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5"/>
        <w:gridCol w:w="3060"/>
        <w:gridCol w:w="3150"/>
        <w:gridCol w:w="1371"/>
      </w:tblGrid>
      <w:tr w14:paraId="74CD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75" w:type="dxa"/>
            <w:shd w:val="clear" w:color="auto" w:fill="BEBEBE" w:themeFill="background1" w:themeFillShade="BF"/>
          </w:tcPr>
          <w:p w14:paraId="3425E782">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Objective</w:t>
            </w:r>
          </w:p>
        </w:tc>
        <w:tc>
          <w:tcPr>
            <w:tcW w:w="3060" w:type="dxa"/>
            <w:shd w:val="clear" w:color="auto" w:fill="BEBEBE" w:themeFill="background1" w:themeFillShade="BF"/>
          </w:tcPr>
          <w:p w14:paraId="2D2F344E">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Indicator</w:t>
            </w:r>
          </w:p>
        </w:tc>
        <w:tc>
          <w:tcPr>
            <w:tcW w:w="3150" w:type="dxa"/>
            <w:shd w:val="clear" w:color="auto" w:fill="BEBEBE" w:themeFill="background1" w:themeFillShade="BF"/>
          </w:tcPr>
          <w:p w14:paraId="06F66929">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Means of verification</w:t>
            </w:r>
          </w:p>
        </w:tc>
        <w:tc>
          <w:tcPr>
            <w:tcW w:w="1371" w:type="dxa"/>
            <w:shd w:val="clear" w:color="auto" w:fill="BEBEBE" w:themeFill="background1" w:themeFillShade="BF"/>
          </w:tcPr>
          <w:p w14:paraId="362CEEAF">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frequency</w:t>
            </w:r>
          </w:p>
        </w:tc>
      </w:tr>
      <w:tr w14:paraId="21D9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Pr>
          <w:p w14:paraId="0D2E8CE6">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Reduce malnutrition rates among children.</w:t>
            </w:r>
          </w:p>
        </w:tc>
        <w:tc>
          <w:tcPr>
            <w:tcW w:w="3060" w:type="dxa"/>
          </w:tcPr>
          <w:p w14:paraId="4DDFFECA">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Percentage reduction in stunting and wasting</w:t>
            </w:r>
          </w:p>
        </w:tc>
        <w:tc>
          <w:tcPr>
            <w:tcW w:w="3150" w:type="dxa"/>
          </w:tcPr>
          <w:p w14:paraId="253E5DCE">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Nutrition screening report </w:t>
            </w:r>
          </w:p>
        </w:tc>
        <w:tc>
          <w:tcPr>
            <w:tcW w:w="1371" w:type="dxa"/>
          </w:tcPr>
          <w:p w14:paraId="64A17A2E">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Quarterly </w:t>
            </w:r>
          </w:p>
        </w:tc>
      </w:tr>
      <w:tr w14:paraId="5FBB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Pr>
          <w:p w14:paraId="22F1B9A4">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Improve micronutrient intake for women</w:t>
            </w:r>
          </w:p>
        </w:tc>
        <w:tc>
          <w:tcPr>
            <w:tcW w:w="3060" w:type="dxa"/>
          </w:tcPr>
          <w:p w14:paraId="2E6B97B4">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Number of pregnant women receiving iron/folic acid.</w:t>
            </w:r>
          </w:p>
        </w:tc>
        <w:tc>
          <w:tcPr>
            <w:tcW w:w="3150" w:type="dxa"/>
          </w:tcPr>
          <w:p w14:paraId="70A7A709">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Health facility record.</w:t>
            </w:r>
          </w:p>
        </w:tc>
        <w:tc>
          <w:tcPr>
            <w:tcW w:w="1371" w:type="dxa"/>
          </w:tcPr>
          <w:p w14:paraId="6ABFEB85">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Quarterly </w:t>
            </w:r>
          </w:p>
        </w:tc>
      </w:tr>
      <w:tr w14:paraId="51E1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Pr>
          <w:p w14:paraId="2B9A6708">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Increase household food security</w:t>
            </w:r>
          </w:p>
        </w:tc>
        <w:tc>
          <w:tcPr>
            <w:tcW w:w="3060" w:type="dxa"/>
          </w:tcPr>
          <w:p w14:paraId="5D6F5A39">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Number of households with established home gardens</w:t>
            </w:r>
          </w:p>
        </w:tc>
        <w:tc>
          <w:tcPr>
            <w:tcW w:w="3150" w:type="dxa"/>
          </w:tcPr>
          <w:p w14:paraId="13E51F04">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Monitoring visit s and pictures</w:t>
            </w:r>
          </w:p>
        </w:tc>
        <w:tc>
          <w:tcPr>
            <w:tcW w:w="1371" w:type="dxa"/>
          </w:tcPr>
          <w:p w14:paraId="57E39BEB">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Monthly </w:t>
            </w:r>
          </w:p>
        </w:tc>
      </w:tr>
      <w:tr w14:paraId="019B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Pr>
          <w:p w14:paraId="4D57733F">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Build capacity of health workers </w:t>
            </w:r>
          </w:p>
        </w:tc>
        <w:tc>
          <w:tcPr>
            <w:tcW w:w="3060" w:type="dxa"/>
          </w:tcPr>
          <w:p w14:paraId="2EED1BB1">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Numbers of health workers trained.</w:t>
            </w:r>
          </w:p>
        </w:tc>
        <w:tc>
          <w:tcPr>
            <w:tcW w:w="3150" w:type="dxa"/>
          </w:tcPr>
          <w:p w14:paraId="594C2D0A">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Training attendance record and pictures. </w:t>
            </w:r>
          </w:p>
        </w:tc>
        <w:tc>
          <w:tcPr>
            <w:tcW w:w="1371" w:type="dxa"/>
          </w:tcPr>
          <w:p w14:paraId="5A68CD5F">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After training </w:t>
            </w:r>
          </w:p>
        </w:tc>
      </w:tr>
      <w:tr w14:paraId="381A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Pr>
          <w:p w14:paraId="47D181A0">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Promote dietary diversity.</w:t>
            </w:r>
          </w:p>
        </w:tc>
        <w:tc>
          <w:tcPr>
            <w:tcW w:w="3060" w:type="dxa"/>
          </w:tcPr>
          <w:p w14:paraId="4B66B8C2">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Percentage of households adopting diver’s diets.</w:t>
            </w:r>
          </w:p>
        </w:tc>
        <w:tc>
          <w:tcPr>
            <w:tcW w:w="3150" w:type="dxa"/>
          </w:tcPr>
          <w:p w14:paraId="3ECAC36B">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Survey data, focus group discussion pictures.</w:t>
            </w:r>
          </w:p>
        </w:tc>
        <w:tc>
          <w:tcPr>
            <w:tcW w:w="1371" w:type="dxa"/>
          </w:tcPr>
          <w:p w14:paraId="03B7AAA7">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Mid-term and end-line.</w:t>
            </w:r>
          </w:p>
        </w:tc>
      </w:tr>
    </w:tbl>
    <w:p w14:paraId="6A54B9CC">
      <w:pPr>
        <w:spacing w:after="0" w:line="276" w:lineRule="auto"/>
        <w:rPr>
          <w:rFonts w:ascii="Times New Roman" w:hAnsi="Times New Roman" w:eastAsia="Times New Roman" w:cs="Times New Roman"/>
          <w:b/>
          <w:bCs/>
          <w:sz w:val="24"/>
        </w:rPr>
      </w:pPr>
    </w:p>
    <w:p w14:paraId="6DE31DC3">
      <w:p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Data collection methods:                                                                                                                      </w:t>
      </w:r>
    </w:p>
    <w:p w14:paraId="2A443E80">
      <w:p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Various data collection methods will be employed to gather the information needed for monitoring and evaluations.</w:t>
      </w:r>
    </w:p>
    <w:p w14:paraId="08052E21">
      <w:pPr>
        <w:pStyle w:val="14"/>
        <w:numPr>
          <w:ilvl w:val="0"/>
          <w:numId w:val="21"/>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sz w:val="24"/>
        </w:rPr>
        <w:t xml:space="preserve">Survey and questionnaires: </w:t>
      </w:r>
    </w:p>
    <w:p w14:paraId="7D315AA2">
      <w:pPr>
        <w:pStyle w:val="14"/>
        <w:numPr>
          <w:ilvl w:val="0"/>
          <w:numId w:val="4"/>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sz w:val="24"/>
        </w:rPr>
        <w:t>Baseline survey: a baseline survey will be conducted at the start of the project to assess the initial nutritional status of children and women, household’s food security and dietary diversity.</w:t>
      </w:r>
    </w:p>
    <w:p w14:paraId="1EA23603">
      <w:pPr>
        <w:pStyle w:val="14"/>
        <w:numPr>
          <w:ilvl w:val="0"/>
          <w:numId w:val="4"/>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sz w:val="24"/>
        </w:rPr>
        <w:t xml:space="preserve">Mid-term survey: conducted hallway through the project to assess progress toward objectives and identify challenges. </w:t>
      </w:r>
    </w:p>
    <w:p w14:paraId="4F0173B3">
      <w:pPr>
        <w:pStyle w:val="14"/>
        <w:numPr>
          <w:ilvl w:val="0"/>
          <w:numId w:val="4"/>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sz w:val="24"/>
        </w:rPr>
        <w:t>End-line survey: conducted at the end of the project to evaluate the overall impact of the intervention.</w:t>
      </w:r>
    </w:p>
    <w:p w14:paraId="4EDFB58F">
      <w:pPr>
        <w:pStyle w:val="14"/>
        <w:spacing w:after="0" w:line="276" w:lineRule="auto"/>
        <w:rPr>
          <w:rFonts w:ascii="Times New Roman" w:hAnsi="Times New Roman" w:eastAsia="Times New Roman" w:cs="Times New Roman"/>
          <w:b/>
          <w:bCs/>
          <w:sz w:val="24"/>
        </w:rPr>
      </w:pPr>
    </w:p>
    <w:p w14:paraId="65D608A3">
      <w:pPr>
        <w:pStyle w:val="14"/>
        <w:numPr>
          <w:ilvl w:val="0"/>
          <w:numId w:val="21"/>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Health and nutrition screening: </w:t>
      </w:r>
    </w:p>
    <w:p w14:paraId="750A6AF1">
      <w:pPr>
        <w:pStyle w:val="14"/>
        <w:numPr>
          <w:ilvl w:val="0"/>
          <w:numId w:val="4"/>
        </w:num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Routine and nutrition screenings (MUAC, weight-for-height) will be conducted quarterly to track malnutrition rates in children under five.</w:t>
      </w:r>
    </w:p>
    <w:p w14:paraId="2A1C1E34">
      <w:pPr>
        <w:pStyle w:val="14"/>
        <w:numPr>
          <w:ilvl w:val="0"/>
          <w:numId w:val="4"/>
        </w:num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Pregnant and lactating mothers will be monitor for micronutrient deficiencies through health facility records.</w:t>
      </w:r>
    </w:p>
    <w:p w14:paraId="37D6A123">
      <w:pPr>
        <w:pStyle w:val="14"/>
        <w:numPr>
          <w:ilvl w:val="0"/>
          <w:numId w:val="21"/>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bCs/>
          <w:sz w:val="24"/>
        </w:rPr>
        <w:t>Focus group discussions (FGDs):</w:t>
      </w:r>
    </w:p>
    <w:p w14:paraId="692F9A3C">
      <w:pPr>
        <w:pStyle w:val="14"/>
        <w:numPr>
          <w:ilvl w:val="0"/>
          <w:numId w:val="4"/>
        </w:num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FGDs will be conducted with beneficiaries (mothers, caregiver and farmers) to gather qualitative data on nutrition practices, food security and perceptions of the project.</w:t>
      </w:r>
    </w:p>
    <w:p w14:paraId="702C0162">
      <w:pPr>
        <w:pStyle w:val="14"/>
        <w:numPr>
          <w:ilvl w:val="0"/>
          <w:numId w:val="21"/>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Households monitoring visit: </w:t>
      </w:r>
    </w:p>
    <w:p w14:paraId="157C0C27">
      <w:pPr>
        <w:pStyle w:val="14"/>
        <w:numPr>
          <w:ilvl w:val="0"/>
          <w:numId w:val="4"/>
        </w:num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Monthly visit to households benefiting from home gardens and livelihood support to assess their food security status and use of diver’s diets.</w:t>
      </w:r>
    </w:p>
    <w:p w14:paraId="3FE9851B">
      <w:pPr>
        <w:pStyle w:val="14"/>
        <w:numPr>
          <w:ilvl w:val="0"/>
          <w:numId w:val="21"/>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Health facility record: </w:t>
      </w:r>
    </w:p>
    <w:p w14:paraId="2578CCB8">
      <w:pPr>
        <w:pStyle w:val="14"/>
        <w:numPr>
          <w:ilvl w:val="0"/>
          <w:numId w:val="4"/>
        </w:num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 xml:space="preserve">Data on the distribution of therapeutic foods, micronutrient supplements and health services will be collected from health facilities involved in the projects. </w:t>
      </w:r>
    </w:p>
    <w:p w14:paraId="77F2E470">
      <w:pPr>
        <w:pStyle w:val="14"/>
        <w:numPr>
          <w:ilvl w:val="0"/>
          <w:numId w:val="21"/>
        </w:numPr>
        <w:spacing w:after="0" w:line="276" w:lineRule="auto"/>
        <w:rPr>
          <w:rFonts w:ascii="Times New Roman" w:hAnsi="Times New Roman" w:eastAsia="Times New Roman" w:cs="Times New Roman"/>
          <w:b/>
          <w:bCs/>
          <w:sz w:val="24"/>
        </w:rPr>
      </w:pPr>
      <w:r>
        <w:rPr>
          <w:rFonts w:ascii="Times New Roman" w:hAnsi="Times New Roman" w:eastAsia="Times New Roman" w:cs="Times New Roman"/>
          <w:b/>
          <w:bCs/>
          <w:sz w:val="24"/>
        </w:rPr>
        <w:t xml:space="preserve">Feedback mechanism: </w:t>
      </w:r>
    </w:p>
    <w:p w14:paraId="3B2F67B5">
      <w:pPr>
        <w:pStyle w:val="14"/>
        <w:numPr>
          <w:ilvl w:val="0"/>
          <w:numId w:val="4"/>
        </w:numPr>
        <w:spacing w:after="0" w:line="276" w:lineRule="auto"/>
        <w:rPr>
          <w:rFonts w:ascii="Times New Roman" w:hAnsi="Times New Roman" w:eastAsia="Times New Roman" w:cs="Times New Roman"/>
          <w:bCs/>
          <w:sz w:val="24"/>
        </w:rPr>
      </w:pPr>
      <w:r>
        <w:rPr>
          <w:rFonts w:ascii="Times New Roman" w:hAnsi="Times New Roman" w:eastAsia="Times New Roman" w:cs="Times New Roman"/>
          <w:bCs/>
          <w:sz w:val="24"/>
        </w:rPr>
        <w:t xml:space="preserve">Community feedback will be collected through suggestion boxes, feedback sessions and interviews with community leaders to gather insights and suggestions for improving project activities. </w:t>
      </w:r>
    </w:p>
    <w:p w14:paraId="10A688FD">
      <w:pPr>
        <w:pStyle w:val="14"/>
        <w:numPr>
          <w:ilvl w:val="0"/>
          <w:numId w:val="21"/>
        </w:numPr>
        <w:spacing w:after="0"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Evaluation plan:</w:t>
      </w:r>
    </w:p>
    <w:p w14:paraId="1BABF0DD">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Baseline evaluation: A baseline assessment will be conducted during the preparatory phase to establish initial data on the nutritional status of the target population, food security and health conditions. The findings will help set realistic targets for the project.</w:t>
      </w:r>
    </w:p>
    <w:p w14:paraId="66D6E937">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Mid-term evaluation: To conduct a mid-term evaluation at the halfway point of the project (6-7 months). This evaluation will assess the progress toward achieving the project objectives, identify challenges and suggest any adjustments to ensure that targets are met. </w:t>
      </w:r>
    </w:p>
    <w:p w14:paraId="6CD9962C">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End-term evaluation: this final evaluation will take place in the last 12 months and will measure the impact of the project on the community, including change in malnutrition rates, food security and dietary practices. The result will be compared with the baseline data to assess the overall effusiveness of the intervention.</w:t>
      </w:r>
    </w:p>
    <w:p w14:paraId="144ED401">
      <w:pPr>
        <w:pStyle w:val="14"/>
        <w:numPr>
          <w:ilvl w:val="0"/>
          <w:numId w:val="21"/>
        </w:numPr>
        <w:spacing w:after="0" w:line="276"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Accountability mechanism:</w:t>
      </w:r>
    </w:p>
    <w:p w14:paraId="0BA99D9A">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Community participation: involve community members in the M&amp;E process through regular meetings and feedback sessions, ensuring that their views are considered in the decision-making process. </w:t>
      </w:r>
    </w:p>
    <w:p w14:paraId="7CBB2E9D">
      <w:pPr>
        <w:pStyle w:val="14"/>
        <w:numPr>
          <w:ilvl w:val="0"/>
          <w:numId w:val="4"/>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Beneficiary’s feedback: implement beneficiary’s feedback mechanism such as suggestion boxes, SMS platforms or town hall meetings to gather input on the services provided and address any concerns or complains.</w:t>
      </w:r>
    </w:p>
    <w:p w14:paraId="59867C3D">
      <w:pPr>
        <w:pStyle w:val="14"/>
        <w:spacing w:after="0" w:line="276" w:lineRule="auto"/>
        <w:ind w:left="1620"/>
        <w:rPr>
          <w:rFonts w:ascii="Times New Roman" w:hAnsi="Times New Roman" w:eastAsia="Times New Roman" w:cs="Times New Roman"/>
          <w:sz w:val="24"/>
          <w:szCs w:val="24"/>
        </w:rPr>
      </w:pPr>
    </w:p>
    <w:p w14:paraId="1F2503F0">
      <w:pPr>
        <w:pBdr>
          <w:top w:val="single" w:color="auto" w:sz="4" w:space="1"/>
          <w:left w:val="single" w:color="auto" w:sz="4" w:space="4"/>
          <w:bottom w:val="single" w:color="auto" w:sz="4" w:space="1"/>
          <w:right w:val="single" w:color="auto" w:sz="4" w:space="4"/>
        </w:pBdr>
        <w:shd w:val="clear" w:color="auto" w:fill="8EAADB" w:themeFill="accent1" w:themeFillTint="99"/>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15. Key performance indicators:</w:t>
      </w:r>
    </w:p>
    <w:p w14:paraId="3E789B49">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The key performance indicators (KPIs) are measurable values that will assess the success of the nutrition intervention in achieving its objectives. These indicators focus on both the process (activities) and outcomes (impact) of the project. </w:t>
      </w:r>
    </w:p>
    <w:p w14:paraId="16AB54F6">
      <w:pPr>
        <w:spacing w:after="0" w:line="276" w:lineRule="auto"/>
        <w:rPr>
          <w:rFonts w:ascii="Times New Roman" w:hAnsi="Times New Roman" w:eastAsia="Times New Roman" w:cs="Times New Roman"/>
          <w:bCs/>
          <w:sz w:val="24"/>
        </w:rPr>
      </w:pPr>
    </w:p>
    <w:p w14:paraId="05F58AB2">
      <w:pPr>
        <w:pStyle w:val="14"/>
        <w:numPr>
          <w:ilvl w:val="0"/>
          <w:numId w:val="22"/>
        </w:numPr>
        <w:spacing w:after="0" w:line="276" w:lineRule="auto"/>
        <w:rPr>
          <w:rFonts w:ascii="Times New Roman" w:hAnsi="Times New Roman" w:eastAsia="Times New Roman" w:cs="Times New Roman"/>
          <w:b/>
        </w:rPr>
      </w:pPr>
      <w:r>
        <w:rPr>
          <w:rFonts w:ascii="Times New Roman" w:hAnsi="Times New Roman" w:eastAsia="Times New Roman" w:cs="Times New Roman"/>
          <w:b/>
          <w:bCs/>
          <w:sz w:val="24"/>
        </w:rPr>
        <w:t>Health and nutrition KPIs:</w:t>
      </w:r>
    </w:p>
    <w:tbl>
      <w:tblPr>
        <w:tblStyle w:val="13"/>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0"/>
        <w:gridCol w:w="4050"/>
        <w:gridCol w:w="1641"/>
      </w:tblGrid>
      <w:tr w14:paraId="5E01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shd w:val="clear" w:color="auto" w:fill="BEBEBE" w:themeFill="background1" w:themeFillShade="BF"/>
          </w:tcPr>
          <w:p w14:paraId="002DD163">
            <w:pPr>
              <w:pStyle w:val="14"/>
              <w:spacing w:after="0" w:line="276" w:lineRule="auto"/>
              <w:ind w:left="0"/>
              <w:rPr>
                <w:rFonts w:ascii="Times New Roman" w:hAnsi="Times New Roman" w:eastAsia="Times New Roman" w:cs="Times New Roman"/>
                <w:b/>
                <w:sz w:val="24"/>
              </w:rPr>
            </w:pPr>
            <w:r>
              <w:rPr>
                <w:rFonts w:ascii="Times New Roman" w:hAnsi="Times New Roman" w:eastAsia="Times New Roman" w:cs="Times New Roman"/>
                <w:b/>
                <w:sz w:val="24"/>
              </w:rPr>
              <w:t>KPI</w:t>
            </w:r>
          </w:p>
        </w:tc>
        <w:tc>
          <w:tcPr>
            <w:tcW w:w="4050" w:type="dxa"/>
            <w:shd w:val="clear" w:color="auto" w:fill="BEBEBE" w:themeFill="background1" w:themeFillShade="BF"/>
          </w:tcPr>
          <w:p w14:paraId="78C6753D">
            <w:pPr>
              <w:pStyle w:val="14"/>
              <w:spacing w:after="0" w:line="276" w:lineRule="auto"/>
              <w:ind w:left="0"/>
              <w:rPr>
                <w:rFonts w:ascii="Times New Roman" w:hAnsi="Times New Roman" w:eastAsia="Times New Roman" w:cs="Times New Roman"/>
                <w:b/>
                <w:sz w:val="24"/>
              </w:rPr>
            </w:pPr>
            <w:r>
              <w:rPr>
                <w:rFonts w:ascii="Times New Roman" w:hAnsi="Times New Roman" w:eastAsia="Times New Roman" w:cs="Times New Roman"/>
                <w:b/>
                <w:sz w:val="24"/>
              </w:rPr>
              <w:t xml:space="preserve">Target </w:t>
            </w:r>
          </w:p>
        </w:tc>
        <w:tc>
          <w:tcPr>
            <w:tcW w:w="1641" w:type="dxa"/>
            <w:shd w:val="clear" w:color="auto" w:fill="BEBEBE" w:themeFill="background1" w:themeFillShade="BF"/>
          </w:tcPr>
          <w:p w14:paraId="708CA0CA">
            <w:pPr>
              <w:pStyle w:val="14"/>
              <w:spacing w:after="0" w:line="276" w:lineRule="auto"/>
              <w:ind w:left="0"/>
              <w:rPr>
                <w:rFonts w:ascii="Times New Roman" w:hAnsi="Times New Roman" w:eastAsia="Times New Roman" w:cs="Times New Roman"/>
                <w:b/>
                <w:sz w:val="24"/>
              </w:rPr>
            </w:pPr>
            <w:r>
              <w:rPr>
                <w:rFonts w:ascii="Times New Roman" w:hAnsi="Times New Roman" w:eastAsia="Times New Roman" w:cs="Times New Roman"/>
                <w:b/>
                <w:sz w:val="24"/>
              </w:rPr>
              <w:t xml:space="preserve">Frequency </w:t>
            </w:r>
          </w:p>
        </w:tc>
      </w:tr>
      <w:tr w14:paraId="16C7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Pr>
          <w:p w14:paraId="771BB7CE">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Percentage reduction in wasting among children under five using MUAC</w:t>
            </w:r>
          </w:p>
        </w:tc>
        <w:tc>
          <w:tcPr>
            <w:tcW w:w="4050" w:type="dxa"/>
          </w:tcPr>
          <w:p w14:paraId="7D674CEC">
            <w:pPr>
              <w:pStyle w:val="14"/>
              <w:spacing w:after="0" w:line="276" w:lineRule="auto"/>
              <w:ind w:left="0"/>
              <w:rPr>
                <w:rFonts w:ascii="Times New Roman" w:hAnsi="Times New Roman" w:eastAsia="Times New Roman" w:cs="Times New Roman"/>
                <w:b/>
                <w:sz w:val="24"/>
              </w:rPr>
            </w:pPr>
            <w:r>
              <w:rPr>
                <w:rFonts w:ascii="Times New Roman" w:hAnsi="Times New Roman" w:eastAsia="Times New Roman" w:cs="Times New Roman"/>
                <w:b/>
                <w:sz w:val="24"/>
              </w:rPr>
              <w:t xml:space="preserve">30% </w:t>
            </w:r>
            <w:r>
              <w:rPr>
                <w:rFonts w:ascii="Times New Roman" w:hAnsi="Times New Roman" w:eastAsia="Times New Roman" w:cs="Times New Roman"/>
                <w:sz w:val="24"/>
              </w:rPr>
              <w:t>reduction in wasting rates by the end of the project.</w:t>
            </w:r>
            <w:r>
              <w:rPr>
                <w:rFonts w:ascii="Times New Roman" w:hAnsi="Times New Roman" w:eastAsia="Times New Roman" w:cs="Times New Roman"/>
                <w:b/>
                <w:sz w:val="24"/>
              </w:rPr>
              <w:t xml:space="preserve"> </w:t>
            </w:r>
          </w:p>
        </w:tc>
        <w:tc>
          <w:tcPr>
            <w:tcW w:w="1641" w:type="dxa"/>
          </w:tcPr>
          <w:p w14:paraId="7EFEF9EF">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Quarterly</w:t>
            </w:r>
          </w:p>
        </w:tc>
      </w:tr>
      <w:tr w14:paraId="0A08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Pr>
          <w:p w14:paraId="749FDA41">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Percentage reduction in stunting among children under five. </w:t>
            </w:r>
          </w:p>
        </w:tc>
        <w:tc>
          <w:tcPr>
            <w:tcW w:w="4050" w:type="dxa"/>
          </w:tcPr>
          <w:p w14:paraId="3384E70D">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20% reduction in stunting by the end of the project. </w:t>
            </w:r>
          </w:p>
        </w:tc>
        <w:tc>
          <w:tcPr>
            <w:tcW w:w="1641" w:type="dxa"/>
          </w:tcPr>
          <w:p w14:paraId="0CA0A5E2">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Quarterly </w:t>
            </w:r>
          </w:p>
        </w:tc>
      </w:tr>
      <w:tr w14:paraId="2A8E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Pr>
          <w:p w14:paraId="03105EBE">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Percentage of malnourished children referred for treatment. </w:t>
            </w:r>
          </w:p>
        </w:tc>
        <w:tc>
          <w:tcPr>
            <w:tcW w:w="4050" w:type="dxa"/>
          </w:tcPr>
          <w:p w14:paraId="260F6190">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100% of identified malnourished children referred to appropriate health facilities. </w:t>
            </w:r>
          </w:p>
        </w:tc>
        <w:tc>
          <w:tcPr>
            <w:tcW w:w="1641" w:type="dxa"/>
          </w:tcPr>
          <w:p w14:paraId="371E902E">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Quarterly</w:t>
            </w:r>
          </w:p>
        </w:tc>
      </w:tr>
      <w:tr w14:paraId="4907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Pr>
          <w:p w14:paraId="26CB4928">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Percentage of pregnant and lactating women receiving iron/folic acid supplements. </w:t>
            </w:r>
          </w:p>
        </w:tc>
        <w:tc>
          <w:tcPr>
            <w:tcW w:w="4050" w:type="dxa"/>
          </w:tcPr>
          <w:p w14:paraId="5FC23ECC">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85% of pregnant and lactating women receiving supplements</w:t>
            </w:r>
          </w:p>
        </w:tc>
        <w:tc>
          <w:tcPr>
            <w:tcW w:w="1641" w:type="dxa"/>
          </w:tcPr>
          <w:p w14:paraId="39F00BF3">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Quarterly</w:t>
            </w:r>
          </w:p>
        </w:tc>
      </w:tr>
      <w:tr w14:paraId="7EF4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Pr>
          <w:p w14:paraId="359873BA">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Prevalence of exclusive breastfeeding among mothers with infants under six months. </w:t>
            </w:r>
          </w:p>
        </w:tc>
        <w:tc>
          <w:tcPr>
            <w:tcW w:w="4050" w:type="dxa"/>
          </w:tcPr>
          <w:p w14:paraId="349C83B5">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70% of mothers practicing exclusive breastfeeding.</w:t>
            </w:r>
          </w:p>
        </w:tc>
        <w:tc>
          <w:tcPr>
            <w:tcW w:w="1641" w:type="dxa"/>
          </w:tcPr>
          <w:p w14:paraId="73758820">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Quarterly </w:t>
            </w:r>
          </w:p>
        </w:tc>
      </w:tr>
      <w:tr w14:paraId="7324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0" w:type="dxa"/>
          </w:tcPr>
          <w:p w14:paraId="75368EA5">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 xml:space="preserve">Percentage of children under five receiving vitamin A supplements. </w:t>
            </w:r>
          </w:p>
        </w:tc>
        <w:tc>
          <w:tcPr>
            <w:tcW w:w="4050" w:type="dxa"/>
          </w:tcPr>
          <w:p w14:paraId="490B479A">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95% of eligible children receiving Vitamin A supplements.</w:t>
            </w:r>
          </w:p>
        </w:tc>
        <w:tc>
          <w:tcPr>
            <w:tcW w:w="1641" w:type="dxa"/>
          </w:tcPr>
          <w:p w14:paraId="50C6BBEE">
            <w:pPr>
              <w:pStyle w:val="14"/>
              <w:spacing w:after="0" w:line="276" w:lineRule="auto"/>
              <w:ind w:left="0"/>
              <w:rPr>
                <w:rFonts w:ascii="Times New Roman" w:hAnsi="Times New Roman" w:eastAsia="Times New Roman" w:cs="Times New Roman"/>
                <w:sz w:val="24"/>
              </w:rPr>
            </w:pPr>
            <w:r>
              <w:rPr>
                <w:rFonts w:ascii="Times New Roman" w:hAnsi="Times New Roman" w:eastAsia="Times New Roman" w:cs="Times New Roman"/>
                <w:sz w:val="24"/>
              </w:rPr>
              <w:t>Quarterly</w:t>
            </w:r>
          </w:p>
        </w:tc>
      </w:tr>
    </w:tbl>
    <w:p w14:paraId="11614D75">
      <w:pPr>
        <w:pStyle w:val="14"/>
        <w:spacing w:after="0" w:line="276" w:lineRule="auto"/>
        <w:rPr>
          <w:rFonts w:ascii="Times New Roman" w:hAnsi="Times New Roman" w:eastAsia="Times New Roman" w:cs="Times New Roman"/>
          <w:b/>
          <w:sz w:val="24"/>
        </w:rPr>
      </w:pPr>
    </w:p>
    <w:p w14:paraId="33F82CC1">
      <w:pPr>
        <w:pStyle w:val="14"/>
        <w:numPr>
          <w:ilvl w:val="0"/>
          <w:numId w:val="22"/>
        </w:num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Dietary diversity and food security KPIs.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4860"/>
        <w:gridCol w:w="1641"/>
      </w:tblGrid>
      <w:tr w14:paraId="69FA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shd w:val="clear" w:color="auto" w:fill="A5A5A5" w:themeFill="background1" w:themeFillShade="A6"/>
          </w:tcPr>
          <w:p w14:paraId="57AB316F">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KPI</w:t>
            </w:r>
          </w:p>
        </w:tc>
        <w:tc>
          <w:tcPr>
            <w:tcW w:w="4860" w:type="dxa"/>
            <w:shd w:val="clear" w:color="auto" w:fill="A5A5A5" w:themeFill="background1" w:themeFillShade="A6"/>
          </w:tcPr>
          <w:p w14:paraId="5D9466AF">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Target</w:t>
            </w:r>
          </w:p>
        </w:tc>
        <w:tc>
          <w:tcPr>
            <w:tcW w:w="1641" w:type="dxa"/>
            <w:shd w:val="clear" w:color="auto" w:fill="A5A5A5" w:themeFill="background1" w:themeFillShade="A6"/>
          </w:tcPr>
          <w:p w14:paraId="21342EFA">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 xml:space="preserve">Frequency </w:t>
            </w:r>
          </w:p>
        </w:tc>
      </w:tr>
      <w:tr w14:paraId="3382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5C4CE94F">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Household dietary diversity score (HDDS)</w:t>
            </w:r>
          </w:p>
        </w:tc>
        <w:tc>
          <w:tcPr>
            <w:tcW w:w="4860" w:type="dxa"/>
          </w:tcPr>
          <w:p w14:paraId="0D9F6760">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80% of households consuming diverse diets (5 or more food groups)</w:t>
            </w:r>
          </w:p>
        </w:tc>
        <w:tc>
          <w:tcPr>
            <w:tcW w:w="1641" w:type="dxa"/>
          </w:tcPr>
          <w:p w14:paraId="374D8207">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Mid-term and End-line</w:t>
            </w:r>
          </w:p>
        </w:tc>
      </w:tr>
      <w:tr w14:paraId="4BDF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1ECE478E">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Percentage of households with home gardens. </w:t>
            </w:r>
          </w:p>
        </w:tc>
        <w:tc>
          <w:tcPr>
            <w:tcW w:w="4860" w:type="dxa"/>
          </w:tcPr>
          <w:p w14:paraId="6A9BE42E">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75% of households supported with seed and tools establishing home garden. </w:t>
            </w:r>
          </w:p>
        </w:tc>
        <w:tc>
          <w:tcPr>
            <w:tcW w:w="1641" w:type="dxa"/>
          </w:tcPr>
          <w:p w14:paraId="798DB17E">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Quarterly </w:t>
            </w:r>
          </w:p>
        </w:tc>
      </w:tr>
      <w:tr w14:paraId="1628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4AFA8B80">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Percentage of households reporting improved food security. </w:t>
            </w:r>
          </w:p>
        </w:tc>
        <w:tc>
          <w:tcPr>
            <w:tcW w:w="4860" w:type="dxa"/>
          </w:tcPr>
          <w:p w14:paraId="08C683F9">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60% of households reporting adequate food supply throughout the year. </w:t>
            </w:r>
          </w:p>
        </w:tc>
        <w:tc>
          <w:tcPr>
            <w:tcW w:w="1641" w:type="dxa"/>
          </w:tcPr>
          <w:p w14:paraId="42C18C19">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Quarterly</w:t>
            </w:r>
          </w:p>
        </w:tc>
      </w:tr>
      <w:tr w14:paraId="56BA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2814BF2D">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Percentage of households reporting increased income from home gardening or small-scale farming. </w:t>
            </w:r>
          </w:p>
        </w:tc>
        <w:tc>
          <w:tcPr>
            <w:tcW w:w="4860" w:type="dxa"/>
          </w:tcPr>
          <w:p w14:paraId="3EF6F21F">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50% of household’s generating additional income from gardening activities. </w:t>
            </w:r>
          </w:p>
        </w:tc>
        <w:tc>
          <w:tcPr>
            <w:tcW w:w="1641" w:type="dxa"/>
          </w:tcPr>
          <w:p w14:paraId="22B361C3">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Mid-term and End-line</w:t>
            </w:r>
          </w:p>
        </w:tc>
      </w:tr>
    </w:tbl>
    <w:p w14:paraId="2E37A5C7">
      <w:pPr>
        <w:spacing w:after="0" w:line="276" w:lineRule="auto"/>
        <w:rPr>
          <w:rFonts w:ascii="Times New Roman" w:hAnsi="Times New Roman" w:eastAsia="Times New Roman" w:cs="Times New Roman"/>
          <w:b/>
          <w:sz w:val="24"/>
        </w:rPr>
      </w:pPr>
    </w:p>
    <w:p w14:paraId="3EBBBB01">
      <w:pPr>
        <w:pStyle w:val="14"/>
        <w:numPr>
          <w:ilvl w:val="0"/>
          <w:numId w:val="22"/>
        </w:num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Capacity building and community engagement KPIs: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4860"/>
        <w:gridCol w:w="1641"/>
      </w:tblGrid>
      <w:tr w14:paraId="7C41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shd w:val="clear" w:color="auto" w:fill="A5A5A5" w:themeFill="background1" w:themeFillShade="A6"/>
          </w:tcPr>
          <w:p w14:paraId="67AAEE27">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KPI</w:t>
            </w:r>
          </w:p>
        </w:tc>
        <w:tc>
          <w:tcPr>
            <w:tcW w:w="4860" w:type="dxa"/>
            <w:shd w:val="clear" w:color="auto" w:fill="A5A5A5" w:themeFill="background1" w:themeFillShade="A6"/>
          </w:tcPr>
          <w:p w14:paraId="237F3725">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Target</w:t>
            </w:r>
          </w:p>
        </w:tc>
        <w:tc>
          <w:tcPr>
            <w:tcW w:w="1641" w:type="dxa"/>
            <w:shd w:val="clear" w:color="auto" w:fill="A5A5A5" w:themeFill="background1" w:themeFillShade="A6"/>
          </w:tcPr>
          <w:p w14:paraId="62734C46">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Frequency</w:t>
            </w:r>
          </w:p>
        </w:tc>
      </w:tr>
      <w:tr w14:paraId="4FB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0AC7DC9A">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Number if health workers and volunteers trained on nutrition.</w:t>
            </w:r>
          </w:p>
        </w:tc>
        <w:tc>
          <w:tcPr>
            <w:tcW w:w="4860" w:type="dxa"/>
          </w:tcPr>
          <w:p w14:paraId="3066B705">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50% health worker and 100 community volunteers trained</w:t>
            </w:r>
          </w:p>
        </w:tc>
        <w:tc>
          <w:tcPr>
            <w:tcW w:w="1641" w:type="dxa"/>
          </w:tcPr>
          <w:p w14:paraId="6F8801B2">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After training </w:t>
            </w:r>
          </w:p>
        </w:tc>
      </w:tr>
      <w:tr w14:paraId="35EE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14AE2685">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Percentage of community volunteers actively participating in project activities.</w:t>
            </w:r>
          </w:p>
        </w:tc>
        <w:tc>
          <w:tcPr>
            <w:tcW w:w="4860" w:type="dxa"/>
          </w:tcPr>
          <w:p w14:paraId="78087F73">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90% of trained volunteers actively supporting screenings, education and follow-ups.</w:t>
            </w:r>
          </w:p>
        </w:tc>
        <w:tc>
          <w:tcPr>
            <w:tcW w:w="1641" w:type="dxa"/>
          </w:tcPr>
          <w:p w14:paraId="790E5563">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Monthly </w:t>
            </w:r>
          </w:p>
        </w:tc>
      </w:tr>
      <w:tr w14:paraId="1DCF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1F4F5CE4">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Number of nutrition education and awareness sessions conducted.</w:t>
            </w:r>
          </w:p>
        </w:tc>
        <w:tc>
          <w:tcPr>
            <w:tcW w:w="4860" w:type="dxa"/>
          </w:tcPr>
          <w:p w14:paraId="42AB5E4F">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12 monthly nutrition education sessions conducted. </w:t>
            </w:r>
          </w:p>
        </w:tc>
        <w:tc>
          <w:tcPr>
            <w:tcW w:w="1641" w:type="dxa"/>
          </w:tcPr>
          <w:p w14:paraId="434DE17A">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Monthly </w:t>
            </w:r>
          </w:p>
        </w:tc>
      </w:tr>
      <w:tr w14:paraId="7C17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4C744543">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Number of community members reached through awareness campaign. </w:t>
            </w:r>
          </w:p>
        </w:tc>
        <w:tc>
          <w:tcPr>
            <w:tcW w:w="4860" w:type="dxa"/>
          </w:tcPr>
          <w:p w14:paraId="2391F9E7">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1,300 community members reached through awareness campaigns. </w:t>
            </w:r>
          </w:p>
        </w:tc>
        <w:tc>
          <w:tcPr>
            <w:tcW w:w="1641" w:type="dxa"/>
          </w:tcPr>
          <w:p w14:paraId="322CCF3D">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Quarterly</w:t>
            </w:r>
          </w:p>
        </w:tc>
      </w:tr>
    </w:tbl>
    <w:p w14:paraId="436D8629">
      <w:pPr>
        <w:spacing w:after="0" w:line="276" w:lineRule="auto"/>
        <w:rPr>
          <w:rFonts w:ascii="Times New Roman" w:hAnsi="Times New Roman" w:eastAsia="Times New Roman" w:cs="Times New Roman"/>
          <w:b/>
          <w:sz w:val="24"/>
        </w:rPr>
      </w:pPr>
    </w:p>
    <w:p w14:paraId="1C44B246">
      <w:pPr>
        <w:pStyle w:val="14"/>
        <w:numPr>
          <w:ilvl w:val="0"/>
          <w:numId w:val="22"/>
        </w:num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Project implementation and delivery KPIs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4860"/>
        <w:gridCol w:w="1641"/>
      </w:tblGrid>
      <w:tr w14:paraId="053F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shd w:val="clear" w:color="auto" w:fill="A5A5A5" w:themeFill="background1" w:themeFillShade="A6"/>
          </w:tcPr>
          <w:p w14:paraId="5A4D43AB">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KPI</w:t>
            </w:r>
          </w:p>
        </w:tc>
        <w:tc>
          <w:tcPr>
            <w:tcW w:w="4860" w:type="dxa"/>
            <w:shd w:val="clear" w:color="auto" w:fill="A5A5A5" w:themeFill="background1" w:themeFillShade="A6"/>
          </w:tcPr>
          <w:p w14:paraId="6129CF89">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Target</w:t>
            </w:r>
          </w:p>
        </w:tc>
        <w:tc>
          <w:tcPr>
            <w:tcW w:w="1641" w:type="dxa"/>
            <w:shd w:val="clear" w:color="auto" w:fill="A5A5A5" w:themeFill="background1" w:themeFillShade="A6"/>
          </w:tcPr>
          <w:p w14:paraId="1C0BA180">
            <w:pPr>
              <w:spacing w:after="0" w:line="276" w:lineRule="auto"/>
              <w:rPr>
                <w:rFonts w:ascii="Times New Roman" w:hAnsi="Times New Roman" w:eastAsia="Times New Roman" w:cs="Times New Roman"/>
                <w:b/>
                <w:sz w:val="24"/>
              </w:rPr>
            </w:pPr>
            <w:r>
              <w:rPr>
                <w:rFonts w:ascii="Times New Roman" w:hAnsi="Times New Roman" w:eastAsia="Times New Roman" w:cs="Times New Roman"/>
                <w:b/>
                <w:sz w:val="24"/>
              </w:rPr>
              <w:t>Frequency</w:t>
            </w:r>
          </w:p>
        </w:tc>
      </w:tr>
      <w:tr w14:paraId="17F4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6B568C8D">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Timely delivery of nutrition supplements and therapeutic foods.</w:t>
            </w:r>
          </w:p>
        </w:tc>
        <w:tc>
          <w:tcPr>
            <w:tcW w:w="4860" w:type="dxa"/>
          </w:tcPr>
          <w:p w14:paraId="725AE585">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100% of nutrition supplies delivered on schedule</w:t>
            </w:r>
          </w:p>
        </w:tc>
        <w:tc>
          <w:tcPr>
            <w:tcW w:w="1641" w:type="dxa"/>
          </w:tcPr>
          <w:p w14:paraId="24241987">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Monthly </w:t>
            </w:r>
          </w:p>
        </w:tc>
      </w:tr>
      <w:tr w14:paraId="7204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08B345EC">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Percentage of project activities implemented as planned.</w:t>
            </w:r>
          </w:p>
        </w:tc>
        <w:tc>
          <w:tcPr>
            <w:tcW w:w="4860" w:type="dxa"/>
          </w:tcPr>
          <w:p w14:paraId="608E1ADE">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95% of planned activities completed on time.</w:t>
            </w:r>
          </w:p>
        </w:tc>
        <w:tc>
          <w:tcPr>
            <w:tcW w:w="1641" w:type="dxa"/>
          </w:tcPr>
          <w:p w14:paraId="46A98FF6">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Quarterly</w:t>
            </w:r>
          </w:p>
        </w:tc>
      </w:tr>
      <w:tr w14:paraId="2229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3AF962C9">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Percentage of funds disbursed according to project budget.</w:t>
            </w:r>
          </w:p>
        </w:tc>
        <w:tc>
          <w:tcPr>
            <w:tcW w:w="4860" w:type="dxa"/>
          </w:tcPr>
          <w:p w14:paraId="0C4F84C7">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90% of project funds disbursed according to budget plan.</w:t>
            </w:r>
          </w:p>
        </w:tc>
        <w:tc>
          <w:tcPr>
            <w:tcW w:w="1641" w:type="dxa"/>
          </w:tcPr>
          <w:p w14:paraId="61A56BE8">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 xml:space="preserve">Quarterly </w:t>
            </w:r>
          </w:p>
        </w:tc>
      </w:tr>
      <w:tr w14:paraId="3FFA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2DC013C7">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Timelines of reporting and data submission.</w:t>
            </w:r>
          </w:p>
        </w:tc>
        <w:tc>
          <w:tcPr>
            <w:tcW w:w="4860" w:type="dxa"/>
          </w:tcPr>
          <w:p w14:paraId="3CC38EF0">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All reports (monthly and quarterly) submitted on time 100% of the time</w:t>
            </w:r>
          </w:p>
        </w:tc>
        <w:tc>
          <w:tcPr>
            <w:tcW w:w="1641" w:type="dxa"/>
          </w:tcPr>
          <w:p w14:paraId="354F5844">
            <w:pPr>
              <w:spacing w:after="0" w:line="276" w:lineRule="auto"/>
              <w:rPr>
                <w:rFonts w:ascii="Times New Roman" w:hAnsi="Times New Roman" w:eastAsia="Times New Roman" w:cs="Times New Roman"/>
                <w:sz w:val="24"/>
              </w:rPr>
            </w:pPr>
            <w:r>
              <w:rPr>
                <w:rFonts w:ascii="Times New Roman" w:hAnsi="Times New Roman" w:eastAsia="Times New Roman" w:cs="Times New Roman"/>
                <w:sz w:val="24"/>
              </w:rPr>
              <w:t>Monthly and quarterly</w:t>
            </w:r>
          </w:p>
        </w:tc>
      </w:tr>
    </w:tbl>
    <w:p w14:paraId="5ED97C1B">
      <w:pPr>
        <w:spacing w:after="0" w:line="276" w:lineRule="auto"/>
        <w:rPr>
          <w:rFonts w:ascii="Times New Roman" w:hAnsi="Times New Roman" w:eastAsia="Times New Roman" w:cs="Times New Roman"/>
          <w:b/>
          <w:sz w:val="24"/>
        </w:rPr>
      </w:pPr>
    </w:p>
    <w:p w14:paraId="52D9BB5C">
      <w:pPr>
        <w:pStyle w:val="14"/>
        <w:numPr>
          <w:ilvl w:val="0"/>
          <w:numId w:val="22"/>
        </w:numPr>
        <w:spacing w:after="0" w:line="276" w:lineRule="auto"/>
        <w:rPr>
          <w:rFonts w:ascii="Times New Roman" w:hAnsi="Times New Roman" w:eastAsia="Times New Roman" w:cs="Times New Roman"/>
          <w:b/>
        </w:rPr>
      </w:pPr>
      <w:r>
        <w:rPr>
          <w:rFonts w:ascii="Times New Roman" w:hAnsi="Times New Roman" w:eastAsia="Times New Roman" w:cs="Times New Roman"/>
          <w:b/>
        </w:rPr>
        <w:t>Monitoring and evaluation KPIs</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4860"/>
        <w:gridCol w:w="1641"/>
      </w:tblGrid>
      <w:tr w14:paraId="730B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shd w:val="clear" w:color="auto" w:fill="A5A5A5" w:themeFill="background1" w:themeFillShade="A6"/>
          </w:tcPr>
          <w:p w14:paraId="11A7B2C2">
            <w:pPr>
              <w:spacing w:after="0" w:line="276" w:lineRule="auto"/>
              <w:rPr>
                <w:rFonts w:ascii="Times New Roman" w:hAnsi="Times New Roman" w:eastAsia="Times New Roman" w:cs="Times New Roman"/>
                <w:b/>
              </w:rPr>
            </w:pPr>
            <w:r>
              <w:rPr>
                <w:rFonts w:ascii="Times New Roman" w:hAnsi="Times New Roman" w:eastAsia="Times New Roman" w:cs="Times New Roman"/>
                <w:b/>
              </w:rPr>
              <w:t>KPI</w:t>
            </w:r>
          </w:p>
        </w:tc>
        <w:tc>
          <w:tcPr>
            <w:tcW w:w="4860" w:type="dxa"/>
            <w:shd w:val="clear" w:color="auto" w:fill="A5A5A5" w:themeFill="background1" w:themeFillShade="A6"/>
          </w:tcPr>
          <w:p w14:paraId="698180CF">
            <w:pPr>
              <w:spacing w:after="0" w:line="276" w:lineRule="auto"/>
              <w:rPr>
                <w:rFonts w:ascii="Times New Roman" w:hAnsi="Times New Roman" w:eastAsia="Times New Roman" w:cs="Times New Roman"/>
                <w:b/>
              </w:rPr>
            </w:pPr>
            <w:r>
              <w:rPr>
                <w:rFonts w:ascii="Times New Roman" w:hAnsi="Times New Roman" w:eastAsia="Times New Roman" w:cs="Times New Roman"/>
                <w:b/>
              </w:rPr>
              <w:t>Target</w:t>
            </w:r>
          </w:p>
        </w:tc>
        <w:tc>
          <w:tcPr>
            <w:tcW w:w="1641" w:type="dxa"/>
            <w:shd w:val="clear" w:color="auto" w:fill="A5A5A5" w:themeFill="background1" w:themeFillShade="A6"/>
          </w:tcPr>
          <w:p w14:paraId="28377837">
            <w:pPr>
              <w:spacing w:after="0" w:line="276" w:lineRule="auto"/>
              <w:rPr>
                <w:rFonts w:ascii="Times New Roman" w:hAnsi="Times New Roman" w:eastAsia="Times New Roman" w:cs="Times New Roman"/>
                <w:b/>
              </w:rPr>
            </w:pPr>
            <w:r>
              <w:rPr>
                <w:rFonts w:ascii="Times New Roman" w:hAnsi="Times New Roman" w:eastAsia="Times New Roman" w:cs="Times New Roman"/>
                <w:b/>
              </w:rPr>
              <w:t xml:space="preserve">Frequency </w:t>
            </w:r>
          </w:p>
        </w:tc>
      </w:tr>
      <w:tr w14:paraId="59B4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215988FE">
            <w:pPr>
              <w:spacing w:after="0" w:line="276" w:lineRule="auto"/>
              <w:rPr>
                <w:rFonts w:ascii="Times New Roman" w:hAnsi="Times New Roman" w:eastAsia="Times New Roman" w:cs="Times New Roman"/>
              </w:rPr>
            </w:pPr>
            <w:r>
              <w:rPr>
                <w:rFonts w:ascii="Times New Roman" w:hAnsi="Times New Roman" w:eastAsia="Times New Roman" w:cs="Times New Roman"/>
              </w:rPr>
              <w:t>Completion of baseline, mid-term and end-line survey.</w:t>
            </w:r>
          </w:p>
        </w:tc>
        <w:tc>
          <w:tcPr>
            <w:tcW w:w="4860" w:type="dxa"/>
          </w:tcPr>
          <w:p w14:paraId="02E92B01">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100% completion of baseline, mid-term and End-line evaluation. </w:t>
            </w:r>
          </w:p>
        </w:tc>
        <w:tc>
          <w:tcPr>
            <w:tcW w:w="1641" w:type="dxa"/>
          </w:tcPr>
          <w:p w14:paraId="462377B7">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As scheduled </w:t>
            </w:r>
          </w:p>
        </w:tc>
      </w:tr>
      <w:tr w14:paraId="4898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7D2E0B52">
            <w:pPr>
              <w:spacing w:after="0" w:line="276" w:lineRule="auto"/>
              <w:rPr>
                <w:rFonts w:ascii="Times New Roman" w:hAnsi="Times New Roman" w:eastAsia="Times New Roman" w:cs="Times New Roman"/>
              </w:rPr>
            </w:pPr>
            <w:r>
              <w:rPr>
                <w:rFonts w:ascii="Times New Roman" w:hAnsi="Times New Roman" w:eastAsia="Times New Roman" w:cs="Times New Roman"/>
              </w:rPr>
              <w:t>Percentage of beneficiaries who provided positive feedback on project services.</w:t>
            </w:r>
          </w:p>
        </w:tc>
        <w:tc>
          <w:tcPr>
            <w:tcW w:w="4860" w:type="dxa"/>
          </w:tcPr>
          <w:p w14:paraId="6A75550D">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80% of beneficiaries report satisfaction with the project activities. </w:t>
            </w:r>
          </w:p>
        </w:tc>
        <w:tc>
          <w:tcPr>
            <w:tcW w:w="1641" w:type="dxa"/>
          </w:tcPr>
          <w:p w14:paraId="324CD520">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Mid-term and End-line </w:t>
            </w:r>
          </w:p>
        </w:tc>
      </w:tr>
      <w:tr w14:paraId="1898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2FD68935">
            <w:pPr>
              <w:spacing w:after="0" w:line="276" w:lineRule="auto"/>
              <w:rPr>
                <w:rFonts w:ascii="Times New Roman" w:hAnsi="Times New Roman" w:eastAsia="Times New Roman" w:cs="Times New Roman"/>
              </w:rPr>
            </w:pPr>
            <w:r>
              <w:rPr>
                <w:rFonts w:ascii="Times New Roman" w:hAnsi="Times New Roman" w:eastAsia="Times New Roman" w:cs="Times New Roman"/>
              </w:rPr>
              <w:t>Accuracy and completeness of THE data collected.</w:t>
            </w:r>
          </w:p>
        </w:tc>
        <w:tc>
          <w:tcPr>
            <w:tcW w:w="4860" w:type="dxa"/>
          </w:tcPr>
          <w:p w14:paraId="545A8A79">
            <w:pPr>
              <w:spacing w:after="0" w:line="276" w:lineRule="auto"/>
              <w:rPr>
                <w:rFonts w:ascii="Times New Roman" w:hAnsi="Times New Roman" w:eastAsia="Times New Roman" w:cs="Times New Roman"/>
              </w:rPr>
            </w:pPr>
            <w:r>
              <w:rPr>
                <w:rFonts w:ascii="Times New Roman" w:hAnsi="Times New Roman" w:eastAsia="Times New Roman" w:cs="Times New Roman"/>
              </w:rPr>
              <w:t>100% of data collected is accurate and complete.</w:t>
            </w:r>
          </w:p>
        </w:tc>
        <w:tc>
          <w:tcPr>
            <w:tcW w:w="1641" w:type="dxa"/>
          </w:tcPr>
          <w:p w14:paraId="307F2417">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Monthly </w:t>
            </w:r>
          </w:p>
        </w:tc>
      </w:tr>
      <w:tr w14:paraId="6B2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5" w:type="dxa"/>
          </w:tcPr>
          <w:p w14:paraId="28F14CDD">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Number of monitoring visits conducted. </w:t>
            </w:r>
          </w:p>
        </w:tc>
        <w:tc>
          <w:tcPr>
            <w:tcW w:w="4860" w:type="dxa"/>
          </w:tcPr>
          <w:p w14:paraId="4C1E819E">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At least ones monitoring visit par month and par community. </w:t>
            </w:r>
          </w:p>
        </w:tc>
        <w:tc>
          <w:tcPr>
            <w:tcW w:w="1641" w:type="dxa"/>
          </w:tcPr>
          <w:p w14:paraId="495F613D">
            <w:pPr>
              <w:spacing w:after="0" w:line="276" w:lineRule="auto"/>
              <w:rPr>
                <w:rFonts w:ascii="Times New Roman" w:hAnsi="Times New Roman" w:eastAsia="Times New Roman" w:cs="Times New Roman"/>
              </w:rPr>
            </w:pPr>
            <w:r>
              <w:rPr>
                <w:rFonts w:ascii="Times New Roman" w:hAnsi="Times New Roman" w:eastAsia="Times New Roman" w:cs="Times New Roman"/>
              </w:rPr>
              <w:t xml:space="preserve">Monthly </w:t>
            </w:r>
          </w:p>
        </w:tc>
      </w:tr>
    </w:tbl>
    <w:p w14:paraId="2DA3D3C6">
      <w:pPr>
        <w:spacing w:after="0" w:line="276" w:lineRule="auto"/>
        <w:rPr>
          <w:rFonts w:ascii="Times New Roman" w:hAnsi="Times New Roman" w:eastAsia="Times New Roman" w:cs="Times New Roman"/>
        </w:rPr>
      </w:pPr>
    </w:p>
    <w:p w14:paraId="7B279CC0">
      <w:pPr>
        <w:spacing w:after="0" w:line="276" w:lineRule="auto"/>
        <w:rPr>
          <w:rFonts w:ascii="Times New Roman" w:hAnsi="Times New Roman" w:eastAsia="Times New Roman" w:cs="Times New Roman"/>
        </w:rPr>
      </w:pPr>
    </w:p>
    <w:p w14:paraId="56CF2EC4">
      <w:pPr>
        <w:spacing w:after="0" w:line="276" w:lineRule="auto"/>
        <w:rPr>
          <w:rFonts w:ascii="Times New Roman" w:hAnsi="Times New Roman" w:eastAsia="Times New Roman" w:cs="Times New Roman"/>
        </w:rPr>
      </w:pPr>
    </w:p>
    <w:p w14:paraId="2D14CF53">
      <w:pPr>
        <w:spacing w:after="0" w:line="276" w:lineRule="auto"/>
        <w:rPr>
          <w:rFonts w:ascii="Times New Roman" w:hAnsi="Times New Roman" w:eastAsia="Times New Roman" w:cs="Times New Roman"/>
        </w:rPr>
      </w:pPr>
    </w:p>
    <w:p w14:paraId="668D3783">
      <w:pPr>
        <w:spacing w:after="0" w:line="276" w:lineRule="auto"/>
        <w:rPr>
          <w:rFonts w:ascii="Times New Roman" w:hAnsi="Times New Roman" w:eastAsia="Times New Roman" w:cs="Times New Roman"/>
        </w:rPr>
      </w:pPr>
    </w:p>
    <w:p w14:paraId="1D0AED8F">
      <w:pPr>
        <w:spacing w:after="0" w:line="276" w:lineRule="auto"/>
        <w:rPr>
          <w:rFonts w:ascii="Times New Roman" w:hAnsi="Times New Roman" w:eastAsia="Times New Roman" w:cs="Times New Roman"/>
        </w:rPr>
      </w:pPr>
    </w:p>
    <w:p w14:paraId="3B68DD14">
      <w:pPr>
        <w:spacing w:after="0" w:line="276" w:lineRule="auto"/>
        <w:rPr>
          <w:rFonts w:ascii="Times New Roman" w:hAnsi="Times New Roman" w:eastAsia="Times New Roman" w:cs="Times New Roman"/>
        </w:rPr>
      </w:pPr>
    </w:p>
    <w:p w14:paraId="5C42EB00">
      <w:pPr>
        <w:pBdr>
          <w:top w:val="single" w:color="auto" w:sz="4" w:space="1"/>
          <w:left w:val="single" w:color="auto" w:sz="4" w:space="17"/>
          <w:bottom w:val="single" w:color="auto" w:sz="4" w:space="1"/>
          <w:right w:val="single" w:color="auto" w:sz="4" w:space="4"/>
          <w:between w:val="single" w:color="auto" w:sz="4" w:space="1"/>
        </w:pBdr>
        <w:shd w:val="clear" w:color="auto" w:fill="8EAADB" w:themeFill="accent1" w:themeFillTint="99"/>
        <w:tabs>
          <w:tab w:val="left" w:pos="1775"/>
        </w:tabs>
        <w:spacing w:line="276" w:lineRule="auto"/>
        <w:jc w:val="both"/>
        <w:rPr>
          <w:rFonts w:ascii="Times New Roman" w:hAnsi="Times New Roman" w:cs="Times New Roman"/>
          <w:b/>
          <w:bCs/>
        </w:rPr>
      </w:pPr>
      <w:r>
        <w:rPr>
          <w:rFonts w:ascii="Times New Roman" w:hAnsi="Times New Roman" w:cs="Times New Roman"/>
          <w:b/>
          <w:bCs/>
        </w:rPr>
        <w:t>16. Work plan</w:t>
      </w:r>
    </w:p>
    <w:tbl>
      <w:tblPr>
        <w:tblStyle w:val="13"/>
        <w:tblW w:w="1107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0"/>
        <w:gridCol w:w="540"/>
        <w:gridCol w:w="630"/>
        <w:gridCol w:w="540"/>
        <w:gridCol w:w="540"/>
        <w:gridCol w:w="540"/>
        <w:gridCol w:w="540"/>
        <w:gridCol w:w="540"/>
        <w:gridCol w:w="540"/>
        <w:gridCol w:w="450"/>
        <w:gridCol w:w="540"/>
        <w:gridCol w:w="630"/>
        <w:gridCol w:w="630"/>
      </w:tblGrid>
      <w:tr w14:paraId="00BC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410" w:type="dxa"/>
            <w:shd w:val="clear" w:color="auto" w:fill="D8D8D8" w:themeFill="background1" w:themeFillShade="D9"/>
          </w:tcPr>
          <w:p w14:paraId="0F922505">
            <w:pPr>
              <w:spacing w:line="276" w:lineRule="auto"/>
              <w:jc w:val="both"/>
              <w:rPr>
                <w:rFonts w:ascii="Times New Roman" w:hAnsi="Times New Roman" w:cs="Times New Roman"/>
              </w:rPr>
            </w:pPr>
            <w:r>
              <w:rPr>
                <w:rFonts w:ascii="Times New Roman" w:hAnsi="Times New Roman" w:cs="Times New Roman"/>
              </w:rPr>
              <w:t>Activity descriptions</w:t>
            </w:r>
          </w:p>
        </w:tc>
        <w:tc>
          <w:tcPr>
            <w:tcW w:w="540" w:type="dxa"/>
            <w:shd w:val="clear" w:color="auto" w:fill="D8D8D8" w:themeFill="background1" w:themeFillShade="D9"/>
          </w:tcPr>
          <w:p w14:paraId="74A2DCDF">
            <w:pPr>
              <w:spacing w:line="276" w:lineRule="auto"/>
              <w:jc w:val="both"/>
              <w:rPr>
                <w:rFonts w:ascii="Times New Roman" w:hAnsi="Times New Roman" w:cs="Times New Roman"/>
                <w:bCs/>
                <w:sz w:val="16"/>
              </w:rPr>
            </w:pPr>
            <w:r>
              <w:rPr>
                <w:rFonts w:ascii="Times New Roman" w:hAnsi="Times New Roman" w:cs="Times New Roman"/>
                <w:bCs/>
                <w:sz w:val="16"/>
              </w:rPr>
              <w:t>Nov</w:t>
            </w:r>
          </w:p>
        </w:tc>
        <w:tc>
          <w:tcPr>
            <w:tcW w:w="630" w:type="dxa"/>
            <w:shd w:val="clear" w:color="auto" w:fill="D8D8D8" w:themeFill="background1" w:themeFillShade="D9"/>
          </w:tcPr>
          <w:p w14:paraId="291F5D6E">
            <w:pPr>
              <w:spacing w:line="276" w:lineRule="auto"/>
              <w:jc w:val="both"/>
              <w:rPr>
                <w:rFonts w:ascii="Times New Roman" w:hAnsi="Times New Roman" w:cs="Times New Roman"/>
                <w:bCs/>
                <w:sz w:val="16"/>
              </w:rPr>
            </w:pPr>
            <w:r>
              <w:rPr>
                <w:rFonts w:ascii="Times New Roman" w:hAnsi="Times New Roman" w:cs="Times New Roman"/>
                <w:bCs/>
                <w:sz w:val="16"/>
              </w:rPr>
              <w:t>Dec</w:t>
            </w:r>
          </w:p>
        </w:tc>
        <w:tc>
          <w:tcPr>
            <w:tcW w:w="540" w:type="dxa"/>
            <w:shd w:val="clear" w:color="auto" w:fill="D8D8D8" w:themeFill="background1" w:themeFillShade="D9"/>
          </w:tcPr>
          <w:p w14:paraId="1F5DBC72">
            <w:pPr>
              <w:spacing w:line="276" w:lineRule="auto"/>
              <w:jc w:val="both"/>
              <w:rPr>
                <w:rFonts w:ascii="Times New Roman" w:hAnsi="Times New Roman" w:cs="Times New Roman"/>
                <w:bCs/>
                <w:sz w:val="16"/>
              </w:rPr>
            </w:pPr>
            <w:r>
              <w:rPr>
                <w:rFonts w:ascii="Times New Roman" w:hAnsi="Times New Roman" w:cs="Times New Roman"/>
                <w:bCs/>
                <w:sz w:val="16"/>
              </w:rPr>
              <w:t>Jan</w:t>
            </w:r>
          </w:p>
        </w:tc>
        <w:tc>
          <w:tcPr>
            <w:tcW w:w="540" w:type="dxa"/>
            <w:shd w:val="clear" w:color="auto" w:fill="D8D8D8" w:themeFill="background1" w:themeFillShade="D9"/>
          </w:tcPr>
          <w:p w14:paraId="638782BF">
            <w:pPr>
              <w:spacing w:line="276" w:lineRule="auto"/>
              <w:jc w:val="both"/>
              <w:rPr>
                <w:rFonts w:ascii="Times New Roman" w:hAnsi="Times New Roman" w:cs="Times New Roman"/>
                <w:bCs/>
                <w:sz w:val="16"/>
              </w:rPr>
            </w:pPr>
            <w:r>
              <w:rPr>
                <w:rFonts w:ascii="Times New Roman" w:hAnsi="Times New Roman" w:cs="Times New Roman"/>
                <w:bCs/>
                <w:sz w:val="16"/>
              </w:rPr>
              <w:t>Feb</w:t>
            </w:r>
          </w:p>
        </w:tc>
        <w:tc>
          <w:tcPr>
            <w:tcW w:w="540" w:type="dxa"/>
            <w:shd w:val="clear" w:color="auto" w:fill="D8D8D8" w:themeFill="background1" w:themeFillShade="D9"/>
          </w:tcPr>
          <w:p w14:paraId="27004FB9">
            <w:pPr>
              <w:spacing w:line="276" w:lineRule="auto"/>
              <w:jc w:val="both"/>
              <w:rPr>
                <w:rFonts w:ascii="Times New Roman" w:hAnsi="Times New Roman" w:cs="Times New Roman"/>
                <w:bCs/>
                <w:sz w:val="16"/>
              </w:rPr>
            </w:pPr>
            <w:r>
              <w:rPr>
                <w:rFonts w:ascii="Times New Roman" w:hAnsi="Times New Roman" w:cs="Times New Roman"/>
                <w:bCs/>
                <w:sz w:val="16"/>
              </w:rPr>
              <w:t>Mch</w:t>
            </w:r>
          </w:p>
        </w:tc>
        <w:tc>
          <w:tcPr>
            <w:tcW w:w="540" w:type="dxa"/>
            <w:shd w:val="clear" w:color="auto" w:fill="D8D8D8" w:themeFill="background1" w:themeFillShade="D9"/>
          </w:tcPr>
          <w:p w14:paraId="51FF37A9">
            <w:pPr>
              <w:spacing w:line="276" w:lineRule="auto"/>
              <w:jc w:val="both"/>
              <w:rPr>
                <w:rFonts w:ascii="Times New Roman" w:hAnsi="Times New Roman" w:cs="Times New Roman"/>
                <w:bCs/>
                <w:sz w:val="16"/>
              </w:rPr>
            </w:pPr>
            <w:r>
              <w:rPr>
                <w:rFonts w:ascii="Times New Roman" w:hAnsi="Times New Roman" w:cs="Times New Roman"/>
                <w:bCs/>
                <w:sz w:val="16"/>
              </w:rPr>
              <w:t>Apr</w:t>
            </w:r>
          </w:p>
        </w:tc>
        <w:tc>
          <w:tcPr>
            <w:tcW w:w="540" w:type="dxa"/>
            <w:shd w:val="clear" w:color="auto" w:fill="D8D8D8" w:themeFill="background1" w:themeFillShade="D9"/>
          </w:tcPr>
          <w:p w14:paraId="470724DD">
            <w:pPr>
              <w:spacing w:line="276" w:lineRule="auto"/>
              <w:jc w:val="both"/>
              <w:rPr>
                <w:rFonts w:ascii="Times New Roman" w:hAnsi="Times New Roman" w:cs="Times New Roman"/>
                <w:bCs/>
                <w:sz w:val="16"/>
              </w:rPr>
            </w:pPr>
            <w:r>
              <w:rPr>
                <w:rFonts w:ascii="Times New Roman" w:hAnsi="Times New Roman" w:cs="Times New Roman"/>
                <w:bCs/>
                <w:sz w:val="16"/>
              </w:rPr>
              <w:t>May</w:t>
            </w:r>
          </w:p>
        </w:tc>
        <w:tc>
          <w:tcPr>
            <w:tcW w:w="540" w:type="dxa"/>
            <w:shd w:val="clear" w:color="auto" w:fill="D8D8D8" w:themeFill="background1" w:themeFillShade="D9"/>
          </w:tcPr>
          <w:p w14:paraId="781DFD49">
            <w:pPr>
              <w:spacing w:line="276" w:lineRule="auto"/>
              <w:jc w:val="both"/>
              <w:rPr>
                <w:rFonts w:ascii="Times New Roman" w:hAnsi="Times New Roman" w:cs="Times New Roman"/>
                <w:bCs/>
                <w:sz w:val="16"/>
              </w:rPr>
            </w:pPr>
            <w:r>
              <w:rPr>
                <w:rFonts w:ascii="Times New Roman" w:hAnsi="Times New Roman" w:cs="Times New Roman"/>
                <w:bCs/>
                <w:sz w:val="16"/>
              </w:rPr>
              <w:t>Jun</w:t>
            </w:r>
          </w:p>
        </w:tc>
        <w:tc>
          <w:tcPr>
            <w:tcW w:w="450" w:type="dxa"/>
            <w:shd w:val="clear" w:color="auto" w:fill="D8D8D8" w:themeFill="background1" w:themeFillShade="D9"/>
          </w:tcPr>
          <w:p w14:paraId="318AD2E8">
            <w:pPr>
              <w:spacing w:line="276" w:lineRule="auto"/>
              <w:jc w:val="both"/>
              <w:rPr>
                <w:rFonts w:ascii="Times New Roman" w:hAnsi="Times New Roman" w:cs="Times New Roman"/>
                <w:bCs/>
                <w:sz w:val="16"/>
              </w:rPr>
            </w:pPr>
            <w:r>
              <w:rPr>
                <w:rFonts w:ascii="Times New Roman" w:hAnsi="Times New Roman" w:cs="Times New Roman"/>
                <w:bCs/>
                <w:sz w:val="16"/>
              </w:rPr>
              <w:t>Jul</w:t>
            </w:r>
          </w:p>
        </w:tc>
        <w:tc>
          <w:tcPr>
            <w:tcW w:w="540" w:type="dxa"/>
            <w:shd w:val="clear" w:color="auto" w:fill="D8D8D8" w:themeFill="background1" w:themeFillShade="D9"/>
          </w:tcPr>
          <w:p w14:paraId="35C9CBA6">
            <w:pPr>
              <w:spacing w:line="276" w:lineRule="auto"/>
              <w:jc w:val="both"/>
              <w:rPr>
                <w:rFonts w:ascii="Times New Roman" w:hAnsi="Times New Roman" w:cs="Times New Roman"/>
                <w:bCs/>
                <w:sz w:val="16"/>
              </w:rPr>
            </w:pPr>
            <w:r>
              <w:rPr>
                <w:rFonts w:ascii="Times New Roman" w:hAnsi="Times New Roman" w:cs="Times New Roman"/>
                <w:bCs/>
                <w:sz w:val="16"/>
              </w:rPr>
              <w:t>Aug</w:t>
            </w:r>
          </w:p>
        </w:tc>
        <w:tc>
          <w:tcPr>
            <w:tcW w:w="630" w:type="dxa"/>
            <w:shd w:val="clear" w:color="auto" w:fill="D8D8D8" w:themeFill="background1" w:themeFillShade="D9"/>
          </w:tcPr>
          <w:p w14:paraId="19967014">
            <w:pPr>
              <w:spacing w:line="276" w:lineRule="auto"/>
              <w:jc w:val="both"/>
              <w:rPr>
                <w:rFonts w:ascii="Times New Roman" w:hAnsi="Times New Roman" w:cs="Times New Roman"/>
                <w:bCs/>
                <w:sz w:val="16"/>
              </w:rPr>
            </w:pPr>
            <w:r>
              <w:rPr>
                <w:rFonts w:ascii="Times New Roman" w:hAnsi="Times New Roman" w:cs="Times New Roman"/>
                <w:bCs/>
                <w:sz w:val="16"/>
              </w:rPr>
              <w:t>Sep</w:t>
            </w:r>
          </w:p>
        </w:tc>
        <w:tc>
          <w:tcPr>
            <w:tcW w:w="630" w:type="dxa"/>
            <w:shd w:val="clear" w:color="auto" w:fill="D8D8D8" w:themeFill="background1" w:themeFillShade="D9"/>
          </w:tcPr>
          <w:p w14:paraId="3B5681C3">
            <w:pPr>
              <w:spacing w:line="276" w:lineRule="auto"/>
              <w:jc w:val="both"/>
              <w:rPr>
                <w:rFonts w:ascii="Times New Roman" w:hAnsi="Times New Roman" w:cs="Times New Roman"/>
                <w:bCs/>
                <w:sz w:val="16"/>
              </w:rPr>
            </w:pPr>
            <w:r>
              <w:rPr>
                <w:rFonts w:ascii="Times New Roman" w:hAnsi="Times New Roman" w:cs="Times New Roman"/>
                <w:bCs/>
                <w:sz w:val="16"/>
              </w:rPr>
              <w:t>Oct</w:t>
            </w:r>
          </w:p>
        </w:tc>
      </w:tr>
      <w:tr w14:paraId="6A67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6B2F98C9">
            <w:pPr>
              <w:spacing w:line="276" w:lineRule="auto"/>
              <w:jc w:val="both"/>
              <w:rPr>
                <w:rFonts w:ascii="Times New Roman" w:hAnsi="Times New Roman" w:cs="Times New Roman"/>
              </w:rPr>
            </w:pPr>
            <w:r>
              <w:rPr>
                <w:rFonts w:ascii="Times New Roman" w:hAnsi="Times New Roman" w:cs="Times New Roman"/>
              </w:rPr>
              <w:t>Community entry</w:t>
            </w:r>
          </w:p>
        </w:tc>
        <w:tc>
          <w:tcPr>
            <w:tcW w:w="540" w:type="dxa"/>
          </w:tcPr>
          <w:p w14:paraId="1C054D43">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4608D0F5">
            <w:pPr>
              <w:spacing w:line="276" w:lineRule="auto"/>
              <w:jc w:val="both"/>
              <w:rPr>
                <w:rFonts w:ascii="Times New Roman" w:hAnsi="Times New Roman" w:cs="Times New Roman"/>
                <w:b/>
                <w:bCs/>
              </w:rPr>
            </w:pPr>
          </w:p>
        </w:tc>
        <w:tc>
          <w:tcPr>
            <w:tcW w:w="540" w:type="dxa"/>
          </w:tcPr>
          <w:p w14:paraId="765EF73C">
            <w:pPr>
              <w:spacing w:line="276" w:lineRule="auto"/>
              <w:jc w:val="both"/>
              <w:rPr>
                <w:rFonts w:ascii="Times New Roman" w:hAnsi="Times New Roman" w:cs="Times New Roman"/>
                <w:b/>
                <w:bCs/>
              </w:rPr>
            </w:pPr>
          </w:p>
        </w:tc>
        <w:tc>
          <w:tcPr>
            <w:tcW w:w="540" w:type="dxa"/>
          </w:tcPr>
          <w:p w14:paraId="595261BF">
            <w:pPr>
              <w:spacing w:line="276" w:lineRule="auto"/>
              <w:jc w:val="both"/>
              <w:rPr>
                <w:rFonts w:ascii="Times New Roman" w:hAnsi="Times New Roman" w:cs="Times New Roman"/>
                <w:b/>
                <w:bCs/>
              </w:rPr>
            </w:pPr>
          </w:p>
        </w:tc>
        <w:tc>
          <w:tcPr>
            <w:tcW w:w="540" w:type="dxa"/>
          </w:tcPr>
          <w:p w14:paraId="1271B41F">
            <w:pPr>
              <w:spacing w:line="276" w:lineRule="auto"/>
              <w:jc w:val="both"/>
              <w:rPr>
                <w:rFonts w:ascii="Times New Roman" w:hAnsi="Times New Roman" w:cs="Times New Roman"/>
                <w:b/>
                <w:bCs/>
              </w:rPr>
            </w:pPr>
          </w:p>
        </w:tc>
        <w:tc>
          <w:tcPr>
            <w:tcW w:w="540" w:type="dxa"/>
          </w:tcPr>
          <w:p w14:paraId="2F17C641">
            <w:pPr>
              <w:spacing w:line="276" w:lineRule="auto"/>
              <w:jc w:val="both"/>
              <w:rPr>
                <w:rFonts w:ascii="Times New Roman" w:hAnsi="Times New Roman" w:cs="Times New Roman"/>
                <w:b/>
                <w:bCs/>
              </w:rPr>
            </w:pPr>
          </w:p>
        </w:tc>
        <w:tc>
          <w:tcPr>
            <w:tcW w:w="540" w:type="dxa"/>
          </w:tcPr>
          <w:p w14:paraId="3E1D7FE8">
            <w:pPr>
              <w:spacing w:line="276" w:lineRule="auto"/>
              <w:jc w:val="both"/>
              <w:rPr>
                <w:rFonts w:ascii="Times New Roman" w:hAnsi="Times New Roman" w:cs="Times New Roman"/>
                <w:b/>
                <w:bCs/>
              </w:rPr>
            </w:pPr>
          </w:p>
        </w:tc>
        <w:tc>
          <w:tcPr>
            <w:tcW w:w="540" w:type="dxa"/>
          </w:tcPr>
          <w:p w14:paraId="0CC0CE63">
            <w:pPr>
              <w:spacing w:line="276" w:lineRule="auto"/>
              <w:jc w:val="both"/>
              <w:rPr>
                <w:rFonts w:ascii="Times New Roman" w:hAnsi="Times New Roman" w:cs="Times New Roman"/>
                <w:b/>
                <w:bCs/>
              </w:rPr>
            </w:pPr>
          </w:p>
        </w:tc>
        <w:tc>
          <w:tcPr>
            <w:tcW w:w="450" w:type="dxa"/>
          </w:tcPr>
          <w:p w14:paraId="5BBA5D0B">
            <w:pPr>
              <w:spacing w:line="276" w:lineRule="auto"/>
              <w:jc w:val="both"/>
              <w:rPr>
                <w:rFonts w:ascii="Times New Roman" w:hAnsi="Times New Roman" w:cs="Times New Roman"/>
                <w:b/>
                <w:bCs/>
              </w:rPr>
            </w:pPr>
          </w:p>
        </w:tc>
        <w:tc>
          <w:tcPr>
            <w:tcW w:w="540" w:type="dxa"/>
          </w:tcPr>
          <w:p w14:paraId="179047DD">
            <w:pPr>
              <w:spacing w:line="276" w:lineRule="auto"/>
              <w:jc w:val="both"/>
              <w:rPr>
                <w:rFonts w:ascii="Times New Roman" w:hAnsi="Times New Roman" w:cs="Times New Roman"/>
                <w:b/>
                <w:bCs/>
              </w:rPr>
            </w:pPr>
          </w:p>
        </w:tc>
        <w:tc>
          <w:tcPr>
            <w:tcW w:w="630" w:type="dxa"/>
          </w:tcPr>
          <w:p w14:paraId="1521AD19">
            <w:pPr>
              <w:spacing w:line="276" w:lineRule="auto"/>
              <w:jc w:val="both"/>
              <w:rPr>
                <w:rFonts w:ascii="Times New Roman" w:hAnsi="Times New Roman" w:cs="Times New Roman"/>
                <w:b/>
                <w:bCs/>
              </w:rPr>
            </w:pPr>
          </w:p>
        </w:tc>
        <w:tc>
          <w:tcPr>
            <w:tcW w:w="630" w:type="dxa"/>
          </w:tcPr>
          <w:p w14:paraId="47FA5A52">
            <w:pPr>
              <w:spacing w:line="276" w:lineRule="auto"/>
              <w:jc w:val="both"/>
              <w:rPr>
                <w:rFonts w:ascii="Times New Roman" w:hAnsi="Times New Roman" w:cs="Times New Roman"/>
                <w:b/>
                <w:bCs/>
              </w:rPr>
            </w:pPr>
          </w:p>
        </w:tc>
      </w:tr>
      <w:tr w14:paraId="0373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2A02EF9D">
            <w:pPr>
              <w:spacing w:line="276" w:lineRule="auto"/>
              <w:jc w:val="both"/>
              <w:rPr>
                <w:rFonts w:ascii="Times New Roman" w:hAnsi="Times New Roman" w:cs="Times New Roman"/>
              </w:rPr>
            </w:pPr>
            <w:r>
              <w:rPr>
                <w:rFonts w:ascii="Times New Roman" w:hAnsi="Times New Roman" w:cs="Times New Roman"/>
              </w:rPr>
              <w:t xml:space="preserve">Onboarding of new staff </w:t>
            </w:r>
          </w:p>
        </w:tc>
        <w:tc>
          <w:tcPr>
            <w:tcW w:w="540" w:type="dxa"/>
          </w:tcPr>
          <w:p w14:paraId="4DAF2556">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6A8302E7">
            <w:pPr>
              <w:spacing w:line="276" w:lineRule="auto"/>
              <w:jc w:val="both"/>
              <w:rPr>
                <w:rFonts w:ascii="Times New Roman" w:hAnsi="Times New Roman" w:cs="Times New Roman"/>
                <w:b/>
                <w:bCs/>
              </w:rPr>
            </w:pPr>
          </w:p>
        </w:tc>
        <w:tc>
          <w:tcPr>
            <w:tcW w:w="540" w:type="dxa"/>
          </w:tcPr>
          <w:p w14:paraId="2FF2F7AF">
            <w:pPr>
              <w:spacing w:line="276" w:lineRule="auto"/>
              <w:jc w:val="both"/>
              <w:rPr>
                <w:rFonts w:ascii="Times New Roman" w:hAnsi="Times New Roman" w:cs="Times New Roman"/>
                <w:b/>
                <w:bCs/>
              </w:rPr>
            </w:pPr>
          </w:p>
        </w:tc>
        <w:tc>
          <w:tcPr>
            <w:tcW w:w="540" w:type="dxa"/>
          </w:tcPr>
          <w:p w14:paraId="0E2523D9">
            <w:pPr>
              <w:spacing w:line="276" w:lineRule="auto"/>
              <w:jc w:val="both"/>
              <w:rPr>
                <w:rFonts w:ascii="Times New Roman" w:hAnsi="Times New Roman" w:cs="Times New Roman"/>
                <w:b/>
                <w:bCs/>
              </w:rPr>
            </w:pPr>
          </w:p>
        </w:tc>
        <w:tc>
          <w:tcPr>
            <w:tcW w:w="540" w:type="dxa"/>
          </w:tcPr>
          <w:p w14:paraId="53384323">
            <w:pPr>
              <w:spacing w:line="276" w:lineRule="auto"/>
              <w:jc w:val="both"/>
              <w:rPr>
                <w:rFonts w:ascii="Times New Roman" w:hAnsi="Times New Roman" w:cs="Times New Roman"/>
                <w:b/>
                <w:bCs/>
              </w:rPr>
            </w:pPr>
          </w:p>
        </w:tc>
        <w:tc>
          <w:tcPr>
            <w:tcW w:w="540" w:type="dxa"/>
          </w:tcPr>
          <w:p w14:paraId="307468F6">
            <w:pPr>
              <w:spacing w:line="276" w:lineRule="auto"/>
              <w:jc w:val="both"/>
              <w:rPr>
                <w:rFonts w:ascii="Times New Roman" w:hAnsi="Times New Roman" w:cs="Times New Roman"/>
                <w:b/>
                <w:bCs/>
              </w:rPr>
            </w:pPr>
          </w:p>
        </w:tc>
        <w:tc>
          <w:tcPr>
            <w:tcW w:w="540" w:type="dxa"/>
          </w:tcPr>
          <w:p w14:paraId="7CEB77A3">
            <w:pPr>
              <w:spacing w:line="276" w:lineRule="auto"/>
              <w:jc w:val="both"/>
              <w:rPr>
                <w:rFonts w:ascii="Times New Roman" w:hAnsi="Times New Roman" w:cs="Times New Roman"/>
                <w:b/>
                <w:bCs/>
              </w:rPr>
            </w:pPr>
          </w:p>
        </w:tc>
        <w:tc>
          <w:tcPr>
            <w:tcW w:w="540" w:type="dxa"/>
          </w:tcPr>
          <w:p w14:paraId="705992FC">
            <w:pPr>
              <w:spacing w:line="276" w:lineRule="auto"/>
              <w:jc w:val="both"/>
              <w:rPr>
                <w:rFonts w:ascii="Times New Roman" w:hAnsi="Times New Roman" w:cs="Times New Roman"/>
                <w:b/>
                <w:bCs/>
              </w:rPr>
            </w:pPr>
          </w:p>
        </w:tc>
        <w:tc>
          <w:tcPr>
            <w:tcW w:w="450" w:type="dxa"/>
          </w:tcPr>
          <w:p w14:paraId="3768C79B">
            <w:pPr>
              <w:spacing w:line="276" w:lineRule="auto"/>
              <w:jc w:val="both"/>
              <w:rPr>
                <w:rFonts w:ascii="Times New Roman" w:hAnsi="Times New Roman" w:cs="Times New Roman"/>
                <w:b/>
                <w:bCs/>
              </w:rPr>
            </w:pPr>
          </w:p>
        </w:tc>
        <w:tc>
          <w:tcPr>
            <w:tcW w:w="540" w:type="dxa"/>
          </w:tcPr>
          <w:p w14:paraId="49BE5B1A">
            <w:pPr>
              <w:spacing w:line="276" w:lineRule="auto"/>
              <w:jc w:val="both"/>
              <w:rPr>
                <w:rFonts w:ascii="Times New Roman" w:hAnsi="Times New Roman" w:cs="Times New Roman"/>
                <w:b/>
                <w:bCs/>
              </w:rPr>
            </w:pPr>
          </w:p>
        </w:tc>
        <w:tc>
          <w:tcPr>
            <w:tcW w:w="630" w:type="dxa"/>
          </w:tcPr>
          <w:p w14:paraId="26B9CD76">
            <w:pPr>
              <w:spacing w:line="276" w:lineRule="auto"/>
              <w:jc w:val="both"/>
              <w:rPr>
                <w:rFonts w:ascii="Times New Roman" w:hAnsi="Times New Roman" w:cs="Times New Roman"/>
                <w:b/>
                <w:bCs/>
              </w:rPr>
            </w:pPr>
          </w:p>
        </w:tc>
        <w:tc>
          <w:tcPr>
            <w:tcW w:w="630" w:type="dxa"/>
          </w:tcPr>
          <w:p w14:paraId="410BF99D">
            <w:pPr>
              <w:spacing w:line="276" w:lineRule="auto"/>
              <w:jc w:val="both"/>
              <w:rPr>
                <w:rFonts w:ascii="Times New Roman" w:hAnsi="Times New Roman" w:cs="Times New Roman"/>
                <w:b/>
                <w:bCs/>
              </w:rPr>
            </w:pPr>
          </w:p>
        </w:tc>
      </w:tr>
      <w:tr w14:paraId="4595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0EDAD8CC">
            <w:pPr>
              <w:spacing w:line="276" w:lineRule="auto"/>
              <w:rPr>
                <w:rFonts w:ascii="Times New Roman" w:hAnsi="Times New Roman" w:cs="Times New Roman"/>
              </w:rPr>
            </w:pPr>
            <w:r>
              <w:rPr>
                <w:rFonts w:ascii="Times New Roman" w:hAnsi="Times New Roman" w:cs="Times New Roman"/>
                <w:bCs/>
                <w:sz w:val="24"/>
                <w:szCs w:val="24"/>
              </w:rPr>
              <w:t>Capacity building of health workers and volunteers</w:t>
            </w:r>
          </w:p>
        </w:tc>
        <w:tc>
          <w:tcPr>
            <w:tcW w:w="540" w:type="dxa"/>
          </w:tcPr>
          <w:p w14:paraId="7CBBD63C">
            <w:pPr>
              <w:spacing w:line="276" w:lineRule="auto"/>
              <w:jc w:val="both"/>
              <w:rPr>
                <w:rFonts w:ascii="Times New Roman" w:hAnsi="Times New Roman" w:cs="Times New Roman"/>
                <w:b/>
                <w:bCs/>
              </w:rPr>
            </w:pPr>
          </w:p>
        </w:tc>
        <w:tc>
          <w:tcPr>
            <w:tcW w:w="630" w:type="dxa"/>
          </w:tcPr>
          <w:p w14:paraId="29B1433F">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2F4CAE17">
            <w:pPr>
              <w:spacing w:line="276" w:lineRule="auto"/>
              <w:jc w:val="both"/>
              <w:rPr>
                <w:rFonts w:ascii="Times New Roman" w:hAnsi="Times New Roman" w:cs="Times New Roman"/>
                <w:b/>
                <w:bCs/>
              </w:rPr>
            </w:pPr>
          </w:p>
        </w:tc>
        <w:tc>
          <w:tcPr>
            <w:tcW w:w="540" w:type="dxa"/>
          </w:tcPr>
          <w:p w14:paraId="4F416A93">
            <w:pPr>
              <w:spacing w:line="276" w:lineRule="auto"/>
              <w:jc w:val="both"/>
              <w:rPr>
                <w:rFonts w:ascii="Times New Roman" w:hAnsi="Times New Roman" w:cs="Times New Roman"/>
                <w:b/>
                <w:bCs/>
              </w:rPr>
            </w:pPr>
          </w:p>
        </w:tc>
        <w:tc>
          <w:tcPr>
            <w:tcW w:w="540" w:type="dxa"/>
          </w:tcPr>
          <w:p w14:paraId="4D16AA9E">
            <w:pPr>
              <w:spacing w:line="276" w:lineRule="auto"/>
              <w:jc w:val="both"/>
              <w:rPr>
                <w:rFonts w:ascii="Times New Roman" w:hAnsi="Times New Roman" w:cs="Times New Roman"/>
                <w:b/>
                <w:bCs/>
              </w:rPr>
            </w:pPr>
          </w:p>
        </w:tc>
        <w:tc>
          <w:tcPr>
            <w:tcW w:w="540" w:type="dxa"/>
          </w:tcPr>
          <w:p w14:paraId="799C3BBF">
            <w:pPr>
              <w:spacing w:line="276" w:lineRule="auto"/>
              <w:jc w:val="both"/>
              <w:rPr>
                <w:rFonts w:ascii="Times New Roman" w:hAnsi="Times New Roman" w:cs="Times New Roman"/>
                <w:b/>
                <w:bCs/>
              </w:rPr>
            </w:pPr>
          </w:p>
        </w:tc>
        <w:tc>
          <w:tcPr>
            <w:tcW w:w="540" w:type="dxa"/>
          </w:tcPr>
          <w:p w14:paraId="79AD121C">
            <w:pPr>
              <w:spacing w:line="276" w:lineRule="auto"/>
              <w:jc w:val="both"/>
              <w:rPr>
                <w:rFonts w:ascii="Times New Roman" w:hAnsi="Times New Roman" w:cs="Times New Roman"/>
                <w:b/>
                <w:bCs/>
              </w:rPr>
            </w:pPr>
          </w:p>
        </w:tc>
        <w:tc>
          <w:tcPr>
            <w:tcW w:w="540" w:type="dxa"/>
          </w:tcPr>
          <w:p w14:paraId="7F9CA298">
            <w:pPr>
              <w:spacing w:line="276" w:lineRule="auto"/>
              <w:jc w:val="both"/>
              <w:rPr>
                <w:rFonts w:ascii="Times New Roman" w:hAnsi="Times New Roman" w:cs="Times New Roman"/>
                <w:b/>
                <w:bCs/>
              </w:rPr>
            </w:pPr>
          </w:p>
        </w:tc>
        <w:tc>
          <w:tcPr>
            <w:tcW w:w="450" w:type="dxa"/>
          </w:tcPr>
          <w:p w14:paraId="3716AD1C">
            <w:pPr>
              <w:spacing w:line="276" w:lineRule="auto"/>
              <w:jc w:val="both"/>
              <w:rPr>
                <w:rFonts w:ascii="Times New Roman" w:hAnsi="Times New Roman" w:cs="Times New Roman"/>
                <w:b/>
                <w:bCs/>
              </w:rPr>
            </w:pPr>
          </w:p>
        </w:tc>
        <w:tc>
          <w:tcPr>
            <w:tcW w:w="540" w:type="dxa"/>
          </w:tcPr>
          <w:p w14:paraId="7BFBE9CE">
            <w:pPr>
              <w:spacing w:line="276" w:lineRule="auto"/>
              <w:jc w:val="both"/>
              <w:rPr>
                <w:rFonts w:ascii="Times New Roman" w:hAnsi="Times New Roman" w:cs="Times New Roman"/>
                <w:b/>
                <w:bCs/>
              </w:rPr>
            </w:pPr>
          </w:p>
        </w:tc>
        <w:tc>
          <w:tcPr>
            <w:tcW w:w="630" w:type="dxa"/>
          </w:tcPr>
          <w:p w14:paraId="0A456D7D">
            <w:pPr>
              <w:spacing w:line="276" w:lineRule="auto"/>
              <w:jc w:val="both"/>
              <w:rPr>
                <w:rFonts w:ascii="Times New Roman" w:hAnsi="Times New Roman" w:cs="Times New Roman"/>
                <w:b/>
                <w:bCs/>
              </w:rPr>
            </w:pPr>
          </w:p>
        </w:tc>
        <w:tc>
          <w:tcPr>
            <w:tcW w:w="630" w:type="dxa"/>
          </w:tcPr>
          <w:p w14:paraId="24860C62">
            <w:pPr>
              <w:spacing w:line="276" w:lineRule="auto"/>
              <w:jc w:val="both"/>
              <w:rPr>
                <w:rFonts w:ascii="Times New Roman" w:hAnsi="Times New Roman" w:cs="Times New Roman"/>
                <w:b/>
                <w:bCs/>
              </w:rPr>
            </w:pPr>
          </w:p>
        </w:tc>
      </w:tr>
      <w:tr w14:paraId="1AC5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239FFCDB">
            <w:pPr>
              <w:spacing w:line="276" w:lineRule="auto"/>
              <w:jc w:val="both"/>
              <w:rPr>
                <w:rFonts w:ascii="Times New Roman" w:hAnsi="Times New Roman" w:cs="Times New Roman"/>
              </w:rPr>
            </w:pPr>
            <w:r>
              <w:rPr>
                <w:rFonts w:ascii="Times New Roman" w:hAnsi="Times New Roman" w:cs="Times New Roman"/>
                <w:sz w:val="24"/>
                <w:szCs w:val="24"/>
              </w:rPr>
              <w:t>Community-based nutrition screening.</w:t>
            </w:r>
          </w:p>
        </w:tc>
        <w:tc>
          <w:tcPr>
            <w:tcW w:w="540" w:type="dxa"/>
          </w:tcPr>
          <w:p w14:paraId="4BB41887">
            <w:pPr>
              <w:spacing w:line="276" w:lineRule="auto"/>
              <w:jc w:val="both"/>
              <w:rPr>
                <w:rFonts w:ascii="Times New Roman" w:hAnsi="Times New Roman" w:cs="Times New Roman"/>
                <w:b/>
                <w:bCs/>
              </w:rPr>
            </w:pPr>
          </w:p>
        </w:tc>
        <w:tc>
          <w:tcPr>
            <w:tcW w:w="630" w:type="dxa"/>
          </w:tcPr>
          <w:p w14:paraId="6694E3F6">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5C97917C">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3A4A5C7">
            <w:pPr>
              <w:spacing w:line="276" w:lineRule="auto"/>
              <w:jc w:val="both"/>
              <w:rPr>
                <w:rFonts w:ascii="Times New Roman" w:hAnsi="Times New Roman" w:cs="Times New Roman"/>
                <w:b/>
                <w:bCs/>
              </w:rPr>
            </w:pPr>
          </w:p>
        </w:tc>
        <w:tc>
          <w:tcPr>
            <w:tcW w:w="540" w:type="dxa"/>
          </w:tcPr>
          <w:p w14:paraId="571DCB02">
            <w:pPr>
              <w:spacing w:line="276" w:lineRule="auto"/>
              <w:jc w:val="both"/>
              <w:rPr>
                <w:rFonts w:ascii="Times New Roman" w:hAnsi="Times New Roman" w:cs="Times New Roman"/>
                <w:b/>
                <w:bCs/>
              </w:rPr>
            </w:pPr>
          </w:p>
        </w:tc>
        <w:tc>
          <w:tcPr>
            <w:tcW w:w="540" w:type="dxa"/>
          </w:tcPr>
          <w:p w14:paraId="2D01EF02">
            <w:pPr>
              <w:spacing w:line="276" w:lineRule="auto"/>
              <w:jc w:val="both"/>
              <w:rPr>
                <w:rFonts w:ascii="Times New Roman" w:hAnsi="Times New Roman" w:cs="Times New Roman"/>
                <w:b/>
                <w:bCs/>
              </w:rPr>
            </w:pPr>
          </w:p>
        </w:tc>
        <w:tc>
          <w:tcPr>
            <w:tcW w:w="540" w:type="dxa"/>
          </w:tcPr>
          <w:p w14:paraId="3E3AED0E">
            <w:pPr>
              <w:spacing w:line="276" w:lineRule="auto"/>
              <w:jc w:val="both"/>
              <w:rPr>
                <w:rFonts w:ascii="Times New Roman" w:hAnsi="Times New Roman" w:cs="Times New Roman"/>
                <w:b/>
                <w:bCs/>
              </w:rPr>
            </w:pPr>
          </w:p>
        </w:tc>
        <w:tc>
          <w:tcPr>
            <w:tcW w:w="540" w:type="dxa"/>
          </w:tcPr>
          <w:p w14:paraId="75A4F6F1">
            <w:pPr>
              <w:spacing w:line="276" w:lineRule="auto"/>
              <w:jc w:val="both"/>
              <w:rPr>
                <w:rFonts w:ascii="Times New Roman" w:hAnsi="Times New Roman" w:cs="Times New Roman"/>
                <w:b/>
                <w:bCs/>
              </w:rPr>
            </w:pPr>
          </w:p>
        </w:tc>
        <w:tc>
          <w:tcPr>
            <w:tcW w:w="450" w:type="dxa"/>
          </w:tcPr>
          <w:p w14:paraId="54A278FB">
            <w:pPr>
              <w:spacing w:line="276" w:lineRule="auto"/>
              <w:jc w:val="both"/>
              <w:rPr>
                <w:rFonts w:ascii="Times New Roman" w:hAnsi="Times New Roman" w:cs="Times New Roman"/>
                <w:b/>
                <w:bCs/>
              </w:rPr>
            </w:pPr>
          </w:p>
        </w:tc>
        <w:tc>
          <w:tcPr>
            <w:tcW w:w="540" w:type="dxa"/>
          </w:tcPr>
          <w:p w14:paraId="780811B8">
            <w:pPr>
              <w:spacing w:line="276" w:lineRule="auto"/>
              <w:jc w:val="both"/>
              <w:rPr>
                <w:rFonts w:ascii="Times New Roman" w:hAnsi="Times New Roman" w:cs="Times New Roman"/>
                <w:b/>
                <w:bCs/>
              </w:rPr>
            </w:pPr>
          </w:p>
        </w:tc>
        <w:tc>
          <w:tcPr>
            <w:tcW w:w="630" w:type="dxa"/>
          </w:tcPr>
          <w:p w14:paraId="689CA632">
            <w:pPr>
              <w:spacing w:line="276" w:lineRule="auto"/>
              <w:jc w:val="both"/>
              <w:rPr>
                <w:rFonts w:ascii="Times New Roman" w:hAnsi="Times New Roman" w:cs="Times New Roman"/>
                <w:b/>
                <w:bCs/>
              </w:rPr>
            </w:pPr>
          </w:p>
        </w:tc>
        <w:tc>
          <w:tcPr>
            <w:tcW w:w="630" w:type="dxa"/>
          </w:tcPr>
          <w:p w14:paraId="5CA0AACC">
            <w:pPr>
              <w:spacing w:line="276" w:lineRule="auto"/>
              <w:jc w:val="both"/>
              <w:rPr>
                <w:rFonts w:ascii="Times New Roman" w:hAnsi="Times New Roman" w:cs="Times New Roman"/>
                <w:b/>
                <w:bCs/>
              </w:rPr>
            </w:pPr>
          </w:p>
        </w:tc>
      </w:tr>
      <w:tr w14:paraId="539B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20C1268C">
            <w:pPr>
              <w:spacing w:line="276" w:lineRule="auto"/>
              <w:rPr>
                <w:rFonts w:ascii="Times New Roman" w:hAnsi="Times New Roman" w:cs="Times New Roman"/>
              </w:rPr>
            </w:pPr>
            <w:r>
              <w:rPr>
                <w:rFonts w:ascii="Times New Roman" w:hAnsi="Times New Roman" w:cs="Times New Roman"/>
                <w:sz w:val="24"/>
                <w:szCs w:val="24"/>
              </w:rPr>
              <w:t>Distribution of therapeutic foods and supplements.</w:t>
            </w:r>
          </w:p>
        </w:tc>
        <w:tc>
          <w:tcPr>
            <w:tcW w:w="540" w:type="dxa"/>
          </w:tcPr>
          <w:p w14:paraId="2CF08734">
            <w:pPr>
              <w:spacing w:line="276" w:lineRule="auto"/>
              <w:jc w:val="both"/>
              <w:rPr>
                <w:rFonts w:ascii="Times New Roman" w:hAnsi="Times New Roman" w:cs="Times New Roman"/>
                <w:b/>
                <w:bCs/>
              </w:rPr>
            </w:pPr>
          </w:p>
        </w:tc>
        <w:tc>
          <w:tcPr>
            <w:tcW w:w="630" w:type="dxa"/>
          </w:tcPr>
          <w:p w14:paraId="1A4ED30E">
            <w:pPr>
              <w:spacing w:line="276" w:lineRule="auto"/>
              <w:jc w:val="both"/>
              <w:rPr>
                <w:rFonts w:ascii="Times New Roman" w:hAnsi="Times New Roman" w:cs="Times New Roman"/>
                <w:b/>
                <w:bCs/>
              </w:rPr>
            </w:pPr>
          </w:p>
        </w:tc>
        <w:tc>
          <w:tcPr>
            <w:tcW w:w="540" w:type="dxa"/>
          </w:tcPr>
          <w:p w14:paraId="670F65BE">
            <w:pPr>
              <w:spacing w:line="276" w:lineRule="auto"/>
              <w:jc w:val="both"/>
              <w:rPr>
                <w:rFonts w:ascii="Times New Roman" w:hAnsi="Times New Roman" w:cs="Times New Roman"/>
                <w:b/>
                <w:bCs/>
              </w:rPr>
            </w:pPr>
          </w:p>
        </w:tc>
        <w:tc>
          <w:tcPr>
            <w:tcW w:w="540" w:type="dxa"/>
          </w:tcPr>
          <w:p w14:paraId="13108726">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227F8E2A">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27DA48C">
            <w:pPr>
              <w:spacing w:line="276" w:lineRule="auto"/>
              <w:jc w:val="both"/>
              <w:rPr>
                <w:rFonts w:ascii="Times New Roman" w:hAnsi="Times New Roman" w:cs="Times New Roman"/>
                <w:b/>
                <w:bCs/>
              </w:rPr>
            </w:pPr>
          </w:p>
        </w:tc>
        <w:tc>
          <w:tcPr>
            <w:tcW w:w="540" w:type="dxa"/>
          </w:tcPr>
          <w:p w14:paraId="791E46AE">
            <w:pPr>
              <w:spacing w:line="276" w:lineRule="auto"/>
              <w:jc w:val="both"/>
              <w:rPr>
                <w:rFonts w:ascii="Times New Roman" w:hAnsi="Times New Roman" w:cs="Times New Roman"/>
                <w:b/>
                <w:bCs/>
              </w:rPr>
            </w:pPr>
          </w:p>
        </w:tc>
        <w:tc>
          <w:tcPr>
            <w:tcW w:w="540" w:type="dxa"/>
          </w:tcPr>
          <w:p w14:paraId="198A676A">
            <w:pPr>
              <w:spacing w:line="276" w:lineRule="auto"/>
              <w:jc w:val="both"/>
              <w:rPr>
                <w:rFonts w:ascii="Times New Roman" w:hAnsi="Times New Roman" w:cs="Times New Roman"/>
                <w:b/>
                <w:bCs/>
              </w:rPr>
            </w:pPr>
          </w:p>
        </w:tc>
        <w:tc>
          <w:tcPr>
            <w:tcW w:w="450" w:type="dxa"/>
          </w:tcPr>
          <w:p w14:paraId="6DAE1E0E">
            <w:pPr>
              <w:spacing w:line="276" w:lineRule="auto"/>
              <w:jc w:val="both"/>
              <w:rPr>
                <w:rFonts w:ascii="Times New Roman" w:hAnsi="Times New Roman" w:cs="Times New Roman"/>
                <w:b/>
                <w:bCs/>
              </w:rPr>
            </w:pPr>
          </w:p>
        </w:tc>
        <w:tc>
          <w:tcPr>
            <w:tcW w:w="540" w:type="dxa"/>
          </w:tcPr>
          <w:p w14:paraId="4BC3E30A">
            <w:pPr>
              <w:spacing w:line="276" w:lineRule="auto"/>
              <w:jc w:val="both"/>
              <w:rPr>
                <w:rFonts w:ascii="Times New Roman" w:hAnsi="Times New Roman" w:cs="Times New Roman"/>
                <w:b/>
                <w:bCs/>
              </w:rPr>
            </w:pPr>
          </w:p>
        </w:tc>
        <w:tc>
          <w:tcPr>
            <w:tcW w:w="630" w:type="dxa"/>
          </w:tcPr>
          <w:p w14:paraId="34E9DC76">
            <w:pPr>
              <w:spacing w:line="276" w:lineRule="auto"/>
              <w:jc w:val="both"/>
              <w:rPr>
                <w:rFonts w:ascii="Times New Roman" w:hAnsi="Times New Roman" w:cs="Times New Roman"/>
                <w:b/>
                <w:bCs/>
              </w:rPr>
            </w:pPr>
          </w:p>
        </w:tc>
        <w:tc>
          <w:tcPr>
            <w:tcW w:w="630" w:type="dxa"/>
          </w:tcPr>
          <w:p w14:paraId="0ABB6EF1">
            <w:pPr>
              <w:spacing w:line="276" w:lineRule="auto"/>
              <w:jc w:val="both"/>
              <w:rPr>
                <w:rFonts w:ascii="Times New Roman" w:hAnsi="Times New Roman" w:cs="Times New Roman"/>
                <w:b/>
                <w:bCs/>
              </w:rPr>
            </w:pPr>
          </w:p>
        </w:tc>
      </w:tr>
      <w:tr w14:paraId="0E7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17127401">
            <w:pPr>
              <w:spacing w:line="276" w:lineRule="auto"/>
              <w:rPr>
                <w:rFonts w:ascii="Times New Roman" w:hAnsi="Times New Roman" w:cs="Times New Roman"/>
              </w:rPr>
            </w:pPr>
            <w:r>
              <w:rPr>
                <w:rFonts w:ascii="Times New Roman" w:hAnsi="Times New Roman" w:cs="Times New Roman"/>
                <w:sz w:val="24"/>
                <w:szCs w:val="24"/>
              </w:rPr>
              <w:t>Nutrition education and awareness campaigns.</w:t>
            </w:r>
          </w:p>
        </w:tc>
        <w:tc>
          <w:tcPr>
            <w:tcW w:w="540" w:type="dxa"/>
          </w:tcPr>
          <w:p w14:paraId="39F90688">
            <w:pPr>
              <w:spacing w:line="276" w:lineRule="auto"/>
              <w:jc w:val="both"/>
              <w:rPr>
                <w:rFonts w:ascii="Times New Roman" w:hAnsi="Times New Roman" w:cs="Times New Roman"/>
                <w:b/>
                <w:bCs/>
              </w:rPr>
            </w:pPr>
          </w:p>
        </w:tc>
        <w:tc>
          <w:tcPr>
            <w:tcW w:w="630" w:type="dxa"/>
          </w:tcPr>
          <w:p w14:paraId="217C63C7">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3C0C9100">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9238052">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71FEA307">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50C12A32">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D7C9450">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F5273DD">
            <w:pPr>
              <w:spacing w:line="276" w:lineRule="auto"/>
              <w:jc w:val="both"/>
              <w:rPr>
                <w:rFonts w:ascii="Times New Roman" w:hAnsi="Times New Roman" w:cs="Times New Roman"/>
                <w:b/>
                <w:bCs/>
              </w:rPr>
            </w:pPr>
            <w:r>
              <w:rPr>
                <w:rFonts w:ascii="Times New Roman" w:hAnsi="Times New Roman" w:cs="Times New Roman"/>
                <w:b/>
                <w:bCs/>
              </w:rPr>
              <w:t>X</w:t>
            </w:r>
          </w:p>
        </w:tc>
        <w:tc>
          <w:tcPr>
            <w:tcW w:w="450" w:type="dxa"/>
          </w:tcPr>
          <w:p w14:paraId="2933C4F8">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2183636">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35E48079">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1A21670B">
            <w:pPr>
              <w:spacing w:line="276" w:lineRule="auto"/>
              <w:jc w:val="both"/>
              <w:rPr>
                <w:rFonts w:ascii="Times New Roman" w:hAnsi="Times New Roman" w:cs="Times New Roman"/>
                <w:b/>
                <w:bCs/>
              </w:rPr>
            </w:pPr>
          </w:p>
        </w:tc>
      </w:tr>
      <w:tr w14:paraId="6DA1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4410" w:type="dxa"/>
          </w:tcPr>
          <w:p w14:paraId="6C8198C1">
            <w:pPr>
              <w:tabs>
                <w:tab w:val="left" w:pos="2835"/>
              </w:tabs>
              <w:spacing w:line="276" w:lineRule="auto"/>
              <w:rPr>
                <w:rFonts w:ascii="Times New Roman" w:hAnsi="Times New Roman" w:cs="Times New Roman"/>
                <w:sz w:val="24"/>
                <w:szCs w:val="24"/>
              </w:rPr>
            </w:pPr>
            <w:r>
              <w:rPr>
                <w:rFonts w:ascii="Times New Roman" w:hAnsi="Times New Roman" w:cs="Times New Roman"/>
                <w:sz w:val="24"/>
                <w:szCs w:val="24"/>
              </w:rPr>
              <w:t>Establishment of home gardens for food security.</w:t>
            </w:r>
          </w:p>
        </w:tc>
        <w:tc>
          <w:tcPr>
            <w:tcW w:w="540" w:type="dxa"/>
          </w:tcPr>
          <w:p w14:paraId="42CE0B84">
            <w:pPr>
              <w:spacing w:line="276" w:lineRule="auto"/>
              <w:jc w:val="both"/>
              <w:rPr>
                <w:rFonts w:ascii="Times New Roman" w:hAnsi="Times New Roman" w:cs="Times New Roman"/>
                <w:b/>
                <w:bCs/>
              </w:rPr>
            </w:pPr>
          </w:p>
        </w:tc>
        <w:tc>
          <w:tcPr>
            <w:tcW w:w="630" w:type="dxa"/>
          </w:tcPr>
          <w:p w14:paraId="759C93E7">
            <w:pPr>
              <w:spacing w:line="276" w:lineRule="auto"/>
              <w:jc w:val="both"/>
              <w:rPr>
                <w:rFonts w:ascii="Times New Roman" w:hAnsi="Times New Roman" w:cs="Times New Roman"/>
                <w:b/>
                <w:bCs/>
              </w:rPr>
            </w:pPr>
          </w:p>
        </w:tc>
        <w:tc>
          <w:tcPr>
            <w:tcW w:w="540" w:type="dxa"/>
          </w:tcPr>
          <w:p w14:paraId="12E2F3AA">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27AA8638">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53EBD46E">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94161BF">
            <w:pPr>
              <w:spacing w:line="276" w:lineRule="auto"/>
              <w:jc w:val="both"/>
              <w:rPr>
                <w:rFonts w:ascii="Times New Roman" w:hAnsi="Times New Roman" w:cs="Times New Roman"/>
                <w:b/>
                <w:bCs/>
              </w:rPr>
            </w:pPr>
          </w:p>
        </w:tc>
        <w:tc>
          <w:tcPr>
            <w:tcW w:w="540" w:type="dxa"/>
          </w:tcPr>
          <w:p w14:paraId="7C4F916F">
            <w:pPr>
              <w:spacing w:line="276" w:lineRule="auto"/>
              <w:jc w:val="both"/>
              <w:rPr>
                <w:rFonts w:ascii="Times New Roman" w:hAnsi="Times New Roman" w:cs="Times New Roman"/>
                <w:b/>
                <w:bCs/>
              </w:rPr>
            </w:pPr>
          </w:p>
        </w:tc>
        <w:tc>
          <w:tcPr>
            <w:tcW w:w="540" w:type="dxa"/>
          </w:tcPr>
          <w:p w14:paraId="138B403F">
            <w:pPr>
              <w:spacing w:line="276" w:lineRule="auto"/>
              <w:jc w:val="both"/>
              <w:rPr>
                <w:rFonts w:ascii="Times New Roman" w:hAnsi="Times New Roman" w:cs="Times New Roman"/>
                <w:b/>
                <w:bCs/>
              </w:rPr>
            </w:pPr>
          </w:p>
        </w:tc>
        <w:tc>
          <w:tcPr>
            <w:tcW w:w="450" w:type="dxa"/>
          </w:tcPr>
          <w:p w14:paraId="602C5A2C">
            <w:pPr>
              <w:spacing w:line="276" w:lineRule="auto"/>
              <w:jc w:val="both"/>
              <w:rPr>
                <w:rFonts w:ascii="Times New Roman" w:hAnsi="Times New Roman" w:cs="Times New Roman"/>
                <w:b/>
                <w:bCs/>
              </w:rPr>
            </w:pPr>
          </w:p>
        </w:tc>
        <w:tc>
          <w:tcPr>
            <w:tcW w:w="540" w:type="dxa"/>
          </w:tcPr>
          <w:p w14:paraId="208C270C">
            <w:pPr>
              <w:spacing w:line="276" w:lineRule="auto"/>
              <w:jc w:val="both"/>
              <w:rPr>
                <w:rFonts w:ascii="Times New Roman" w:hAnsi="Times New Roman" w:cs="Times New Roman"/>
                <w:b/>
                <w:bCs/>
              </w:rPr>
            </w:pPr>
          </w:p>
        </w:tc>
        <w:tc>
          <w:tcPr>
            <w:tcW w:w="630" w:type="dxa"/>
          </w:tcPr>
          <w:p w14:paraId="3BC2C1C4">
            <w:pPr>
              <w:spacing w:line="276" w:lineRule="auto"/>
              <w:jc w:val="both"/>
              <w:rPr>
                <w:rFonts w:ascii="Times New Roman" w:hAnsi="Times New Roman" w:cs="Times New Roman"/>
                <w:b/>
                <w:bCs/>
              </w:rPr>
            </w:pPr>
          </w:p>
        </w:tc>
        <w:tc>
          <w:tcPr>
            <w:tcW w:w="630" w:type="dxa"/>
          </w:tcPr>
          <w:p w14:paraId="39903DD7">
            <w:pPr>
              <w:spacing w:line="276" w:lineRule="auto"/>
              <w:jc w:val="both"/>
              <w:rPr>
                <w:rFonts w:ascii="Times New Roman" w:hAnsi="Times New Roman" w:cs="Times New Roman"/>
                <w:b/>
                <w:bCs/>
              </w:rPr>
            </w:pPr>
          </w:p>
        </w:tc>
      </w:tr>
      <w:tr w14:paraId="260E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7113CE38">
            <w:pPr>
              <w:spacing w:line="276" w:lineRule="auto"/>
              <w:rPr>
                <w:rFonts w:ascii="Times New Roman" w:hAnsi="Times New Roman" w:cs="Times New Roman"/>
              </w:rPr>
            </w:pPr>
            <w:r>
              <w:rPr>
                <w:rFonts w:ascii="Times New Roman" w:hAnsi="Times New Roman" w:cs="Times New Roman"/>
                <w:sz w:val="24"/>
                <w:szCs w:val="24"/>
              </w:rPr>
              <w:t>Livelihood support for vulnerable households.</w:t>
            </w:r>
          </w:p>
        </w:tc>
        <w:tc>
          <w:tcPr>
            <w:tcW w:w="540" w:type="dxa"/>
          </w:tcPr>
          <w:p w14:paraId="1FDB317B">
            <w:pPr>
              <w:spacing w:line="276" w:lineRule="auto"/>
              <w:jc w:val="both"/>
              <w:rPr>
                <w:rFonts w:ascii="Times New Roman" w:hAnsi="Times New Roman" w:cs="Times New Roman"/>
                <w:b/>
                <w:bCs/>
              </w:rPr>
            </w:pPr>
          </w:p>
        </w:tc>
        <w:tc>
          <w:tcPr>
            <w:tcW w:w="630" w:type="dxa"/>
          </w:tcPr>
          <w:p w14:paraId="37060E55">
            <w:pPr>
              <w:spacing w:line="276" w:lineRule="auto"/>
              <w:jc w:val="both"/>
              <w:rPr>
                <w:rFonts w:ascii="Times New Roman" w:hAnsi="Times New Roman" w:cs="Times New Roman"/>
                <w:b/>
                <w:bCs/>
              </w:rPr>
            </w:pPr>
          </w:p>
        </w:tc>
        <w:tc>
          <w:tcPr>
            <w:tcW w:w="540" w:type="dxa"/>
          </w:tcPr>
          <w:p w14:paraId="7E6093C3">
            <w:pPr>
              <w:spacing w:line="276" w:lineRule="auto"/>
              <w:jc w:val="both"/>
              <w:rPr>
                <w:rFonts w:ascii="Times New Roman" w:hAnsi="Times New Roman" w:cs="Times New Roman"/>
                <w:b/>
                <w:bCs/>
              </w:rPr>
            </w:pPr>
          </w:p>
        </w:tc>
        <w:tc>
          <w:tcPr>
            <w:tcW w:w="540" w:type="dxa"/>
          </w:tcPr>
          <w:p w14:paraId="5A11AB94">
            <w:pPr>
              <w:spacing w:line="276" w:lineRule="auto"/>
              <w:jc w:val="both"/>
              <w:rPr>
                <w:rFonts w:ascii="Times New Roman" w:hAnsi="Times New Roman" w:cs="Times New Roman"/>
                <w:b/>
                <w:bCs/>
              </w:rPr>
            </w:pPr>
          </w:p>
        </w:tc>
        <w:tc>
          <w:tcPr>
            <w:tcW w:w="540" w:type="dxa"/>
          </w:tcPr>
          <w:p w14:paraId="72F043D3">
            <w:pPr>
              <w:spacing w:line="276" w:lineRule="auto"/>
              <w:jc w:val="both"/>
              <w:rPr>
                <w:rFonts w:ascii="Times New Roman" w:hAnsi="Times New Roman" w:cs="Times New Roman"/>
                <w:b/>
                <w:bCs/>
              </w:rPr>
            </w:pPr>
          </w:p>
        </w:tc>
        <w:tc>
          <w:tcPr>
            <w:tcW w:w="540" w:type="dxa"/>
          </w:tcPr>
          <w:p w14:paraId="0666E78C">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34CD9CEF">
            <w:pPr>
              <w:spacing w:line="276" w:lineRule="auto"/>
              <w:jc w:val="both"/>
              <w:rPr>
                <w:rFonts w:ascii="Times New Roman" w:hAnsi="Times New Roman" w:cs="Times New Roman"/>
                <w:b/>
                <w:bCs/>
              </w:rPr>
            </w:pPr>
          </w:p>
        </w:tc>
        <w:tc>
          <w:tcPr>
            <w:tcW w:w="540" w:type="dxa"/>
          </w:tcPr>
          <w:p w14:paraId="4F0A43B5">
            <w:pPr>
              <w:spacing w:line="276" w:lineRule="auto"/>
              <w:jc w:val="both"/>
              <w:rPr>
                <w:rFonts w:ascii="Times New Roman" w:hAnsi="Times New Roman" w:cs="Times New Roman"/>
                <w:b/>
                <w:bCs/>
              </w:rPr>
            </w:pPr>
          </w:p>
        </w:tc>
        <w:tc>
          <w:tcPr>
            <w:tcW w:w="450" w:type="dxa"/>
          </w:tcPr>
          <w:p w14:paraId="57D44A26">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062D7404">
            <w:pPr>
              <w:spacing w:line="276" w:lineRule="auto"/>
              <w:jc w:val="both"/>
              <w:rPr>
                <w:rFonts w:ascii="Times New Roman" w:hAnsi="Times New Roman" w:cs="Times New Roman"/>
                <w:b/>
                <w:bCs/>
              </w:rPr>
            </w:pPr>
          </w:p>
        </w:tc>
        <w:tc>
          <w:tcPr>
            <w:tcW w:w="630" w:type="dxa"/>
          </w:tcPr>
          <w:p w14:paraId="18C879A0">
            <w:pPr>
              <w:spacing w:line="276" w:lineRule="auto"/>
              <w:jc w:val="both"/>
              <w:rPr>
                <w:rFonts w:ascii="Times New Roman" w:hAnsi="Times New Roman" w:cs="Times New Roman"/>
                <w:b/>
                <w:bCs/>
              </w:rPr>
            </w:pPr>
          </w:p>
        </w:tc>
        <w:tc>
          <w:tcPr>
            <w:tcW w:w="630" w:type="dxa"/>
          </w:tcPr>
          <w:p w14:paraId="5DEE9D21">
            <w:pPr>
              <w:spacing w:line="276" w:lineRule="auto"/>
              <w:jc w:val="both"/>
              <w:rPr>
                <w:rFonts w:ascii="Times New Roman" w:hAnsi="Times New Roman" w:cs="Times New Roman"/>
                <w:b/>
                <w:bCs/>
              </w:rPr>
            </w:pPr>
          </w:p>
        </w:tc>
      </w:tr>
      <w:tr w14:paraId="1D5F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5F9DD99A">
            <w:pPr>
              <w:spacing w:line="276" w:lineRule="auto"/>
              <w:rPr>
                <w:rFonts w:ascii="Times New Roman" w:hAnsi="Times New Roman" w:cs="Times New Roman"/>
                <w:sz w:val="24"/>
                <w:szCs w:val="24"/>
              </w:rPr>
            </w:pPr>
            <w:r>
              <w:rPr>
                <w:rFonts w:ascii="Times New Roman" w:hAnsi="Times New Roman" w:cs="Times New Roman"/>
                <w:sz w:val="24"/>
                <w:szCs w:val="24"/>
              </w:rPr>
              <w:t xml:space="preserve">Cooking Demonstrations </w:t>
            </w:r>
          </w:p>
        </w:tc>
        <w:tc>
          <w:tcPr>
            <w:tcW w:w="540" w:type="dxa"/>
          </w:tcPr>
          <w:p w14:paraId="45B1DB36">
            <w:pPr>
              <w:spacing w:line="276" w:lineRule="auto"/>
              <w:jc w:val="both"/>
              <w:rPr>
                <w:rFonts w:ascii="Times New Roman" w:hAnsi="Times New Roman" w:cs="Times New Roman"/>
                <w:b/>
                <w:bCs/>
              </w:rPr>
            </w:pPr>
          </w:p>
        </w:tc>
        <w:tc>
          <w:tcPr>
            <w:tcW w:w="630" w:type="dxa"/>
          </w:tcPr>
          <w:p w14:paraId="53338088">
            <w:pPr>
              <w:spacing w:line="276" w:lineRule="auto"/>
              <w:jc w:val="both"/>
              <w:rPr>
                <w:rFonts w:ascii="Times New Roman" w:hAnsi="Times New Roman" w:cs="Times New Roman"/>
                <w:b/>
                <w:bCs/>
              </w:rPr>
            </w:pPr>
          </w:p>
        </w:tc>
        <w:tc>
          <w:tcPr>
            <w:tcW w:w="540" w:type="dxa"/>
          </w:tcPr>
          <w:p w14:paraId="79D6BA0B">
            <w:pPr>
              <w:spacing w:line="276" w:lineRule="auto"/>
              <w:jc w:val="both"/>
              <w:rPr>
                <w:rFonts w:ascii="Times New Roman" w:hAnsi="Times New Roman" w:cs="Times New Roman"/>
                <w:b/>
                <w:bCs/>
              </w:rPr>
            </w:pPr>
          </w:p>
        </w:tc>
        <w:tc>
          <w:tcPr>
            <w:tcW w:w="540" w:type="dxa"/>
          </w:tcPr>
          <w:p w14:paraId="3DAC33A1">
            <w:pPr>
              <w:spacing w:line="276" w:lineRule="auto"/>
              <w:jc w:val="both"/>
              <w:rPr>
                <w:rFonts w:ascii="Times New Roman" w:hAnsi="Times New Roman" w:cs="Times New Roman"/>
                <w:b/>
                <w:bCs/>
              </w:rPr>
            </w:pPr>
          </w:p>
        </w:tc>
        <w:tc>
          <w:tcPr>
            <w:tcW w:w="540" w:type="dxa"/>
          </w:tcPr>
          <w:p w14:paraId="1245763E">
            <w:pPr>
              <w:spacing w:line="276" w:lineRule="auto"/>
              <w:jc w:val="both"/>
              <w:rPr>
                <w:rFonts w:ascii="Times New Roman" w:hAnsi="Times New Roman" w:cs="Times New Roman"/>
                <w:b/>
                <w:bCs/>
              </w:rPr>
            </w:pPr>
          </w:p>
        </w:tc>
        <w:tc>
          <w:tcPr>
            <w:tcW w:w="540" w:type="dxa"/>
          </w:tcPr>
          <w:p w14:paraId="0DD5D855">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5FD8E402">
            <w:pPr>
              <w:spacing w:line="276" w:lineRule="auto"/>
              <w:jc w:val="both"/>
              <w:rPr>
                <w:rFonts w:ascii="Times New Roman" w:hAnsi="Times New Roman" w:cs="Times New Roman"/>
                <w:b/>
                <w:bCs/>
              </w:rPr>
            </w:pPr>
          </w:p>
        </w:tc>
        <w:tc>
          <w:tcPr>
            <w:tcW w:w="540" w:type="dxa"/>
          </w:tcPr>
          <w:p w14:paraId="1EB0043C">
            <w:pPr>
              <w:spacing w:line="276" w:lineRule="auto"/>
              <w:jc w:val="both"/>
              <w:rPr>
                <w:rFonts w:ascii="Times New Roman" w:hAnsi="Times New Roman" w:cs="Times New Roman"/>
                <w:b/>
                <w:bCs/>
              </w:rPr>
            </w:pPr>
          </w:p>
        </w:tc>
        <w:tc>
          <w:tcPr>
            <w:tcW w:w="450" w:type="dxa"/>
          </w:tcPr>
          <w:p w14:paraId="619F2DAA">
            <w:pPr>
              <w:spacing w:line="276" w:lineRule="auto"/>
              <w:jc w:val="both"/>
              <w:rPr>
                <w:rFonts w:ascii="Times New Roman" w:hAnsi="Times New Roman" w:cs="Times New Roman"/>
                <w:b/>
                <w:bCs/>
              </w:rPr>
            </w:pPr>
          </w:p>
        </w:tc>
        <w:tc>
          <w:tcPr>
            <w:tcW w:w="540" w:type="dxa"/>
          </w:tcPr>
          <w:p w14:paraId="32A7B19E">
            <w:pPr>
              <w:spacing w:line="276" w:lineRule="auto"/>
              <w:jc w:val="both"/>
              <w:rPr>
                <w:rFonts w:ascii="Times New Roman" w:hAnsi="Times New Roman" w:cs="Times New Roman"/>
                <w:b/>
                <w:bCs/>
              </w:rPr>
            </w:pPr>
          </w:p>
        </w:tc>
        <w:tc>
          <w:tcPr>
            <w:tcW w:w="630" w:type="dxa"/>
          </w:tcPr>
          <w:p w14:paraId="6655D296">
            <w:pPr>
              <w:spacing w:line="276" w:lineRule="auto"/>
              <w:jc w:val="both"/>
              <w:rPr>
                <w:rFonts w:ascii="Times New Roman" w:hAnsi="Times New Roman" w:cs="Times New Roman"/>
                <w:b/>
                <w:bCs/>
              </w:rPr>
            </w:pPr>
          </w:p>
        </w:tc>
        <w:tc>
          <w:tcPr>
            <w:tcW w:w="630" w:type="dxa"/>
          </w:tcPr>
          <w:p w14:paraId="057CBCAE">
            <w:pPr>
              <w:spacing w:line="276" w:lineRule="auto"/>
              <w:jc w:val="both"/>
              <w:rPr>
                <w:rFonts w:ascii="Times New Roman" w:hAnsi="Times New Roman" w:cs="Times New Roman"/>
                <w:b/>
                <w:bCs/>
              </w:rPr>
            </w:pPr>
          </w:p>
        </w:tc>
      </w:tr>
      <w:tr w14:paraId="4C7A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79EE04F7">
            <w:pPr>
              <w:tabs>
                <w:tab w:val="left" w:pos="2835"/>
              </w:tabs>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Capacity building workshop and refreshers session training for project staff. </w:t>
            </w:r>
          </w:p>
        </w:tc>
        <w:tc>
          <w:tcPr>
            <w:tcW w:w="540" w:type="dxa"/>
          </w:tcPr>
          <w:p w14:paraId="3B41734A">
            <w:pPr>
              <w:spacing w:line="276" w:lineRule="auto"/>
              <w:jc w:val="both"/>
              <w:rPr>
                <w:rFonts w:ascii="Times New Roman" w:hAnsi="Times New Roman" w:cs="Times New Roman"/>
                <w:b/>
                <w:bCs/>
              </w:rPr>
            </w:pPr>
          </w:p>
        </w:tc>
        <w:tc>
          <w:tcPr>
            <w:tcW w:w="630" w:type="dxa"/>
          </w:tcPr>
          <w:p w14:paraId="58F0A597">
            <w:pPr>
              <w:spacing w:line="276" w:lineRule="auto"/>
              <w:jc w:val="both"/>
              <w:rPr>
                <w:rFonts w:ascii="Times New Roman" w:hAnsi="Times New Roman" w:cs="Times New Roman"/>
                <w:b/>
                <w:bCs/>
              </w:rPr>
            </w:pPr>
          </w:p>
        </w:tc>
        <w:tc>
          <w:tcPr>
            <w:tcW w:w="540" w:type="dxa"/>
          </w:tcPr>
          <w:p w14:paraId="230D652E">
            <w:pPr>
              <w:spacing w:line="276" w:lineRule="auto"/>
              <w:jc w:val="both"/>
              <w:rPr>
                <w:rFonts w:ascii="Times New Roman" w:hAnsi="Times New Roman" w:cs="Times New Roman"/>
                <w:b/>
                <w:bCs/>
              </w:rPr>
            </w:pPr>
          </w:p>
        </w:tc>
        <w:tc>
          <w:tcPr>
            <w:tcW w:w="540" w:type="dxa"/>
          </w:tcPr>
          <w:p w14:paraId="53EF4896">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DC08925">
            <w:pPr>
              <w:spacing w:line="276" w:lineRule="auto"/>
              <w:jc w:val="both"/>
              <w:rPr>
                <w:rFonts w:ascii="Times New Roman" w:hAnsi="Times New Roman" w:cs="Times New Roman"/>
                <w:b/>
                <w:bCs/>
              </w:rPr>
            </w:pPr>
          </w:p>
        </w:tc>
        <w:tc>
          <w:tcPr>
            <w:tcW w:w="540" w:type="dxa"/>
          </w:tcPr>
          <w:p w14:paraId="7E5A246F">
            <w:pPr>
              <w:spacing w:line="276" w:lineRule="auto"/>
              <w:jc w:val="both"/>
              <w:rPr>
                <w:rFonts w:ascii="Times New Roman" w:hAnsi="Times New Roman" w:cs="Times New Roman"/>
                <w:b/>
                <w:bCs/>
              </w:rPr>
            </w:pPr>
          </w:p>
        </w:tc>
        <w:tc>
          <w:tcPr>
            <w:tcW w:w="540" w:type="dxa"/>
          </w:tcPr>
          <w:p w14:paraId="6334A7EA">
            <w:pPr>
              <w:spacing w:line="276" w:lineRule="auto"/>
              <w:jc w:val="both"/>
              <w:rPr>
                <w:rFonts w:ascii="Times New Roman" w:hAnsi="Times New Roman" w:cs="Times New Roman"/>
                <w:b/>
                <w:bCs/>
              </w:rPr>
            </w:pPr>
          </w:p>
        </w:tc>
        <w:tc>
          <w:tcPr>
            <w:tcW w:w="540" w:type="dxa"/>
          </w:tcPr>
          <w:p w14:paraId="761AA3EE">
            <w:pPr>
              <w:spacing w:line="276" w:lineRule="auto"/>
              <w:jc w:val="both"/>
              <w:rPr>
                <w:rFonts w:ascii="Times New Roman" w:hAnsi="Times New Roman" w:cs="Times New Roman"/>
                <w:b/>
                <w:bCs/>
              </w:rPr>
            </w:pPr>
          </w:p>
        </w:tc>
        <w:tc>
          <w:tcPr>
            <w:tcW w:w="450" w:type="dxa"/>
          </w:tcPr>
          <w:p w14:paraId="770FDF30">
            <w:pPr>
              <w:spacing w:line="276" w:lineRule="auto"/>
              <w:jc w:val="both"/>
              <w:rPr>
                <w:rFonts w:ascii="Times New Roman" w:hAnsi="Times New Roman" w:cs="Times New Roman"/>
                <w:b/>
                <w:bCs/>
              </w:rPr>
            </w:pPr>
          </w:p>
        </w:tc>
        <w:tc>
          <w:tcPr>
            <w:tcW w:w="540" w:type="dxa"/>
          </w:tcPr>
          <w:p w14:paraId="36F22CD9">
            <w:pPr>
              <w:spacing w:line="276" w:lineRule="auto"/>
              <w:jc w:val="both"/>
              <w:rPr>
                <w:rFonts w:ascii="Times New Roman" w:hAnsi="Times New Roman" w:cs="Times New Roman"/>
                <w:b/>
                <w:bCs/>
              </w:rPr>
            </w:pPr>
          </w:p>
        </w:tc>
        <w:tc>
          <w:tcPr>
            <w:tcW w:w="630" w:type="dxa"/>
          </w:tcPr>
          <w:p w14:paraId="03AF56C7">
            <w:pPr>
              <w:spacing w:line="276" w:lineRule="auto"/>
              <w:jc w:val="both"/>
              <w:rPr>
                <w:rFonts w:ascii="Times New Roman" w:hAnsi="Times New Roman" w:cs="Times New Roman"/>
                <w:b/>
                <w:bCs/>
              </w:rPr>
            </w:pPr>
          </w:p>
        </w:tc>
        <w:tc>
          <w:tcPr>
            <w:tcW w:w="630" w:type="dxa"/>
          </w:tcPr>
          <w:p w14:paraId="78A0D0E1">
            <w:pPr>
              <w:spacing w:line="276" w:lineRule="auto"/>
              <w:jc w:val="both"/>
              <w:rPr>
                <w:rFonts w:ascii="Times New Roman" w:hAnsi="Times New Roman" w:cs="Times New Roman"/>
                <w:b/>
                <w:bCs/>
              </w:rPr>
            </w:pPr>
          </w:p>
        </w:tc>
      </w:tr>
      <w:tr w14:paraId="493E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4FE43A73">
            <w:pPr>
              <w:tabs>
                <w:tab w:val="left" w:pos="2835"/>
              </w:tabs>
              <w:spacing w:line="276" w:lineRule="auto"/>
              <w:rPr>
                <w:rFonts w:ascii="Times New Roman" w:hAnsi="Times New Roman" w:cs="Times New Roman"/>
                <w:sz w:val="24"/>
                <w:szCs w:val="24"/>
              </w:rPr>
            </w:pPr>
            <w:r>
              <w:rPr>
                <w:rFonts w:ascii="Times New Roman" w:hAnsi="Times New Roman" w:cs="Times New Roman"/>
                <w:sz w:val="24"/>
                <w:szCs w:val="24"/>
              </w:rPr>
              <w:t xml:space="preserve">Community mobilization and advocacy. </w:t>
            </w:r>
          </w:p>
        </w:tc>
        <w:tc>
          <w:tcPr>
            <w:tcW w:w="540" w:type="dxa"/>
          </w:tcPr>
          <w:p w14:paraId="01A3315C">
            <w:pPr>
              <w:spacing w:line="276" w:lineRule="auto"/>
              <w:jc w:val="both"/>
              <w:rPr>
                <w:rFonts w:ascii="Times New Roman" w:hAnsi="Times New Roman" w:cs="Times New Roman"/>
                <w:b/>
                <w:bCs/>
              </w:rPr>
            </w:pPr>
          </w:p>
        </w:tc>
        <w:tc>
          <w:tcPr>
            <w:tcW w:w="630" w:type="dxa"/>
          </w:tcPr>
          <w:p w14:paraId="6CA95941">
            <w:pPr>
              <w:spacing w:line="276" w:lineRule="auto"/>
              <w:jc w:val="both"/>
              <w:rPr>
                <w:rFonts w:ascii="Times New Roman" w:hAnsi="Times New Roman" w:cs="Times New Roman"/>
                <w:b/>
                <w:bCs/>
              </w:rPr>
            </w:pPr>
          </w:p>
        </w:tc>
        <w:tc>
          <w:tcPr>
            <w:tcW w:w="540" w:type="dxa"/>
          </w:tcPr>
          <w:p w14:paraId="37D213B7">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14B37AA">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0DA3229E">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673C12B">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61C66A2F">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3E46591">
            <w:pPr>
              <w:spacing w:line="276" w:lineRule="auto"/>
              <w:jc w:val="both"/>
              <w:rPr>
                <w:rFonts w:ascii="Times New Roman" w:hAnsi="Times New Roman" w:cs="Times New Roman"/>
                <w:b/>
                <w:bCs/>
              </w:rPr>
            </w:pPr>
            <w:r>
              <w:rPr>
                <w:rFonts w:ascii="Times New Roman" w:hAnsi="Times New Roman" w:cs="Times New Roman"/>
                <w:b/>
                <w:bCs/>
              </w:rPr>
              <w:t>X</w:t>
            </w:r>
          </w:p>
        </w:tc>
        <w:tc>
          <w:tcPr>
            <w:tcW w:w="450" w:type="dxa"/>
          </w:tcPr>
          <w:p w14:paraId="3C193302">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2DC6AA92">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398A6A85">
            <w:pPr>
              <w:spacing w:line="276" w:lineRule="auto"/>
              <w:jc w:val="both"/>
              <w:rPr>
                <w:rFonts w:ascii="Times New Roman" w:hAnsi="Times New Roman" w:cs="Times New Roman"/>
                <w:b/>
                <w:bCs/>
              </w:rPr>
            </w:pPr>
          </w:p>
        </w:tc>
        <w:tc>
          <w:tcPr>
            <w:tcW w:w="630" w:type="dxa"/>
          </w:tcPr>
          <w:p w14:paraId="0E255519">
            <w:pPr>
              <w:spacing w:line="276" w:lineRule="auto"/>
              <w:jc w:val="both"/>
              <w:rPr>
                <w:rFonts w:ascii="Times New Roman" w:hAnsi="Times New Roman" w:cs="Times New Roman"/>
                <w:b/>
                <w:bCs/>
              </w:rPr>
            </w:pPr>
          </w:p>
        </w:tc>
      </w:tr>
      <w:tr w14:paraId="78F4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24F23822">
            <w:pPr>
              <w:tabs>
                <w:tab w:val="left" w:pos="2835"/>
              </w:tabs>
              <w:spacing w:line="276" w:lineRule="auto"/>
              <w:rPr>
                <w:rFonts w:ascii="Times New Roman" w:hAnsi="Times New Roman" w:cs="Times New Roman"/>
                <w:sz w:val="24"/>
                <w:szCs w:val="24"/>
              </w:rPr>
            </w:pPr>
            <w:r>
              <w:rPr>
                <w:rFonts w:ascii="Times New Roman" w:hAnsi="Times New Roman" w:cs="Times New Roman"/>
                <w:sz w:val="24"/>
                <w:szCs w:val="24"/>
              </w:rPr>
              <w:t>Monitoring and evaluation.</w:t>
            </w:r>
          </w:p>
        </w:tc>
        <w:tc>
          <w:tcPr>
            <w:tcW w:w="540" w:type="dxa"/>
          </w:tcPr>
          <w:p w14:paraId="7B604398">
            <w:pPr>
              <w:spacing w:line="276" w:lineRule="auto"/>
              <w:jc w:val="both"/>
              <w:rPr>
                <w:rFonts w:ascii="Times New Roman" w:hAnsi="Times New Roman" w:cs="Times New Roman"/>
                <w:b/>
                <w:bCs/>
              </w:rPr>
            </w:pPr>
          </w:p>
        </w:tc>
        <w:tc>
          <w:tcPr>
            <w:tcW w:w="630" w:type="dxa"/>
          </w:tcPr>
          <w:p w14:paraId="370E16DB">
            <w:pPr>
              <w:spacing w:line="276" w:lineRule="auto"/>
              <w:jc w:val="both"/>
              <w:rPr>
                <w:rFonts w:ascii="Times New Roman" w:hAnsi="Times New Roman" w:cs="Times New Roman"/>
                <w:b/>
                <w:bCs/>
              </w:rPr>
            </w:pPr>
          </w:p>
        </w:tc>
        <w:tc>
          <w:tcPr>
            <w:tcW w:w="540" w:type="dxa"/>
          </w:tcPr>
          <w:p w14:paraId="328F941E">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9322474">
            <w:pPr>
              <w:spacing w:line="276" w:lineRule="auto"/>
              <w:jc w:val="both"/>
              <w:rPr>
                <w:rFonts w:ascii="Times New Roman" w:hAnsi="Times New Roman" w:cs="Times New Roman"/>
                <w:b/>
                <w:bCs/>
              </w:rPr>
            </w:pPr>
          </w:p>
        </w:tc>
        <w:tc>
          <w:tcPr>
            <w:tcW w:w="540" w:type="dxa"/>
          </w:tcPr>
          <w:p w14:paraId="23AD6303">
            <w:pPr>
              <w:spacing w:line="276" w:lineRule="auto"/>
              <w:jc w:val="both"/>
              <w:rPr>
                <w:rFonts w:ascii="Times New Roman" w:hAnsi="Times New Roman" w:cs="Times New Roman"/>
                <w:b/>
                <w:bCs/>
              </w:rPr>
            </w:pPr>
          </w:p>
        </w:tc>
        <w:tc>
          <w:tcPr>
            <w:tcW w:w="540" w:type="dxa"/>
          </w:tcPr>
          <w:p w14:paraId="4DBC4102">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A16B82D">
            <w:pPr>
              <w:spacing w:line="276" w:lineRule="auto"/>
              <w:jc w:val="both"/>
              <w:rPr>
                <w:rFonts w:ascii="Times New Roman" w:hAnsi="Times New Roman" w:cs="Times New Roman"/>
                <w:b/>
                <w:bCs/>
              </w:rPr>
            </w:pPr>
          </w:p>
        </w:tc>
        <w:tc>
          <w:tcPr>
            <w:tcW w:w="540" w:type="dxa"/>
          </w:tcPr>
          <w:p w14:paraId="64A47701">
            <w:pPr>
              <w:spacing w:line="276" w:lineRule="auto"/>
              <w:jc w:val="both"/>
              <w:rPr>
                <w:rFonts w:ascii="Times New Roman" w:hAnsi="Times New Roman" w:cs="Times New Roman"/>
                <w:b/>
                <w:bCs/>
              </w:rPr>
            </w:pPr>
          </w:p>
        </w:tc>
        <w:tc>
          <w:tcPr>
            <w:tcW w:w="450" w:type="dxa"/>
          </w:tcPr>
          <w:p w14:paraId="14764758">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89BB69D">
            <w:pPr>
              <w:spacing w:line="276" w:lineRule="auto"/>
              <w:jc w:val="both"/>
              <w:rPr>
                <w:rFonts w:ascii="Times New Roman" w:hAnsi="Times New Roman" w:cs="Times New Roman"/>
                <w:b/>
                <w:bCs/>
              </w:rPr>
            </w:pPr>
          </w:p>
        </w:tc>
        <w:tc>
          <w:tcPr>
            <w:tcW w:w="630" w:type="dxa"/>
          </w:tcPr>
          <w:p w14:paraId="28B96EFE">
            <w:pPr>
              <w:spacing w:line="276" w:lineRule="auto"/>
              <w:jc w:val="both"/>
              <w:rPr>
                <w:rFonts w:ascii="Times New Roman" w:hAnsi="Times New Roman" w:cs="Times New Roman"/>
                <w:b/>
                <w:bCs/>
              </w:rPr>
            </w:pPr>
          </w:p>
        </w:tc>
        <w:tc>
          <w:tcPr>
            <w:tcW w:w="630" w:type="dxa"/>
          </w:tcPr>
          <w:p w14:paraId="6CE3C476">
            <w:pPr>
              <w:spacing w:line="276" w:lineRule="auto"/>
              <w:jc w:val="both"/>
              <w:rPr>
                <w:rFonts w:ascii="Times New Roman" w:hAnsi="Times New Roman" w:cs="Times New Roman"/>
                <w:b/>
                <w:bCs/>
              </w:rPr>
            </w:pPr>
            <w:r>
              <w:rPr>
                <w:rFonts w:ascii="Times New Roman" w:hAnsi="Times New Roman" w:cs="Times New Roman"/>
                <w:b/>
                <w:bCs/>
              </w:rPr>
              <w:t>X</w:t>
            </w:r>
          </w:p>
        </w:tc>
      </w:tr>
      <w:tr w14:paraId="1755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25CECE51">
            <w:pPr>
              <w:tabs>
                <w:tab w:val="left" w:pos="2835"/>
              </w:tabs>
              <w:spacing w:line="276" w:lineRule="auto"/>
              <w:rPr>
                <w:rFonts w:ascii="Times New Roman" w:hAnsi="Times New Roman" w:cs="Times New Roman"/>
                <w:sz w:val="24"/>
                <w:szCs w:val="24"/>
              </w:rPr>
            </w:pPr>
            <w:r>
              <w:rPr>
                <w:rFonts w:ascii="Times New Roman" w:hAnsi="Times New Roman" w:cs="Times New Roman"/>
                <w:sz w:val="24"/>
                <w:szCs w:val="24"/>
              </w:rPr>
              <w:t>Coordination with stakeholders and other partners in Song LGA.</w:t>
            </w:r>
          </w:p>
        </w:tc>
        <w:tc>
          <w:tcPr>
            <w:tcW w:w="540" w:type="dxa"/>
          </w:tcPr>
          <w:p w14:paraId="09CDB1B3">
            <w:pPr>
              <w:spacing w:line="276" w:lineRule="auto"/>
              <w:jc w:val="both"/>
              <w:rPr>
                <w:rFonts w:ascii="Times New Roman" w:hAnsi="Times New Roman" w:cs="Times New Roman"/>
                <w:b/>
                <w:bCs/>
              </w:rPr>
            </w:pPr>
          </w:p>
        </w:tc>
        <w:tc>
          <w:tcPr>
            <w:tcW w:w="630" w:type="dxa"/>
          </w:tcPr>
          <w:p w14:paraId="1574257A">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722AFE40">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62D1BDBD">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3326E350">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75EB523F">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5FBF2116">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2653FE7">
            <w:pPr>
              <w:spacing w:line="276" w:lineRule="auto"/>
              <w:jc w:val="both"/>
              <w:rPr>
                <w:rFonts w:ascii="Times New Roman" w:hAnsi="Times New Roman" w:cs="Times New Roman"/>
                <w:b/>
                <w:bCs/>
              </w:rPr>
            </w:pPr>
            <w:r>
              <w:rPr>
                <w:rFonts w:ascii="Times New Roman" w:hAnsi="Times New Roman" w:cs="Times New Roman"/>
                <w:b/>
                <w:bCs/>
              </w:rPr>
              <w:t>X</w:t>
            </w:r>
          </w:p>
        </w:tc>
        <w:tc>
          <w:tcPr>
            <w:tcW w:w="450" w:type="dxa"/>
          </w:tcPr>
          <w:p w14:paraId="415164DF">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6A97A4B0">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5695E06F">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4ECFDCC3">
            <w:pPr>
              <w:spacing w:line="276" w:lineRule="auto"/>
              <w:jc w:val="both"/>
              <w:rPr>
                <w:rFonts w:ascii="Times New Roman" w:hAnsi="Times New Roman" w:cs="Times New Roman"/>
                <w:b/>
                <w:bCs/>
              </w:rPr>
            </w:pPr>
            <w:r>
              <w:rPr>
                <w:rFonts w:ascii="Times New Roman" w:hAnsi="Times New Roman" w:cs="Times New Roman"/>
                <w:b/>
                <w:bCs/>
              </w:rPr>
              <w:t>X</w:t>
            </w:r>
          </w:p>
        </w:tc>
      </w:tr>
      <w:tr w14:paraId="2569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410" w:type="dxa"/>
          </w:tcPr>
          <w:p w14:paraId="28AB19D2">
            <w:pPr>
              <w:spacing w:line="276" w:lineRule="auto"/>
              <w:jc w:val="both"/>
              <w:rPr>
                <w:rFonts w:ascii="Times New Roman" w:hAnsi="Times New Roman" w:cs="Times New Roman"/>
              </w:rPr>
            </w:pPr>
            <w:r>
              <w:rPr>
                <w:rFonts w:ascii="Times New Roman" w:hAnsi="Times New Roman" w:cs="Times New Roman"/>
                <w:sz w:val="24"/>
                <w:szCs w:val="24"/>
              </w:rPr>
              <w:t>Reporting and documentation.</w:t>
            </w:r>
          </w:p>
        </w:tc>
        <w:tc>
          <w:tcPr>
            <w:tcW w:w="540" w:type="dxa"/>
          </w:tcPr>
          <w:p w14:paraId="470A645B">
            <w:pPr>
              <w:spacing w:line="276" w:lineRule="auto"/>
              <w:jc w:val="both"/>
              <w:rPr>
                <w:rFonts w:ascii="Times New Roman" w:hAnsi="Times New Roman" w:cs="Times New Roman"/>
                <w:b/>
                <w:bCs/>
              </w:rPr>
            </w:pPr>
          </w:p>
        </w:tc>
        <w:tc>
          <w:tcPr>
            <w:tcW w:w="630" w:type="dxa"/>
          </w:tcPr>
          <w:p w14:paraId="74B8D371">
            <w:pPr>
              <w:spacing w:line="276" w:lineRule="auto"/>
              <w:jc w:val="both"/>
              <w:rPr>
                <w:rFonts w:ascii="Times New Roman" w:hAnsi="Times New Roman" w:cs="Times New Roman"/>
                <w:b/>
                <w:bCs/>
              </w:rPr>
            </w:pPr>
          </w:p>
        </w:tc>
        <w:tc>
          <w:tcPr>
            <w:tcW w:w="540" w:type="dxa"/>
          </w:tcPr>
          <w:p w14:paraId="719494D4">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6C1E6FBD">
            <w:pPr>
              <w:spacing w:line="276" w:lineRule="auto"/>
              <w:jc w:val="both"/>
              <w:rPr>
                <w:rFonts w:ascii="Times New Roman" w:hAnsi="Times New Roman" w:cs="Times New Roman"/>
                <w:b/>
                <w:bCs/>
              </w:rPr>
            </w:pPr>
          </w:p>
        </w:tc>
        <w:tc>
          <w:tcPr>
            <w:tcW w:w="540" w:type="dxa"/>
          </w:tcPr>
          <w:p w14:paraId="66B1A70F">
            <w:pPr>
              <w:spacing w:line="276" w:lineRule="auto"/>
              <w:jc w:val="both"/>
              <w:rPr>
                <w:rFonts w:ascii="Times New Roman" w:hAnsi="Times New Roman" w:cs="Times New Roman"/>
                <w:b/>
                <w:bCs/>
              </w:rPr>
            </w:pPr>
          </w:p>
        </w:tc>
        <w:tc>
          <w:tcPr>
            <w:tcW w:w="540" w:type="dxa"/>
          </w:tcPr>
          <w:p w14:paraId="4862DEF6">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14106E85">
            <w:pPr>
              <w:spacing w:line="276" w:lineRule="auto"/>
              <w:jc w:val="both"/>
              <w:rPr>
                <w:rFonts w:ascii="Times New Roman" w:hAnsi="Times New Roman" w:cs="Times New Roman"/>
                <w:b/>
                <w:bCs/>
              </w:rPr>
            </w:pPr>
          </w:p>
        </w:tc>
        <w:tc>
          <w:tcPr>
            <w:tcW w:w="540" w:type="dxa"/>
          </w:tcPr>
          <w:p w14:paraId="556C8E0D">
            <w:pPr>
              <w:spacing w:line="276" w:lineRule="auto"/>
              <w:jc w:val="both"/>
              <w:rPr>
                <w:rFonts w:ascii="Times New Roman" w:hAnsi="Times New Roman" w:cs="Times New Roman"/>
                <w:b/>
                <w:bCs/>
              </w:rPr>
            </w:pPr>
          </w:p>
        </w:tc>
        <w:tc>
          <w:tcPr>
            <w:tcW w:w="450" w:type="dxa"/>
          </w:tcPr>
          <w:p w14:paraId="4092693B">
            <w:pPr>
              <w:spacing w:line="276" w:lineRule="auto"/>
              <w:jc w:val="both"/>
              <w:rPr>
                <w:rFonts w:ascii="Times New Roman" w:hAnsi="Times New Roman" w:cs="Times New Roman"/>
                <w:b/>
                <w:bCs/>
              </w:rPr>
            </w:pPr>
            <w:r>
              <w:rPr>
                <w:rFonts w:ascii="Times New Roman" w:hAnsi="Times New Roman" w:cs="Times New Roman"/>
                <w:b/>
                <w:bCs/>
              </w:rPr>
              <w:t>X</w:t>
            </w:r>
          </w:p>
        </w:tc>
        <w:tc>
          <w:tcPr>
            <w:tcW w:w="540" w:type="dxa"/>
          </w:tcPr>
          <w:p w14:paraId="4BDBD479">
            <w:pPr>
              <w:spacing w:line="276" w:lineRule="auto"/>
              <w:jc w:val="both"/>
              <w:rPr>
                <w:rFonts w:ascii="Times New Roman" w:hAnsi="Times New Roman" w:cs="Times New Roman"/>
                <w:b/>
                <w:bCs/>
              </w:rPr>
            </w:pPr>
          </w:p>
        </w:tc>
        <w:tc>
          <w:tcPr>
            <w:tcW w:w="630" w:type="dxa"/>
          </w:tcPr>
          <w:p w14:paraId="4B731034">
            <w:pPr>
              <w:spacing w:line="276" w:lineRule="auto"/>
              <w:jc w:val="both"/>
              <w:rPr>
                <w:rFonts w:ascii="Times New Roman" w:hAnsi="Times New Roman" w:cs="Times New Roman"/>
                <w:b/>
                <w:bCs/>
              </w:rPr>
            </w:pPr>
          </w:p>
        </w:tc>
        <w:tc>
          <w:tcPr>
            <w:tcW w:w="630" w:type="dxa"/>
          </w:tcPr>
          <w:p w14:paraId="18418A76">
            <w:pPr>
              <w:spacing w:line="276" w:lineRule="auto"/>
              <w:jc w:val="both"/>
              <w:rPr>
                <w:rFonts w:ascii="Times New Roman" w:hAnsi="Times New Roman" w:cs="Times New Roman"/>
                <w:b/>
                <w:bCs/>
              </w:rPr>
            </w:pPr>
            <w:r>
              <w:rPr>
                <w:rFonts w:ascii="Times New Roman" w:hAnsi="Times New Roman" w:cs="Times New Roman"/>
                <w:b/>
                <w:bCs/>
              </w:rPr>
              <w:t>X</w:t>
            </w:r>
          </w:p>
        </w:tc>
      </w:tr>
      <w:tr w14:paraId="68F8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0" w:type="dxa"/>
          </w:tcPr>
          <w:p w14:paraId="5872B501">
            <w:pPr>
              <w:spacing w:line="276" w:lineRule="auto"/>
              <w:jc w:val="both"/>
              <w:rPr>
                <w:rFonts w:ascii="Times New Roman" w:hAnsi="Times New Roman" w:cs="Times New Roman"/>
              </w:rPr>
            </w:pPr>
            <w:r>
              <w:rPr>
                <w:rFonts w:ascii="Times New Roman" w:hAnsi="Times New Roman" w:cs="Times New Roman"/>
                <w:sz w:val="24"/>
                <w:szCs w:val="24"/>
              </w:rPr>
              <w:t>Exist and handover strategy.</w:t>
            </w:r>
          </w:p>
        </w:tc>
        <w:tc>
          <w:tcPr>
            <w:tcW w:w="540" w:type="dxa"/>
          </w:tcPr>
          <w:p w14:paraId="4396D06A">
            <w:pPr>
              <w:spacing w:line="276" w:lineRule="auto"/>
              <w:jc w:val="both"/>
              <w:rPr>
                <w:rFonts w:ascii="Times New Roman" w:hAnsi="Times New Roman" w:cs="Times New Roman"/>
                <w:b/>
                <w:bCs/>
              </w:rPr>
            </w:pPr>
          </w:p>
        </w:tc>
        <w:tc>
          <w:tcPr>
            <w:tcW w:w="630" w:type="dxa"/>
          </w:tcPr>
          <w:p w14:paraId="3C6F9B0C">
            <w:pPr>
              <w:spacing w:line="276" w:lineRule="auto"/>
              <w:jc w:val="both"/>
              <w:rPr>
                <w:rFonts w:ascii="Times New Roman" w:hAnsi="Times New Roman" w:cs="Times New Roman"/>
                <w:b/>
                <w:bCs/>
              </w:rPr>
            </w:pPr>
          </w:p>
        </w:tc>
        <w:tc>
          <w:tcPr>
            <w:tcW w:w="540" w:type="dxa"/>
          </w:tcPr>
          <w:p w14:paraId="646ECC16">
            <w:pPr>
              <w:spacing w:line="276" w:lineRule="auto"/>
              <w:jc w:val="both"/>
              <w:rPr>
                <w:rFonts w:ascii="Times New Roman" w:hAnsi="Times New Roman" w:cs="Times New Roman"/>
                <w:b/>
                <w:bCs/>
              </w:rPr>
            </w:pPr>
          </w:p>
        </w:tc>
        <w:tc>
          <w:tcPr>
            <w:tcW w:w="540" w:type="dxa"/>
          </w:tcPr>
          <w:p w14:paraId="78452D25">
            <w:pPr>
              <w:spacing w:line="276" w:lineRule="auto"/>
              <w:jc w:val="both"/>
              <w:rPr>
                <w:rFonts w:ascii="Times New Roman" w:hAnsi="Times New Roman" w:cs="Times New Roman"/>
                <w:b/>
                <w:bCs/>
              </w:rPr>
            </w:pPr>
          </w:p>
        </w:tc>
        <w:tc>
          <w:tcPr>
            <w:tcW w:w="540" w:type="dxa"/>
          </w:tcPr>
          <w:p w14:paraId="0BC63F50">
            <w:pPr>
              <w:spacing w:line="276" w:lineRule="auto"/>
              <w:jc w:val="both"/>
              <w:rPr>
                <w:rFonts w:ascii="Times New Roman" w:hAnsi="Times New Roman" w:cs="Times New Roman"/>
                <w:b/>
                <w:bCs/>
              </w:rPr>
            </w:pPr>
          </w:p>
        </w:tc>
        <w:tc>
          <w:tcPr>
            <w:tcW w:w="540" w:type="dxa"/>
          </w:tcPr>
          <w:p w14:paraId="4F779A82">
            <w:pPr>
              <w:spacing w:line="276" w:lineRule="auto"/>
              <w:jc w:val="both"/>
              <w:rPr>
                <w:rFonts w:ascii="Times New Roman" w:hAnsi="Times New Roman" w:cs="Times New Roman"/>
                <w:b/>
                <w:bCs/>
              </w:rPr>
            </w:pPr>
          </w:p>
        </w:tc>
        <w:tc>
          <w:tcPr>
            <w:tcW w:w="540" w:type="dxa"/>
          </w:tcPr>
          <w:p w14:paraId="3A6F3AC7">
            <w:pPr>
              <w:spacing w:line="276" w:lineRule="auto"/>
              <w:jc w:val="both"/>
              <w:rPr>
                <w:rFonts w:ascii="Times New Roman" w:hAnsi="Times New Roman" w:cs="Times New Roman"/>
                <w:b/>
                <w:bCs/>
              </w:rPr>
            </w:pPr>
          </w:p>
        </w:tc>
        <w:tc>
          <w:tcPr>
            <w:tcW w:w="540" w:type="dxa"/>
          </w:tcPr>
          <w:p w14:paraId="582EBE0E">
            <w:pPr>
              <w:spacing w:line="276" w:lineRule="auto"/>
              <w:jc w:val="both"/>
              <w:rPr>
                <w:rFonts w:ascii="Times New Roman" w:hAnsi="Times New Roman" w:cs="Times New Roman"/>
                <w:b/>
                <w:bCs/>
              </w:rPr>
            </w:pPr>
          </w:p>
        </w:tc>
        <w:tc>
          <w:tcPr>
            <w:tcW w:w="450" w:type="dxa"/>
          </w:tcPr>
          <w:p w14:paraId="143E1028">
            <w:pPr>
              <w:spacing w:line="276" w:lineRule="auto"/>
              <w:jc w:val="both"/>
              <w:rPr>
                <w:rFonts w:ascii="Times New Roman" w:hAnsi="Times New Roman" w:cs="Times New Roman"/>
                <w:b/>
                <w:bCs/>
              </w:rPr>
            </w:pPr>
          </w:p>
        </w:tc>
        <w:tc>
          <w:tcPr>
            <w:tcW w:w="540" w:type="dxa"/>
          </w:tcPr>
          <w:p w14:paraId="2BFE85AE">
            <w:pPr>
              <w:spacing w:line="276" w:lineRule="auto"/>
              <w:jc w:val="both"/>
              <w:rPr>
                <w:rFonts w:ascii="Times New Roman" w:hAnsi="Times New Roman" w:cs="Times New Roman"/>
                <w:b/>
                <w:bCs/>
              </w:rPr>
            </w:pPr>
          </w:p>
        </w:tc>
        <w:tc>
          <w:tcPr>
            <w:tcW w:w="630" w:type="dxa"/>
          </w:tcPr>
          <w:p w14:paraId="5E5B320F">
            <w:pPr>
              <w:spacing w:line="276" w:lineRule="auto"/>
              <w:jc w:val="both"/>
              <w:rPr>
                <w:rFonts w:ascii="Times New Roman" w:hAnsi="Times New Roman" w:cs="Times New Roman"/>
                <w:b/>
                <w:bCs/>
              </w:rPr>
            </w:pPr>
            <w:r>
              <w:rPr>
                <w:rFonts w:ascii="Times New Roman" w:hAnsi="Times New Roman" w:cs="Times New Roman"/>
                <w:b/>
                <w:bCs/>
              </w:rPr>
              <w:t>X</w:t>
            </w:r>
          </w:p>
        </w:tc>
        <w:tc>
          <w:tcPr>
            <w:tcW w:w="630" w:type="dxa"/>
          </w:tcPr>
          <w:p w14:paraId="6B9C5F16">
            <w:pPr>
              <w:spacing w:line="276" w:lineRule="auto"/>
              <w:jc w:val="both"/>
              <w:rPr>
                <w:rFonts w:ascii="Times New Roman" w:hAnsi="Times New Roman" w:cs="Times New Roman"/>
                <w:b/>
                <w:bCs/>
              </w:rPr>
            </w:pPr>
          </w:p>
        </w:tc>
      </w:tr>
      <w:tr w14:paraId="518E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0" w:type="dxa"/>
            <w:gridSpan w:val="13"/>
            <w:shd w:val="clear" w:color="auto" w:fill="D8D8D8" w:themeFill="background1" w:themeFillShade="D9"/>
          </w:tcPr>
          <w:p w14:paraId="08918454">
            <w:pPr>
              <w:spacing w:line="276" w:lineRule="auto"/>
              <w:jc w:val="both"/>
              <w:rPr>
                <w:rFonts w:ascii="Times New Roman" w:hAnsi="Times New Roman" w:cs="Times New Roman"/>
                <w:b/>
                <w:bCs/>
              </w:rPr>
            </w:pPr>
          </w:p>
        </w:tc>
      </w:tr>
    </w:tbl>
    <w:p w14:paraId="2E242894">
      <w:pPr>
        <w:pStyle w:val="11"/>
        <w:spacing w:line="276" w:lineRule="auto"/>
        <w:rPr>
          <w:sz w:val="22"/>
          <w:szCs w:val="22"/>
        </w:rPr>
      </w:pPr>
    </w:p>
    <w:sectPr>
      <w:headerReference r:id="rId5" w:type="default"/>
      <w:footerReference r:id="rId6" w:type="default"/>
      <w:pgSz w:w="11906" w:h="16838"/>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5554992"/>
      <w:docPartObj>
        <w:docPartGallery w:val="autotext"/>
      </w:docPartObj>
    </w:sdtPr>
    <w:sdtContent>
      <w:p w14:paraId="21C89945">
        <w:pPr>
          <w:pStyle w:val="9"/>
          <w:jc w:val="center"/>
        </w:pPr>
        <w:r>
          <w:fldChar w:fldCharType="begin"/>
        </w:r>
        <w:r>
          <w:instrText xml:space="preserve"> PAGE   \* MERGEFORMAT </w:instrText>
        </w:r>
        <w:r>
          <w:fldChar w:fldCharType="separate"/>
        </w:r>
        <w:r>
          <w:t>13</w:t>
        </w:r>
        <w:r>
          <w:fldChar w:fldCharType="end"/>
        </w:r>
      </w:p>
    </w:sdtContent>
  </w:sdt>
  <w:p w14:paraId="26D28D3A">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4960E">
    <w:pPr>
      <w:pStyle w:val="10"/>
    </w:pPr>
    <w:r>
      <w:drawing>
        <wp:inline distT="0" distB="0" distL="0" distR="0">
          <wp:extent cx="1238250" cy="561975"/>
          <wp:effectExtent l="0" t="0" r="0" b="9525"/>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254537" cy="569367"/>
                  </a:xfrm>
                  <a:prstGeom prst="rect">
                    <a:avLst/>
                  </a:prstGeom>
                  <a:noFill/>
                  <a:ln>
                    <a:noFill/>
                  </a:ln>
                </pic:spPr>
              </pic:pic>
            </a:graphicData>
          </a:graphic>
        </wp:inline>
      </w:drawing>
    </w:r>
    <w:r>
      <w:tab/>
    </w:r>
    <w:r>
      <w:t xml:space="preserve">                                                                                                                              </w:t>
    </w:r>
    <w:r>
      <w:drawing>
        <wp:inline distT="0" distB="0" distL="0" distR="0">
          <wp:extent cx="1247775" cy="676910"/>
          <wp:effectExtent l="0" t="0" r="0" b="889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397764" cy="758738"/>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B1367"/>
    <w:multiLevelType w:val="multilevel"/>
    <w:tmpl w:val="01BB1367"/>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1">
    <w:nsid w:val="0203617B"/>
    <w:multiLevelType w:val="multilevel"/>
    <w:tmpl w:val="0203617B"/>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2">
    <w:nsid w:val="0D534CA0"/>
    <w:multiLevelType w:val="multilevel"/>
    <w:tmpl w:val="0D534CA0"/>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ED41882"/>
    <w:multiLevelType w:val="multilevel"/>
    <w:tmpl w:val="0ED41882"/>
    <w:lvl w:ilvl="0" w:tentative="0">
      <w:start w:val="6"/>
      <w:numFmt w:val="bullet"/>
      <w:lvlText w:val="-"/>
      <w:lvlJc w:val="left"/>
      <w:pPr>
        <w:ind w:left="1636" w:hanging="360"/>
      </w:pPr>
      <w:rPr>
        <w:rFonts w:hint="default" w:ascii="Times New Roman" w:hAnsi="Times New Roman" w:eastAsia="Times New Roman" w:cs="Times New Roman"/>
      </w:rPr>
    </w:lvl>
    <w:lvl w:ilvl="1" w:tentative="0">
      <w:start w:val="1"/>
      <w:numFmt w:val="bullet"/>
      <w:lvlText w:val="o"/>
      <w:lvlJc w:val="left"/>
      <w:pPr>
        <w:ind w:left="2356" w:hanging="360"/>
      </w:pPr>
      <w:rPr>
        <w:rFonts w:hint="default" w:ascii="Courier New" w:hAnsi="Courier New" w:cs="Courier New"/>
      </w:rPr>
    </w:lvl>
    <w:lvl w:ilvl="2" w:tentative="0">
      <w:start w:val="1"/>
      <w:numFmt w:val="bullet"/>
      <w:lvlText w:val=""/>
      <w:lvlJc w:val="left"/>
      <w:pPr>
        <w:ind w:left="3076" w:hanging="360"/>
      </w:pPr>
      <w:rPr>
        <w:rFonts w:hint="default" w:ascii="Wingdings" w:hAnsi="Wingdings"/>
      </w:rPr>
    </w:lvl>
    <w:lvl w:ilvl="3" w:tentative="0">
      <w:start w:val="1"/>
      <w:numFmt w:val="bullet"/>
      <w:lvlText w:val=""/>
      <w:lvlJc w:val="left"/>
      <w:pPr>
        <w:ind w:left="3796" w:hanging="360"/>
      </w:pPr>
      <w:rPr>
        <w:rFonts w:hint="default" w:ascii="Symbol" w:hAnsi="Symbol"/>
      </w:rPr>
    </w:lvl>
    <w:lvl w:ilvl="4" w:tentative="0">
      <w:start w:val="1"/>
      <w:numFmt w:val="bullet"/>
      <w:lvlText w:val="o"/>
      <w:lvlJc w:val="left"/>
      <w:pPr>
        <w:ind w:left="4516" w:hanging="360"/>
      </w:pPr>
      <w:rPr>
        <w:rFonts w:hint="default" w:ascii="Courier New" w:hAnsi="Courier New" w:cs="Courier New"/>
      </w:rPr>
    </w:lvl>
    <w:lvl w:ilvl="5" w:tentative="0">
      <w:start w:val="1"/>
      <w:numFmt w:val="bullet"/>
      <w:lvlText w:val=""/>
      <w:lvlJc w:val="left"/>
      <w:pPr>
        <w:ind w:left="5236" w:hanging="360"/>
      </w:pPr>
      <w:rPr>
        <w:rFonts w:hint="default" w:ascii="Wingdings" w:hAnsi="Wingdings"/>
      </w:rPr>
    </w:lvl>
    <w:lvl w:ilvl="6" w:tentative="0">
      <w:start w:val="1"/>
      <w:numFmt w:val="bullet"/>
      <w:lvlText w:val=""/>
      <w:lvlJc w:val="left"/>
      <w:pPr>
        <w:ind w:left="5956" w:hanging="360"/>
      </w:pPr>
      <w:rPr>
        <w:rFonts w:hint="default" w:ascii="Symbol" w:hAnsi="Symbol"/>
      </w:rPr>
    </w:lvl>
    <w:lvl w:ilvl="7" w:tentative="0">
      <w:start w:val="1"/>
      <w:numFmt w:val="bullet"/>
      <w:lvlText w:val="o"/>
      <w:lvlJc w:val="left"/>
      <w:pPr>
        <w:ind w:left="6676" w:hanging="360"/>
      </w:pPr>
      <w:rPr>
        <w:rFonts w:hint="default" w:ascii="Courier New" w:hAnsi="Courier New" w:cs="Courier New"/>
      </w:rPr>
    </w:lvl>
    <w:lvl w:ilvl="8" w:tentative="0">
      <w:start w:val="1"/>
      <w:numFmt w:val="bullet"/>
      <w:lvlText w:val=""/>
      <w:lvlJc w:val="left"/>
      <w:pPr>
        <w:ind w:left="7396" w:hanging="360"/>
      </w:pPr>
      <w:rPr>
        <w:rFonts w:hint="default" w:ascii="Wingdings" w:hAnsi="Wingdings"/>
      </w:rPr>
    </w:lvl>
  </w:abstractNum>
  <w:abstractNum w:abstractNumId="4">
    <w:nsid w:val="16196A6A"/>
    <w:multiLevelType w:val="multilevel"/>
    <w:tmpl w:val="16196A6A"/>
    <w:lvl w:ilvl="0" w:tentative="0">
      <w:start w:val="1"/>
      <w:numFmt w:val="bullet"/>
      <w:lvlText w:val="o"/>
      <w:lvlJc w:val="left"/>
      <w:pPr>
        <w:ind w:left="900" w:hanging="360"/>
      </w:pPr>
      <w:rPr>
        <w:rFonts w:hint="default" w:ascii="Courier New" w:hAnsi="Courier New" w:cs="Courier New"/>
      </w:rPr>
    </w:lvl>
    <w:lvl w:ilvl="1" w:tentative="0">
      <w:start w:val="1"/>
      <w:numFmt w:val="bullet"/>
      <w:lvlText w:val="o"/>
      <w:lvlJc w:val="left"/>
      <w:pPr>
        <w:ind w:left="3046" w:hanging="360"/>
      </w:pPr>
      <w:rPr>
        <w:rFonts w:hint="default" w:ascii="Courier New" w:hAnsi="Courier New" w:cs="Courier New"/>
      </w:rPr>
    </w:lvl>
    <w:lvl w:ilvl="2" w:tentative="0">
      <w:start w:val="1"/>
      <w:numFmt w:val="bullet"/>
      <w:lvlText w:val=""/>
      <w:lvlJc w:val="left"/>
      <w:pPr>
        <w:ind w:left="3766" w:hanging="360"/>
      </w:pPr>
      <w:rPr>
        <w:rFonts w:hint="default" w:ascii="Wingdings" w:hAnsi="Wingdings"/>
      </w:rPr>
    </w:lvl>
    <w:lvl w:ilvl="3" w:tentative="0">
      <w:start w:val="1"/>
      <w:numFmt w:val="bullet"/>
      <w:lvlText w:val=""/>
      <w:lvlJc w:val="left"/>
      <w:pPr>
        <w:ind w:left="4486" w:hanging="360"/>
      </w:pPr>
      <w:rPr>
        <w:rFonts w:hint="default" w:ascii="Symbol" w:hAnsi="Symbol"/>
      </w:rPr>
    </w:lvl>
    <w:lvl w:ilvl="4" w:tentative="0">
      <w:start w:val="1"/>
      <w:numFmt w:val="bullet"/>
      <w:lvlText w:val="o"/>
      <w:lvlJc w:val="left"/>
      <w:pPr>
        <w:ind w:left="5206" w:hanging="360"/>
      </w:pPr>
      <w:rPr>
        <w:rFonts w:hint="default" w:ascii="Courier New" w:hAnsi="Courier New" w:cs="Courier New"/>
      </w:rPr>
    </w:lvl>
    <w:lvl w:ilvl="5" w:tentative="0">
      <w:start w:val="1"/>
      <w:numFmt w:val="bullet"/>
      <w:lvlText w:val=""/>
      <w:lvlJc w:val="left"/>
      <w:pPr>
        <w:ind w:left="5926" w:hanging="360"/>
      </w:pPr>
      <w:rPr>
        <w:rFonts w:hint="default" w:ascii="Wingdings" w:hAnsi="Wingdings"/>
      </w:rPr>
    </w:lvl>
    <w:lvl w:ilvl="6" w:tentative="0">
      <w:start w:val="1"/>
      <w:numFmt w:val="bullet"/>
      <w:lvlText w:val=""/>
      <w:lvlJc w:val="left"/>
      <w:pPr>
        <w:ind w:left="6646" w:hanging="360"/>
      </w:pPr>
      <w:rPr>
        <w:rFonts w:hint="default" w:ascii="Symbol" w:hAnsi="Symbol"/>
      </w:rPr>
    </w:lvl>
    <w:lvl w:ilvl="7" w:tentative="0">
      <w:start w:val="1"/>
      <w:numFmt w:val="bullet"/>
      <w:lvlText w:val="o"/>
      <w:lvlJc w:val="left"/>
      <w:pPr>
        <w:ind w:left="7366" w:hanging="360"/>
      </w:pPr>
      <w:rPr>
        <w:rFonts w:hint="default" w:ascii="Courier New" w:hAnsi="Courier New" w:cs="Courier New"/>
      </w:rPr>
    </w:lvl>
    <w:lvl w:ilvl="8" w:tentative="0">
      <w:start w:val="1"/>
      <w:numFmt w:val="bullet"/>
      <w:lvlText w:val=""/>
      <w:lvlJc w:val="left"/>
      <w:pPr>
        <w:ind w:left="8086" w:hanging="360"/>
      </w:pPr>
      <w:rPr>
        <w:rFonts w:hint="default" w:ascii="Wingdings" w:hAnsi="Wingdings"/>
      </w:rPr>
    </w:lvl>
  </w:abstractNum>
  <w:abstractNum w:abstractNumId="5">
    <w:nsid w:val="21672C60"/>
    <w:multiLevelType w:val="multilevel"/>
    <w:tmpl w:val="21672C60"/>
    <w:lvl w:ilvl="0" w:tentative="0">
      <w:start w:val="1"/>
      <w:numFmt w:val="bullet"/>
      <w:lvlText w:val="o"/>
      <w:lvlJc w:val="left"/>
      <w:pPr>
        <w:ind w:left="1440" w:hanging="360"/>
      </w:pPr>
      <w:rPr>
        <w:rFonts w:hint="default" w:ascii="Courier New" w:hAnsi="Courier New" w:cs="Courier New"/>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6">
    <w:nsid w:val="27D019FF"/>
    <w:multiLevelType w:val="multilevel"/>
    <w:tmpl w:val="27D019FF"/>
    <w:lvl w:ilvl="0" w:tentative="0">
      <w:start w:val="1"/>
      <w:numFmt w:val="bullet"/>
      <w:lvlText w:val=""/>
      <w:lvlJc w:val="left"/>
      <w:pPr>
        <w:ind w:left="780" w:hanging="360"/>
      </w:pPr>
      <w:rPr>
        <w:rFonts w:hint="default" w:ascii="Wingdings" w:hAnsi="Wingdings"/>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7">
    <w:nsid w:val="28BF5EE9"/>
    <w:multiLevelType w:val="multilevel"/>
    <w:tmpl w:val="28BF5EE9"/>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8">
    <w:nsid w:val="291000CA"/>
    <w:multiLevelType w:val="multilevel"/>
    <w:tmpl w:val="291000CA"/>
    <w:lvl w:ilvl="0" w:tentative="0">
      <w:start w:val="6"/>
      <w:numFmt w:val="bullet"/>
      <w:lvlText w:val="-"/>
      <w:lvlJc w:val="left"/>
      <w:pPr>
        <w:ind w:left="162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9">
    <w:nsid w:val="2D8B7A5F"/>
    <w:multiLevelType w:val="multilevel"/>
    <w:tmpl w:val="2D8B7A5F"/>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10">
    <w:nsid w:val="34B260C1"/>
    <w:multiLevelType w:val="multilevel"/>
    <w:tmpl w:val="34B260C1"/>
    <w:lvl w:ilvl="0" w:tentative="0">
      <w:start w:val="1"/>
      <w:numFmt w:val="decimal"/>
      <w:lvlText w:val="%1."/>
      <w:lvlJc w:val="left"/>
      <w:pPr>
        <w:ind w:left="720" w:hanging="360"/>
      </w:pPr>
      <w:rPr>
        <w:rFonts w:hint="default"/>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70710A4"/>
    <w:multiLevelType w:val="multilevel"/>
    <w:tmpl w:val="470710A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4D0A303B"/>
    <w:multiLevelType w:val="multilevel"/>
    <w:tmpl w:val="4D0A303B"/>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29562CB"/>
    <w:multiLevelType w:val="multilevel"/>
    <w:tmpl w:val="529562CB"/>
    <w:lvl w:ilvl="0" w:tentative="0">
      <w:start w:val="1"/>
      <w:numFmt w:val="bullet"/>
      <w:lvlText w:val="o"/>
      <w:lvlJc w:val="left"/>
      <w:pPr>
        <w:ind w:left="990" w:hanging="360"/>
      </w:pPr>
      <w:rPr>
        <w:rFonts w:hint="default" w:ascii="Courier New" w:hAnsi="Courier New" w:cs="Courier New"/>
      </w:rPr>
    </w:lvl>
    <w:lvl w:ilvl="1" w:tentative="0">
      <w:start w:val="1"/>
      <w:numFmt w:val="bullet"/>
      <w:lvlText w:val="o"/>
      <w:lvlJc w:val="left"/>
      <w:pPr>
        <w:ind w:left="1710" w:hanging="360"/>
      </w:pPr>
      <w:rPr>
        <w:rFonts w:hint="default" w:ascii="Courier New" w:hAnsi="Courier New" w:cs="Courier New"/>
      </w:rPr>
    </w:lvl>
    <w:lvl w:ilvl="2" w:tentative="0">
      <w:start w:val="1"/>
      <w:numFmt w:val="bullet"/>
      <w:lvlText w:val=""/>
      <w:lvlJc w:val="left"/>
      <w:pPr>
        <w:ind w:left="2430" w:hanging="360"/>
      </w:pPr>
      <w:rPr>
        <w:rFonts w:hint="default" w:ascii="Wingdings" w:hAnsi="Wingdings"/>
      </w:rPr>
    </w:lvl>
    <w:lvl w:ilvl="3" w:tentative="0">
      <w:start w:val="1"/>
      <w:numFmt w:val="bullet"/>
      <w:lvlText w:val=""/>
      <w:lvlJc w:val="left"/>
      <w:pPr>
        <w:ind w:left="3150" w:hanging="360"/>
      </w:pPr>
      <w:rPr>
        <w:rFonts w:hint="default" w:ascii="Symbol" w:hAnsi="Symbol"/>
      </w:rPr>
    </w:lvl>
    <w:lvl w:ilvl="4" w:tentative="0">
      <w:start w:val="1"/>
      <w:numFmt w:val="bullet"/>
      <w:lvlText w:val="o"/>
      <w:lvlJc w:val="left"/>
      <w:pPr>
        <w:ind w:left="3870" w:hanging="360"/>
      </w:pPr>
      <w:rPr>
        <w:rFonts w:hint="default" w:ascii="Courier New" w:hAnsi="Courier New" w:cs="Courier New"/>
      </w:rPr>
    </w:lvl>
    <w:lvl w:ilvl="5" w:tentative="0">
      <w:start w:val="1"/>
      <w:numFmt w:val="bullet"/>
      <w:lvlText w:val=""/>
      <w:lvlJc w:val="left"/>
      <w:pPr>
        <w:ind w:left="4590" w:hanging="360"/>
      </w:pPr>
      <w:rPr>
        <w:rFonts w:hint="default" w:ascii="Wingdings" w:hAnsi="Wingdings"/>
      </w:rPr>
    </w:lvl>
    <w:lvl w:ilvl="6" w:tentative="0">
      <w:start w:val="1"/>
      <w:numFmt w:val="bullet"/>
      <w:lvlText w:val=""/>
      <w:lvlJc w:val="left"/>
      <w:pPr>
        <w:ind w:left="5310" w:hanging="360"/>
      </w:pPr>
      <w:rPr>
        <w:rFonts w:hint="default" w:ascii="Symbol" w:hAnsi="Symbol"/>
      </w:rPr>
    </w:lvl>
    <w:lvl w:ilvl="7" w:tentative="0">
      <w:start w:val="1"/>
      <w:numFmt w:val="bullet"/>
      <w:lvlText w:val="o"/>
      <w:lvlJc w:val="left"/>
      <w:pPr>
        <w:ind w:left="6030" w:hanging="360"/>
      </w:pPr>
      <w:rPr>
        <w:rFonts w:hint="default" w:ascii="Courier New" w:hAnsi="Courier New" w:cs="Courier New"/>
      </w:rPr>
    </w:lvl>
    <w:lvl w:ilvl="8" w:tentative="0">
      <w:start w:val="1"/>
      <w:numFmt w:val="bullet"/>
      <w:lvlText w:val=""/>
      <w:lvlJc w:val="left"/>
      <w:pPr>
        <w:ind w:left="6750" w:hanging="360"/>
      </w:pPr>
      <w:rPr>
        <w:rFonts w:hint="default" w:ascii="Wingdings" w:hAnsi="Wingdings"/>
      </w:rPr>
    </w:lvl>
  </w:abstractNum>
  <w:abstractNum w:abstractNumId="14">
    <w:nsid w:val="5702326A"/>
    <w:multiLevelType w:val="multilevel"/>
    <w:tmpl w:val="5702326A"/>
    <w:lvl w:ilvl="0" w:tentative="0">
      <w:start w:val="1"/>
      <w:numFmt w:val="bullet"/>
      <w:lvlText w:val=""/>
      <w:lvlJc w:val="left"/>
      <w:pPr>
        <w:ind w:left="900" w:hanging="360"/>
      </w:pPr>
      <w:rPr>
        <w:rFonts w:hint="default" w:ascii="Wingdings" w:hAnsi="Wingdings"/>
      </w:rPr>
    </w:lvl>
    <w:lvl w:ilvl="1" w:tentative="0">
      <w:start w:val="1"/>
      <w:numFmt w:val="bullet"/>
      <w:lvlText w:val="o"/>
      <w:lvlJc w:val="left"/>
      <w:pPr>
        <w:ind w:left="1620" w:hanging="360"/>
      </w:pPr>
      <w:rPr>
        <w:rFonts w:hint="default" w:ascii="Courier New" w:hAnsi="Courier New" w:cs="Courier New"/>
      </w:rPr>
    </w:lvl>
    <w:lvl w:ilvl="2" w:tentative="0">
      <w:start w:val="1"/>
      <w:numFmt w:val="bullet"/>
      <w:lvlText w:val=""/>
      <w:lvlJc w:val="left"/>
      <w:pPr>
        <w:ind w:left="2340" w:hanging="360"/>
      </w:pPr>
      <w:rPr>
        <w:rFonts w:hint="default" w:ascii="Wingdings" w:hAnsi="Wingdings"/>
      </w:rPr>
    </w:lvl>
    <w:lvl w:ilvl="3" w:tentative="0">
      <w:start w:val="1"/>
      <w:numFmt w:val="bullet"/>
      <w:lvlText w:val=""/>
      <w:lvlJc w:val="left"/>
      <w:pPr>
        <w:ind w:left="3060" w:hanging="360"/>
      </w:pPr>
      <w:rPr>
        <w:rFonts w:hint="default" w:ascii="Symbol" w:hAnsi="Symbol"/>
      </w:rPr>
    </w:lvl>
    <w:lvl w:ilvl="4" w:tentative="0">
      <w:start w:val="1"/>
      <w:numFmt w:val="bullet"/>
      <w:lvlText w:val="o"/>
      <w:lvlJc w:val="left"/>
      <w:pPr>
        <w:ind w:left="3780" w:hanging="360"/>
      </w:pPr>
      <w:rPr>
        <w:rFonts w:hint="default" w:ascii="Courier New" w:hAnsi="Courier New" w:cs="Courier New"/>
      </w:rPr>
    </w:lvl>
    <w:lvl w:ilvl="5" w:tentative="0">
      <w:start w:val="1"/>
      <w:numFmt w:val="bullet"/>
      <w:lvlText w:val=""/>
      <w:lvlJc w:val="left"/>
      <w:pPr>
        <w:ind w:left="4500" w:hanging="360"/>
      </w:pPr>
      <w:rPr>
        <w:rFonts w:hint="default" w:ascii="Wingdings" w:hAnsi="Wingdings"/>
      </w:rPr>
    </w:lvl>
    <w:lvl w:ilvl="6" w:tentative="0">
      <w:start w:val="1"/>
      <w:numFmt w:val="bullet"/>
      <w:lvlText w:val=""/>
      <w:lvlJc w:val="left"/>
      <w:pPr>
        <w:ind w:left="5220" w:hanging="360"/>
      </w:pPr>
      <w:rPr>
        <w:rFonts w:hint="default" w:ascii="Symbol" w:hAnsi="Symbol"/>
      </w:rPr>
    </w:lvl>
    <w:lvl w:ilvl="7" w:tentative="0">
      <w:start w:val="1"/>
      <w:numFmt w:val="bullet"/>
      <w:lvlText w:val="o"/>
      <w:lvlJc w:val="left"/>
      <w:pPr>
        <w:ind w:left="5940" w:hanging="360"/>
      </w:pPr>
      <w:rPr>
        <w:rFonts w:hint="default" w:ascii="Courier New" w:hAnsi="Courier New" w:cs="Courier New"/>
      </w:rPr>
    </w:lvl>
    <w:lvl w:ilvl="8" w:tentative="0">
      <w:start w:val="1"/>
      <w:numFmt w:val="bullet"/>
      <w:lvlText w:val=""/>
      <w:lvlJc w:val="left"/>
      <w:pPr>
        <w:ind w:left="6660" w:hanging="360"/>
      </w:pPr>
      <w:rPr>
        <w:rFonts w:hint="default" w:ascii="Wingdings" w:hAnsi="Wingdings"/>
      </w:rPr>
    </w:lvl>
  </w:abstractNum>
  <w:abstractNum w:abstractNumId="15">
    <w:nsid w:val="64FA0AEF"/>
    <w:multiLevelType w:val="multilevel"/>
    <w:tmpl w:val="64FA0AEF"/>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16">
    <w:nsid w:val="67CB1D22"/>
    <w:multiLevelType w:val="multilevel"/>
    <w:tmpl w:val="67CB1D22"/>
    <w:lvl w:ilvl="0" w:tentative="0">
      <w:start w:val="5"/>
      <w:numFmt w:val="decimal"/>
      <w:lvlText w:val="%1.0"/>
      <w:lvlJc w:val="left"/>
      <w:pPr>
        <w:ind w:left="360" w:hanging="360"/>
      </w:pPr>
      <w:rPr>
        <w:rFonts w:hint="default"/>
      </w:rPr>
    </w:lvl>
    <w:lvl w:ilvl="1" w:tentative="0">
      <w:start w:val="1"/>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17">
    <w:nsid w:val="682B09C5"/>
    <w:multiLevelType w:val="multilevel"/>
    <w:tmpl w:val="682B09C5"/>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18">
    <w:nsid w:val="78A24256"/>
    <w:multiLevelType w:val="multilevel"/>
    <w:tmpl w:val="78A24256"/>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19">
    <w:nsid w:val="7AE74ADB"/>
    <w:multiLevelType w:val="multilevel"/>
    <w:tmpl w:val="7AE74ADB"/>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20">
    <w:nsid w:val="7BED0E77"/>
    <w:multiLevelType w:val="multilevel"/>
    <w:tmpl w:val="7BED0E77"/>
    <w:lvl w:ilvl="0" w:tentative="0">
      <w:start w:val="1"/>
      <w:numFmt w:val="bullet"/>
      <w:lvlText w:val="o"/>
      <w:lvlJc w:val="left"/>
      <w:pPr>
        <w:ind w:left="1500" w:hanging="360"/>
      </w:pPr>
      <w:rPr>
        <w:rFonts w:hint="default" w:ascii="Courier New" w:hAnsi="Courier New" w:cs="Courier New"/>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21">
    <w:nsid w:val="7F506407"/>
    <w:multiLevelType w:val="multilevel"/>
    <w:tmpl w:val="7F50640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4"/>
  </w:num>
  <w:num w:numId="2">
    <w:abstractNumId w:val="11"/>
  </w:num>
  <w:num w:numId="3">
    <w:abstractNumId w:val="2"/>
  </w:num>
  <w:num w:numId="4">
    <w:abstractNumId w:val="8"/>
  </w:num>
  <w:num w:numId="5">
    <w:abstractNumId w:val="16"/>
  </w:num>
  <w:num w:numId="6">
    <w:abstractNumId w:val="12"/>
  </w:num>
  <w:num w:numId="7">
    <w:abstractNumId w:val="5"/>
  </w:num>
  <w:num w:numId="8">
    <w:abstractNumId w:val="6"/>
  </w:num>
  <w:num w:numId="9">
    <w:abstractNumId w:val="9"/>
  </w:num>
  <w:num w:numId="10">
    <w:abstractNumId w:val="15"/>
  </w:num>
  <w:num w:numId="11">
    <w:abstractNumId w:val="18"/>
  </w:num>
  <w:num w:numId="12">
    <w:abstractNumId w:val="7"/>
  </w:num>
  <w:num w:numId="13">
    <w:abstractNumId w:val="19"/>
  </w:num>
  <w:num w:numId="14">
    <w:abstractNumId w:val="20"/>
  </w:num>
  <w:num w:numId="15">
    <w:abstractNumId w:val="1"/>
  </w:num>
  <w:num w:numId="16">
    <w:abstractNumId w:val="0"/>
  </w:num>
  <w:num w:numId="17">
    <w:abstractNumId w:val="17"/>
  </w:num>
  <w:num w:numId="18">
    <w:abstractNumId w:val="21"/>
  </w:num>
  <w:num w:numId="19">
    <w:abstractNumId w:val="3"/>
  </w:num>
  <w:num w:numId="20">
    <w:abstractNumId w:val="4"/>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1F"/>
    <w:rsid w:val="00021CF8"/>
    <w:rsid w:val="00022CA7"/>
    <w:rsid w:val="00042A43"/>
    <w:rsid w:val="00053083"/>
    <w:rsid w:val="0005491F"/>
    <w:rsid w:val="000566CE"/>
    <w:rsid w:val="0006483E"/>
    <w:rsid w:val="00064D08"/>
    <w:rsid w:val="000654C3"/>
    <w:rsid w:val="00066BB6"/>
    <w:rsid w:val="000749D4"/>
    <w:rsid w:val="0008474E"/>
    <w:rsid w:val="00086889"/>
    <w:rsid w:val="00090EB5"/>
    <w:rsid w:val="00090FC4"/>
    <w:rsid w:val="0009207E"/>
    <w:rsid w:val="00095A1C"/>
    <w:rsid w:val="00097A0C"/>
    <w:rsid w:val="000A0CD3"/>
    <w:rsid w:val="000A1F77"/>
    <w:rsid w:val="000A7589"/>
    <w:rsid w:val="000B0BC4"/>
    <w:rsid w:val="000B0D9F"/>
    <w:rsid w:val="000D1402"/>
    <w:rsid w:val="000D4464"/>
    <w:rsid w:val="000E70A0"/>
    <w:rsid w:val="000F0D7E"/>
    <w:rsid w:val="000F2AE1"/>
    <w:rsid w:val="000F4DFD"/>
    <w:rsid w:val="000F5051"/>
    <w:rsid w:val="001011B9"/>
    <w:rsid w:val="001017E6"/>
    <w:rsid w:val="00107046"/>
    <w:rsid w:val="0011091E"/>
    <w:rsid w:val="0011121E"/>
    <w:rsid w:val="00124CAF"/>
    <w:rsid w:val="00126871"/>
    <w:rsid w:val="00126FB5"/>
    <w:rsid w:val="00140F9D"/>
    <w:rsid w:val="00141E98"/>
    <w:rsid w:val="001437E8"/>
    <w:rsid w:val="00144A75"/>
    <w:rsid w:val="00144DA1"/>
    <w:rsid w:val="00147FCD"/>
    <w:rsid w:val="00150E07"/>
    <w:rsid w:val="00150EE5"/>
    <w:rsid w:val="001532C7"/>
    <w:rsid w:val="0015405B"/>
    <w:rsid w:val="001706EF"/>
    <w:rsid w:val="0017348D"/>
    <w:rsid w:val="0017432E"/>
    <w:rsid w:val="00174802"/>
    <w:rsid w:val="00177EB6"/>
    <w:rsid w:val="0019002B"/>
    <w:rsid w:val="00194548"/>
    <w:rsid w:val="00194C61"/>
    <w:rsid w:val="001A6746"/>
    <w:rsid w:val="001A72D2"/>
    <w:rsid w:val="001B26F8"/>
    <w:rsid w:val="001C5EC2"/>
    <w:rsid w:val="001C6AAF"/>
    <w:rsid w:val="001D3CB3"/>
    <w:rsid w:val="001E1E92"/>
    <w:rsid w:val="001E5775"/>
    <w:rsid w:val="001F07B3"/>
    <w:rsid w:val="001F4CA9"/>
    <w:rsid w:val="001F6953"/>
    <w:rsid w:val="0020751F"/>
    <w:rsid w:val="002153D3"/>
    <w:rsid w:val="00231E11"/>
    <w:rsid w:val="00246CE5"/>
    <w:rsid w:val="00251F12"/>
    <w:rsid w:val="002549A1"/>
    <w:rsid w:val="00260C5F"/>
    <w:rsid w:val="00271202"/>
    <w:rsid w:val="002734D3"/>
    <w:rsid w:val="002811AD"/>
    <w:rsid w:val="00285176"/>
    <w:rsid w:val="00297255"/>
    <w:rsid w:val="002B0C72"/>
    <w:rsid w:val="002B4BB0"/>
    <w:rsid w:val="002B7FB9"/>
    <w:rsid w:val="002C019E"/>
    <w:rsid w:val="002C3DA7"/>
    <w:rsid w:val="002C4F0A"/>
    <w:rsid w:val="002D79CD"/>
    <w:rsid w:val="002E3C27"/>
    <w:rsid w:val="002E492E"/>
    <w:rsid w:val="002F267C"/>
    <w:rsid w:val="002F32DB"/>
    <w:rsid w:val="002F55C4"/>
    <w:rsid w:val="002F6B68"/>
    <w:rsid w:val="003046A2"/>
    <w:rsid w:val="00305AFD"/>
    <w:rsid w:val="003221ED"/>
    <w:rsid w:val="00337853"/>
    <w:rsid w:val="00344514"/>
    <w:rsid w:val="00351763"/>
    <w:rsid w:val="00353B60"/>
    <w:rsid w:val="00367505"/>
    <w:rsid w:val="00384483"/>
    <w:rsid w:val="003A0386"/>
    <w:rsid w:val="003A1CFA"/>
    <w:rsid w:val="003A4000"/>
    <w:rsid w:val="003A62D0"/>
    <w:rsid w:val="003C3851"/>
    <w:rsid w:val="003C6EBD"/>
    <w:rsid w:val="003D1407"/>
    <w:rsid w:val="003E204F"/>
    <w:rsid w:val="003F22A5"/>
    <w:rsid w:val="00406873"/>
    <w:rsid w:val="0040692E"/>
    <w:rsid w:val="00415CEA"/>
    <w:rsid w:val="0041683F"/>
    <w:rsid w:val="0042591D"/>
    <w:rsid w:val="0044235D"/>
    <w:rsid w:val="004450A3"/>
    <w:rsid w:val="00447954"/>
    <w:rsid w:val="004522D1"/>
    <w:rsid w:val="00455DC5"/>
    <w:rsid w:val="00465669"/>
    <w:rsid w:val="00465A7D"/>
    <w:rsid w:val="00467ADE"/>
    <w:rsid w:val="00467F7E"/>
    <w:rsid w:val="004713EC"/>
    <w:rsid w:val="00476907"/>
    <w:rsid w:val="00484063"/>
    <w:rsid w:val="00493182"/>
    <w:rsid w:val="0049632C"/>
    <w:rsid w:val="004963A1"/>
    <w:rsid w:val="004B07DB"/>
    <w:rsid w:val="004B1A33"/>
    <w:rsid w:val="004B3713"/>
    <w:rsid w:val="004B6094"/>
    <w:rsid w:val="004E0406"/>
    <w:rsid w:val="004E0E2E"/>
    <w:rsid w:val="004E2EE9"/>
    <w:rsid w:val="004E4AB1"/>
    <w:rsid w:val="004F2589"/>
    <w:rsid w:val="00501175"/>
    <w:rsid w:val="0050232B"/>
    <w:rsid w:val="00507389"/>
    <w:rsid w:val="005131F2"/>
    <w:rsid w:val="005215F8"/>
    <w:rsid w:val="00523594"/>
    <w:rsid w:val="005264BC"/>
    <w:rsid w:val="00530643"/>
    <w:rsid w:val="00531D39"/>
    <w:rsid w:val="0054453F"/>
    <w:rsid w:val="00546A97"/>
    <w:rsid w:val="0055133A"/>
    <w:rsid w:val="00551BA1"/>
    <w:rsid w:val="0055423E"/>
    <w:rsid w:val="00554B49"/>
    <w:rsid w:val="00566F30"/>
    <w:rsid w:val="0057140E"/>
    <w:rsid w:val="00571EF8"/>
    <w:rsid w:val="00575CED"/>
    <w:rsid w:val="0058061F"/>
    <w:rsid w:val="00584647"/>
    <w:rsid w:val="00584C3F"/>
    <w:rsid w:val="00585C34"/>
    <w:rsid w:val="00585FC4"/>
    <w:rsid w:val="00591E27"/>
    <w:rsid w:val="005931ED"/>
    <w:rsid w:val="005934DB"/>
    <w:rsid w:val="00593AFD"/>
    <w:rsid w:val="005942C1"/>
    <w:rsid w:val="0059606C"/>
    <w:rsid w:val="00596893"/>
    <w:rsid w:val="005A6768"/>
    <w:rsid w:val="005C73C5"/>
    <w:rsid w:val="005E0E83"/>
    <w:rsid w:val="005F40CA"/>
    <w:rsid w:val="005F6C86"/>
    <w:rsid w:val="005F7E18"/>
    <w:rsid w:val="0060011F"/>
    <w:rsid w:val="00607D07"/>
    <w:rsid w:val="006117B4"/>
    <w:rsid w:val="00611C0E"/>
    <w:rsid w:val="00613B99"/>
    <w:rsid w:val="00622047"/>
    <w:rsid w:val="00623192"/>
    <w:rsid w:val="0062333E"/>
    <w:rsid w:val="00624DD6"/>
    <w:rsid w:val="0062597C"/>
    <w:rsid w:val="00636033"/>
    <w:rsid w:val="006368EC"/>
    <w:rsid w:val="00642D13"/>
    <w:rsid w:val="0064503E"/>
    <w:rsid w:val="00646C9F"/>
    <w:rsid w:val="006511B8"/>
    <w:rsid w:val="00661D2C"/>
    <w:rsid w:val="006663D7"/>
    <w:rsid w:val="006667F6"/>
    <w:rsid w:val="006720D1"/>
    <w:rsid w:val="00682034"/>
    <w:rsid w:val="006829D6"/>
    <w:rsid w:val="00687D36"/>
    <w:rsid w:val="0069779E"/>
    <w:rsid w:val="006979B5"/>
    <w:rsid w:val="006A37D3"/>
    <w:rsid w:val="006B277B"/>
    <w:rsid w:val="006B467A"/>
    <w:rsid w:val="006B6F67"/>
    <w:rsid w:val="006B7711"/>
    <w:rsid w:val="006D6E01"/>
    <w:rsid w:val="006E19FE"/>
    <w:rsid w:val="006E2A59"/>
    <w:rsid w:val="006E4022"/>
    <w:rsid w:val="006F3A9C"/>
    <w:rsid w:val="006F7DA9"/>
    <w:rsid w:val="007003EB"/>
    <w:rsid w:val="00702AC7"/>
    <w:rsid w:val="00713C0A"/>
    <w:rsid w:val="00721C91"/>
    <w:rsid w:val="00722AB8"/>
    <w:rsid w:val="00725F59"/>
    <w:rsid w:val="00730FC4"/>
    <w:rsid w:val="00734365"/>
    <w:rsid w:val="00765EC6"/>
    <w:rsid w:val="007737BD"/>
    <w:rsid w:val="00776940"/>
    <w:rsid w:val="007777CB"/>
    <w:rsid w:val="00780233"/>
    <w:rsid w:val="007803CD"/>
    <w:rsid w:val="00785227"/>
    <w:rsid w:val="0078597C"/>
    <w:rsid w:val="0079071F"/>
    <w:rsid w:val="00796C7A"/>
    <w:rsid w:val="007A31DA"/>
    <w:rsid w:val="007B5141"/>
    <w:rsid w:val="007B74F7"/>
    <w:rsid w:val="007C1868"/>
    <w:rsid w:val="007D5133"/>
    <w:rsid w:val="0080238E"/>
    <w:rsid w:val="00804752"/>
    <w:rsid w:val="0080757F"/>
    <w:rsid w:val="00812F57"/>
    <w:rsid w:val="00815C13"/>
    <w:rsid w:val="0081647A"/>
    <w:rsid w:val="00816C27"/>
    <w:rsid w:val="00817022"/>
    <w:rsid w:val="008217FF"/>
    <w:rsid w:val="00834DB6"/>
    <w:rsid w:val="008678CA"/>
    <w:rsid w:val="008763DF"/>
    <w:rsid w:val="00884102"/>
    <w:rsid w:val="008A10F0"/>
    <w:rsid w:val="008A2720"/>
    <w:rsid w:val="008A6F0A"/>
    <w:rsid w:val="008A71E7"/>
    <w:rsid w:val="008A76B8"/>
    <w:rsid w:val="008B36C8"/>
    <w:rsid w:val="008B3ED8"/>
    <w:rsid w:val="008C5BA2"/>
    <w:rsid w:val="008D2907"/>
    <w:rsid w:val="008D3EAC"/>
    <w:rsid w:val="008E18C7"/>
    <w:rsid w:val="008E19B1"/>
    <w:rsid w:val="008E7876"/>
    <w:rsid w:val="008F1EB0"/>
    <w:rsid w:val="008F6689"/>
    <w:rsid w:val="00902BB8"/>
    <w:rsid w:val="00903EA6"/>
    <w:rsid w:val="0090634A"/>
    <w:rsid w:val="00906772"/>
    <w:rsid w:val="0091093A"/>
    <w:rsid w:val="00912477"/>
    <w:rsid w:val="00923C07"/>
    <w:rsid w:val="009312DC"/>
    <w:rsid w:val="00940BEB"/>
    <w:rsid w:val="009435BF"/>
    <w:rsid w:val="00946D89"/>
    <w:rsid w:val="00950FF1"/>
    <w:rsid w:val="00952575"/>
    <w:rsid w:val="00954D77"/>
    <w:rsid w:val="00956E3E"/>
    <w:rsid w:val="00957FC4"/>
    <w:rsid w:val="00967A57"/>
    <w:rsid w:val="009865D1"/>
    <w:rsid w:val="00992494"/>
    <w:rsid w:val="009A2E8F"/>
    <w:rsid w:val="009A7177"/>
    <w:rsid w:val="009B58CE"/>
    <w:rsid w:val="009B5E60"/>
    <w:rsid w:val="009B7DC9"/>
    <w:rsid w:val="009C0D6C"/>
    <w:rsid w:val="009C713F"/>
    <w:rsid w:val="009C73AF"/>
    <w:rsid w:val="009D4E73"/>
    <w:rsid w:val="009D5297"/>
    <w:rsid w:val="009D6E70"/>
    <w:rsid w:val="009E3AAF"/>
    <w:rsid w:val="009F283B"/>
    <w:rsid w:val="00A07836"/>
    <w:rsid w:val="00A15235"/>
    <w:rsid w:val="00A15FB8"/>
    <w:rsid w:val="00A203B5"/>
    <w:rsid w:val="00A259E7"/>
    <w:rsid w:val="00A268C8"/>
    <w:rsid w:val="00A34896"/>
    <w:rsid w:val="00A4204E"/>
    <w:rsid w:val="00A451C9"/>
    <w:rsid w:val="00A460AA"/>
    <w:rsid w:val="00A46720"/>
    <w:rsid w:val="00A46D7D"/>
    <w:rsid w:val="00A4703E"/>
    <w:rsid w:val="00A52867"/>
    <w:rsid w:val="00A54D2B"/>
    <w:rsid w:val="00A55CAF"/>
    <w:rsid w:val="00A661F5"/>
    <w:rsid w:val="00A72059"/>
    <w:rsid w:val="00A73B97"/>
    <w:rsid w:val="00A75E6D"/>
    <w:rsid w:val="00A8176D"/>
    <w:rsid w:val="00A82605"/>
    <w:rsid w:val="00A9009D"/>
    <w:rsid w:val="00A95622"/>
    <w:rsid w:val="00AC4B3C"/>
    <w:rsid w:val="00AD123A"/>
    <w:rsid w:val="00AD1665"/>
    <w:rsid w:val="00AD406F"/>
    <w:rsid w:val="00AD6634"/>
    <w:rsid w:val="00AE2B7C"/>
    <w:rsid w:val="00AF4100"/>
    <w:rsid w:val="00B0001A"/>
    <w:rsid w:val="00B0478D"/>
    <w:rsid w:val="00B05929"/>
    <w:rsid w:val="00B067BD"/>
    <w:rsid w:val="00B10B99"/>
    <w:rsid w:val="00B1132B"/>
    <w:rsid w:val="00B12751"/>
    <w:rsid w:val="00B15258"/>
    <w:rsid w:val="00B17CCB"/>
    <w:rsid w:val="00B20D42"/>
    <w:rsid w:val="00B23743"/>
    <w:rsid w:val="00B26340"/>
    <w:rsid w:val="00B42182"/>
    <w:rsid w:val="00B43BA1"/>
    <w:rsid w:val="00B44134"/>
    <w:rsid w:val="00B5118F"/>
    <w:rsid w:val="00B62556"/>
    <w:rsid w:val="00B650EF"/>
    <w:rsid w:val="00B7340E"/>
    <w:rsid w:val="00B76ACF"/>
    <w:rsid w:val="00B806F7"/>
    <w:rsid w:val="00BA258E"/>
    <w:rsid w:val="00BA2C8D"/>
    <w:rsid w:val="00BA39FD"/>
    <w:rsid w:val="00BA422D"/>
    <w:rsid w:val="00BA7B3A"/>
    <w:rsid w:val="00BB408B"/>
    <w:rsid w:val="00BC0435"/>
    <w:rsid w:val="00BD4E56"/>
    <w:rsid w:val="00BE0723"/>
    <w:rsid w:val="00BF147F"/>
    <w:rsid w:val="00BF1BB0"/>
    <w:rsid w:val="00BF75B6"/>
    <w:rsid w:val="00C020A6"/>
    <w:rsid w:val="00C035DE"/>
    <w:rsid w:val="00C043A1"/>
    <w:rsid w:val="00C23D89"/>
    <w:rsid w:val="00C24A8D"/>
    <w:rsid w:val="00C312B5"/>
    <w:rsid w:val="00C33C39"/>
    <w:rsid w:val="00C37493"/>
    <w:rsid w:val="00C40B26"/>
    <w:rsid w:val="00C51F4F"/>
    <w:rsid w:val="00C55E93"/>
    <w:rsid w:val="00C676C0"/>
    <w:rsid w:val="00C70C8D"/>
    <w:rsid w:val="00C716BC"/>
    <w:rsid w:val="00C8431D"/>
    <w:rsid w:val="00C85FDB"/>
    <w:rsid w:val="00C9294A"/>
    <w:rsid w:val="00C94A1B"/>
    <w:rsid w:val="00C95DE2"/>
    <w:rsid w:val="00CA0958"/>
    <w:rsid w:val="00CA2B10"/>
    <w:rsid w:val="00CA30F3"/>
    <w:rsid w:val="00CA57C8"/>
    <w:rsid w:val="00CA7034"/>
    <w:rsid w:val="00CB28FB"/>
    <w:rsid w:val="00CB3487"/>
    <w:rsid w:val="00CC149A"/>
    <w:rsid w:val="00CC7BCA"/>
    <w:rsid w:val="00CD15CE"/>
    <w:rsid w:val="00CD6D93"/>
    <w:rsid w:val="00CE18D6"/>
    <w:rsid w:val="00CE5976"/>
    <w:rsid w:val="00CE65F3"/>
    <w:rsid w:val="00CF663B"/>
    <w:rsid w:val="00D0515C"/>
    <w:rsid w:val="00D14BF6"/>
    <w:rsid w:val="00D212C3"/>
    <w:rsid w:val="00D24EA2"/>
    <w:rsid w:val="00D410D7"/>
    <w:rsid w:val="00D4451C"/>
    <w:rsid w:val="00D462BC"/>
    <w:rsid w:val="00D47625"/>
    <w:rsid w:val="00D520FB"/>
    <w:rsid w:val="00D54616"/>
    <w:rsid w:val="00D64FA0"/>
    <w:rsid w:val="00D77B38"/>
    <w:rsid w:val="00D804D4"/>
    <w:rsid w:val="00D84E16"/>
    <w:rsid w:val="00D90546"/>
    <w:rsid w:val="00D9261A"/>
    <w:rsid w:val="00DA237C"/>
    <w:rsid w:val="00DA4109"/>
    <w:rsid w:val="00DA5BB4"/>
    <w:rsid w:val="00DB4D96"/>
    <w:rsid w:val="00DC2F72"/>
    <w:rsid w:val="00DD49D4"/>
    <w:rsid w:val="00DE1B2E"/>
    <w:rsid w:val="00DE45D0"/>
    <w:rsid w:val="00DF1F6D"/>
    <w:rsid w:val="00DF4256"/>
    <w:rsid w:val="00DF5A74"/>
    <w:rsid w:val="00DF77FE"/>
    <w:rsid w:val="00E022CF"/>
    <w:rsid w:val="00E039E7"/>
    <w:rsid w:val="00E15B43"/>
    <w:rsid w:val="00E15D1B"/>
    <w:rsid w:val="00E242FA"/>
    <w:rsid w:val="00E33194"/>
    <w:rsid w:val="00E439D3"/>
    <w:rsid w:val="00E51B18"/>
    <w:rsid w:val="00E60F41"/>
    <w:rsid w:val="00E647FC"/>
    <w:rsid w:val="00E72B05"/>
    <w:rsid w:val="00E8222C"/>
    <w:rsid w:val="00E84AD6"/>
    <w:rsid w:val="00E86702"/>
    <w:rsid w:val="00E91063"/>
    <w:rsid w:val="00E926E4"/>
    <w:rsid w:val="00E961B9"/>
    <w:rsid w:val="00EA2C3E"/>
    <w:rsid w:val="00EA6220"/>
    <w:rsid w:val="00EA788F"/>
    <w:rsid w:val="00EA7FFB"/>
    <w:rsid w:val="00EB6523"/>
    <w:rsid w:val="00EC2D65"/>
    <w:rsid w:val="00ED4270"/>
    <w:rsid w:val="00ED442A"/>
    <w:rsid w:val="00ED6D5D"/>
    <w:rsid w:val="00ED6F39"/>
    <w:rsid w:val="00EE03B0"/>
    <w:rsid w:val="00EE54AD"/>
    <w:rsid w:val="00EF0DF9"/>
    <w:rsid w:val="00EF3F9C"/>
    <w:rsid w:val="00EF59CC"/>
    <w:rsid w:val="00F04D5C"/>
    <w:rsid w:val="00F209BA"/>
    <w:rsid w:val="00F32324"/>
    <w:rsid w:val="00F466A4"/>
    <w:rsid w:val="00F56FA4"/>
    <w:rsid w:val="00F67880"/>
    <w:rsid w:val="00F72CDF"/>
    <w:rsid w:val="00F75979"/>
    <w:rsid w:val="00F8437B"/>
    <w:rsid w:val="00F9031D"/>
    <w:rsid w:val="00F95261"/>
    <w:rsid w:val="00F95A96"/>
    <w:rsid w:val="00FC365C"/>
    <w:rsid w:val="00FD7A73"/>
    <w:rsid w:val="00FE1602"/>
    <w:rsid w:val="00FE4C0E"/>
    <w:rsid w:val="00FE7357"/>
    <w:rsid w:val="00FF366B"/>
    <w:rsid w:val="00FF7E0B"/>
    <w:rsid w:val="01217E52"/>
    <w:rsid w:val="01E65344"/>
    <w:rsid w:val="01EE04AE"/>
    <w:rsid w:val="02B475FB"/>
    <w:rsid w:val="02D84338"/>
    <w:rsid w:val="037F384C"/>
    <w:rsid w:val="03F8711F"/>
    <w:rsid w:val="0455536E"/>
    <w:rsid w:val="057F5510"/>
    <w:rsid w:val="08876B0D"/>
    <w:rsid w:val="0A23652E"/>
    <w:rsid w:val="0AAA550E"/>
    <w:rsid w:val="0B5A402C"/>
    <w:rsid w:val="0BC76BDF"/>
    <w:rsid w:val="0D5450EC"/>
    <w:rsid w:val="0E3A6663"/>
    <w:rsid w:val="0E436F73"/>
    <w:rsid w:val="0F164F55"/>
    <w:rsid w:val="112432CD"/>
    <w:rsid w:val="11461B4D"/>
    <w:rsid w:val="121D08C8"/>
    <w:rsid w:val="13EF07C3"/>
    <w:rsid w:val="153A74E0"/>
    <w:rsid w:val="15EA1883"/>
    <w:rsid w:val="17947F01"/>
    <w:rsid w:val="17D810AE"/>
    <w:rsid w:val="188005C2"/>
    <w:rsid w:val="191A4F3D"/>
    <w:rsid w:val="193B6537"/>
    <w:rsid w:val="1BBD2F92"/>
    <w:rsid w:val="1BC7001F"/>
    <w:rsid w:val="1C884CB4"/>
    <w:rsid w:val="1D41530D"/>
    <w:rsid w:val="1E0F4A61"/>
    <w:rsid w:val="1E7D4B06"/>
    <w:rsid w:val="1F6E4F1F"/>
    <w:rsid w:val="1FAD7985"/>
    <w:rsid w:val="204E28A5"/>
    <w:rsid w:val="208D3542"/>
    <w:rsid w:val="231E5F8C"/>
    <w:rsid w:val="2432177F"/>
    <w:rsid w:val="24B86AE2"/>
    <w:rsid w:val="27A25897"/>
    <w:rsid w:val="27D172E0"/>
    <w:rsid w:val="28387F89"/>
    <w:rsid w:val="29936323"/>
    <w:rsid w:val="2A3A09D3"/>
    <w:rsid w:val="2A700EAD"/>
    <w:rsid w:val="2BC55F5B"/>
    <w:rsid w:val="2DA366E8"/>
    <w:rsid w:val="2ECC05CD"/>
    <w:rsid w:val="2EFA18AD"/>
    <w:rsid w:val="30F92FE5"/>
    <w:rsid w:val="310C3A56"/>
    <w:rsid w:val="32EA3795"/>
    <w:rsid w:val="334C63C8"/>
    <w:rsid w:val="335B05D1"/>
    <w:rsid w:val="33FB3128"/>
    <w:rsid w:val="34093BEC"/>
    <w:rsid w:val="35E35823"/>
    <w:rsid w:val="36344A70"/>
    <w:rsid w:val="36C91572"/>
    <w:rsid w:val="374A7925"/>
    <w:rsid w:val="3CE55D7A"/>
    <w:rsid w:val="3D153845"/>
    <w:rsid w:val="3D160C95"/>
    <w:rsid w:val="3EF75F59"/>
    <w:rsid w:val="3FC6532D"/>
    <w:rsid w:val="408244E4"/>
    <w:rsid w:val="41485829"/>
    <w:rsid w:val="44395ADF"/>
    <w:rsid w:val="44A87B6A"/>
    <w:rsid w:val="47397336"/>
    <w:rsid w:val="4C8C59B0"/>
    <w:rsid w:val="4D99525E"/>
    <w:rsid w:val="4F204B16"/>
    <w:rsid w:val="505605DA"/>
    <w:rsid w:val="50DE28D9"/>
    <w:rsid w:val="51AE1E90"/>
    <w:rsid w:val="52B87DC4"/>
    <w:rsid w:val="53BA2E6A"/>
    <w:rsid w:val="557F72D2"/>
    <w:rsid w:val="58F50AB7"/>
    <w:rsid w:val="5B392037"/>
    <w:rsid w:val="5B482651"/>
    <w:rsid w:val="5D184E4B"/>
    <w:rsid w:val="5DDC5E8E"/>
    <w:rsid w:val="5E30018A"/>
    <w:rsid w:val="5F8D7BAE"/>
    <w:rsid w:val="60106D27"/>
    <w:rsid w:val="60423096"/>
    <w:rsid w:val="60B430B8"/>
    <w:rsid w:val="61123452"/>
    <w:rsid w:val="61AA48CA"/>
    <w:rsid w:val="61E202A7"/>
    <w:rsid w:val="62A65A66"/>
    <w:rsid w:val="65FD355F"/>
    <w:rsid w:val="66414CF5"/>
    <w:rsid w:val="67062509"/>
    <w:rsid w:val="67452622"/>
    <w:rsid w:val="69D519B1"/>
    <w:rsid w:val="6A3B4BD9"/>
    <w:rsid w:val="6A67569D"/>
    <w:rsid w:val="6BF825B0"/>
    <w:rsid w:val="6CAC4153"/>
    <w:rsid w:val="6D095C70"/>
    <w:rsid w:val="6F7C56F5"/>
    <w:rsid w:val="7028360F"/>
    <w:rsid w:val="706B757B"/>
    <w:rsid w:val="741373FD"/>
    <w:rsid w:val="782D04B7"/>
    <w:rsid w:val="78425286"/>
    <w:rsid w:val="78FA4387"/>
    <w:rsid w:val="79034C97"/>
    <w:rsid w:val="7B2A209D"/>
    <w:rsid w:val="7C395DE7"/>
    <w:rsid w:val="7E5E4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6" w:lineRule="auto"/>
      <w:outlineLvl w:val="3"/>
    </w:pPr>
    <w:rPr>
      <w:b/>
      <w:bCs/>
      <w:sz w:val="28"/>
      <w:szCs w:val="28"/>
    </w:rPr>
  </w:style>
  <w:style w:type="paragraph" w:styleId="6">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footer"/>
    <w:basedOn w:val="1"/>
    <w:link w:val="15"/>
    <w:unhideWhenUsed/>
    <w:qFormat/>
    <w:uiPriority w:val="99"/>
    <w:pPr>
      <w:tabs>
        <w:tab w:val="center" w:pos="4680"/>
        <w:tab w:val="right" w:pos="9360"/>
      </w:tabs>
      <w:spacing w:after="0" w:line="240" w:lineRule="auto"/>
    </w:pPr>
  </w:style>
  <w:style w:type="paragraph" w:styleId="10">
    <w:name w:val="header"/>
    <w:basedOn w:val="1"/>
    <w:link w:val="17"/>
    <w:qFormat/>
    <w:uiPriority w:val="99"/>
    <w:pPr>
      <w:tabs>
        <w:tab w:val="center" w:pos="4680"/>
        <w:tab w:val="right" w:pos="9360"/>
      </w:tabs>
      <w:spacing w:after="0" w:line="240" w:lineRule="auto"/>
    </w:pPr>
    <w:rPr>
      <w:rFonts w:ascii="Calibri" w:hAnsi="Calibri" w:eastAsia="Calibri" w:cs="SimSun"/>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2">
    <w:name w:val="Strong"/>
    <w:basedOn w:val="7"/>
    <w:qFormat/>
    <w:uiPriority w:val="22"/>
    <w:rPr>
      <w:b/>
      <w:bCs/>
    </w:rPr>
  </w:style>
  <w:style w:type="table" w:styleId="13">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link w:val="16"/>
    <w:qFormat/>
    <w:uiPriority w:val="34"/>
    <w:pPr>
      <w:ind w:left="720"/>
      <w:contextualSpacing/>
    </w:pPr>
  </w:style>
  <w:style w:type="character" w:customStyle="1" w:styleId="15">
    <w:name w:val="Footer Char"/>
    <w:basedOn w:val="7"/>
    <w:link w:val="9"/>
    <w:qFormat/>
    <w:uiPriority w:val="99"/>
  </w:style>
  <w:style w:type="character" w:customStyle="1" w:styleId="16">
    <w:name w:val="List Paragraph Char"/>
    <w:basedOn w:val="7"/>
    <w:link w:val="14"/>
    <w:qFormat/>
    <w:locked/>
    <w:uiPriority w:val="34"/>
  </w:style>
  <w:style w:type="character" w:customStyle="1" w:styleId="17">
    <w:name w:val="Header Char"/>
    <w:basedOn w:val="7"/>
    <w:link w:val="10"/>
    <w:qFormat/>
    <w:uiPriority w:val="99"/>
    <w:rPr>
      <w:rFonts w:ascii="Calibri" w:hAnsi="Calibri" w:eastAsia="Calibri" w:cs="SimSu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69C1F-2229-4FF8-AE5D-9BD5E0689516}">
  <ds:schemaRefs/>
</ds:datastoreItem>
</file>

<file path=docProps/app.xml><?xml version="1.0" encoding="utf-8"?>
<Properties xmlns="http://schemas.openxmlformats.org/officeDocument/2006/extended-properties" xmlns:vt="http://schemas.openxmlformats.org/officeDocument/2006/docPropsVTypes">
  <Template>Normal</Template>
  <Pages>13</Pages>
  <Words>4892</Words>
  <Characters>27888</Characters>
  <Lines>232</Lines>
  <Paragraphs>65</Paragraphs>
  <TotalTime>12909</TotalTime>
  <ScaleCrop>false</ScaleCrop>
  <LinksUpToDate>false</LinksUpToDate>
  <CharactersWithSpaces>32715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2023-08-24T16:20:00Z</dcterms:created>
  <dc:creator>Ismail Usman Dawa</dc:creator>
  <cp:lastModifiedBy>HP</cp:lastModifiedBy>
  <dcterms:modified xsi:type="dcterms:W3CDTF">2026-07-04T19:01:22Z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2c64f15e-39e0-4702-b230-ee8687398aef</vt:lpwstr>
  </property>
  <property fmtid="{D5CDD505-2E9C-101B-9397-08002B2CF9AE}" pid="3" name="KSOProductBuildVer">
    <vt:lpwstr>1033-12.2.0.23196</vt:lpwstr>
  </property>
  <property fmtid="{D5CDD505-2E9C-101B-9397-08002B2CF9AE}" pid="4" name="ICV">
    <vt:lpwstr>F016D3C9498E40EA861DAE11B4303E9C_13</vt:lpwstr>
  </property>
</Properties>
</file>