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BA346" w14:textId="28890436" w:rsidR="00155B7C" w:rsidRDefault="00155B7C" w:rsidP="00155B7C">
      <w:pPr>
        <w:jc w:val="center"/>
        <w:rPr>
          <w:b/>
          <w:bCs/>
        </w:rPr>
      </w:pPr>
      <w:r>
        <w:rPr>
          <w:b/>
          <w:bCs/>
        </w:rPr>
        <w:t>Youth Advocacy Council Pakistan</w:t>
      </w:r>
    </w:p>
    <w:p w14:paraId="1E53BF63" w14:textId="51CCD531" w:rsidR="00C4798F" w:rsidRPr="00155B7C" w:rsidRDefault="00C4798F" w:rsidP="00155B7C">
      <w:pPr>
        <w:jc w:val="center"/>
        <w:rPr>
          <w:b/>
          <w:bCs/>
        </w:rPr>
      </w:pPr>
      <w:r w:rsidRPr="00C4798F">
        <w:rPr>
          <w:b/>
          <w:bCs/>
        </w:rPr>
        <w:t>Project Title</w:t>
      </w:r>
      <w:r w:rsidR="00155B7C">
        <w:rPr>
          <w:b/>
          <w:bCs/>
        </w:rPr>
        <w:t xml:space="preserve">: </w:t>
      </w:r>
      <w:r w:rsidRPr="00C4798F">
        <w:rPr>
          <w:b/>
          <w:bCs/>
        </w:rPr>
        <w:t>Girls Skills Academy for Pak Flood-Affected Areas</w:t>
      </w:r>
    </w:p>
    <w:p w14:paraId="0DE1EFAA" w14:textId="77777777" w:rsidR="00C4798F" w:rsidRPr="00C4798F" w:rsidRDefault="00C4798F" w:rsidP="00C4798F">
      <w:pPr>
        <w:rPr>
          <w:b/>
          <w:bCs/>
        </w:rPr>
      </w:pPr>
      <w:r w:rsidRPr="00C4798F">
        <w:rPr>
          <w:b/>
          <w:bCs/>
        </w:rPr>
        <w:t>Project Summary</w:t>
      </w:r>
    </w:p>
    <w:p w14:paraId="1E7CB90B" w14:textId="77777777" w:rsidR="00E75221" w:rsidRDefault="00E75221" w:rsidP="005A1177">
      <w:pPr>
        <w:pStyle w:val="NoSpacing"/>
        <w:jc w:val="both"/>
      </w:pPr>
      <w:r w:rsidRPr="00E75221">
        <w:t>Girls in flood-affected rural areas of Pakistan often lose access to education, skills training, and income opportunities because of poverty, repeated disasters, and the lack of nearby training centers. This project will establish a Girls Technical Skills Academy in Village Sehjra, District Kasur, where girls and young women from low-income and flood-affected families can safely learn practical skills such as tailoring, embroidery, beauty services, handicrafts, and shoe making close to home. The academy will also provide basic business guidance and starter support so participants can begin home-based work, earn income, support their families, and build more secure and independent futures in a disaster-prone community.</w:t>
      </w:r>
    </w:p>
    <w:p w14:paraId="2AE967E6" w14:textId="4BF8AFCA" w:rsidR="00C4798F" w:rsidRPr="00C4798F" w:rsidRDefault="00C4798F" w:rsidP="00E75221">
      <w:pPr>
        <w:rPr>
          <w:b/>
          <w:bCs/>
        </w:rPr>
      </w:pPr>
      <w:r w:rsidRPr="00C4798F">
        <w:rPr>
          <w:b/>
          <w:bCs/>
        </w:rPr>
        <w:t>What is the problem?</w:t>
      </w:r>
    </w:p>
    <w:p w14:paraId="0F0DFEC7" w14:textId="77777777" w:rsidR="00E75221" w:rsidRPr="00E75221" w:rsidRDefault="00E75221" w:rsidP="005A1177">
      <w:pPr>
        <w:pStyle w:val="NoSpacing"/>
        <w:jc w:val="both"/>
      </w:pPr>
      <w:r w:rsidRPr="00E75221">
        <w:t>Village Sehjra in District Kasur is a flood-prone rural community near the Satluj River where families face serious losses almost every year during the monsoon season. Floods damage homes, crops, livestock, and basic infrastructure, while most households depend on daily wage labor or small farming for survival. In such conditions, poor families are forced to focus on immediate recovery, and girls’ education and future opportunities are often neglected.</w:t>
      </w:r>
    </w:p>
    <w:p w14:paraId="6512313F" w14:textId="05F82FDB" w:rsidR="00E75221" w:rsidRDefault="00E75221" w:rsidP="005A1177">
      <w:pPr>
        <w:pStyle w:val="NoSpacing"/>
        <w:jc w:val="both"/>
      </w:pPr>
      <w:r w:rsidRPr="00E75221">
        <w:t>Girls and young women in Sehjra have very limited access to technical training and income opportunities. Most vocational institutes are far away in urban areas, and distance, transport costs, safety concerns, and social barriers prevent many girls from attending. As a result, many young women leave education early, remain financially dependent, and miss the chance to learn practical skills that could help them earn from home and support their families in a disaster-affected community.</w:t>
      </w:r>
    </w:p>
    <w:p w14:paraId="428368CC" w14:textId="77777777" w:rsidR="00C4798F" w:rsidRPr="00C4798F" w:rsidRDefault="00C4798F" w:rsidP="00C4798F">
      <w:pPr>
        <w:rPr>
          <w:b/>
          <w:bCs/>
        </w:rPr>
      </w:pPr>
      <w:r w:rsidRPr="00C4798F">
        <w:rPr>
          <w:b/>
          <w:bCs/>
        </w:rPr>
        <w:t>How will this project solve the problem?</w:t>
      </w:r>
    </w:p>
    <w:p w14:paraId="0DE943A8" w14:textId="77777777" w:rsidR="00E75221" w:rsidRPr="00E75221" w:rsidRDefault="00E75221" w:rsidP="005A1177">
      <w:pPr>
        <w:pStyle w:val="NoSpacing"/>
        <w:jc w:val="both"/>
      </w:pPr>
      <w:r w:rsidRPr="00E75221">
        <w:t>This project will address the problem by establishing a Girls Technical Skills Academy in Village Sehjra, District Kasur, so that girls and young women from flood-affected and low-income families can access vocational training within their own community. By creating a safe and local learning space, the project will remove some of the biggest barriers that prevent rural girls from gaining skills, including long travel distances, transport costs, safety concerns, and social restrictions on mobility. Instead of depending on training centers in distant urban areas, girls will be able to learn close to home in an environment that is more acceptable and accessible for their families.</w:t>
      </w:r>
    </w:p>
    <w:p w14:paraId="359D8A67" w14:textId="34BCE521" w:rsidR="00E75221" w:rsidRDefault="00E75221" w:rsidP="005A1177">
      <w:pPr>
        <w:pStyle w:val="NoSpacing"/>
        <w:jc w:val="both"/>
      </w:pPr>
      <w:r w:rsidRPr="00E75221">
        <w:t>The academy will offer practical training in skills that are relevant to the local context and suitable for home-based work, including tailoring, embroidery, beauty services, handicrafts, and shoe making. These are trades that girls can continue practicing after the training period and can turn into small income-generating activities from their homes. In addition to technical training, the project will also provide basic business guidance, confidence-building, and financial literacy support so that participants understand how to manage small earnings, deal with customers, and gradually build self-reliance.</w:t>
      </w:r>
    </w:p>
    <w:p w14:paraId="5F0A6CDC" w14:textId="2C398484" w:rsidR="00C4798F" w:rsidRPr="005A1177" w:rsidRDefault="00C4798F" w:rsidP="005A1177">
      <w:pPr>
        <w:pStyle w:val="NoSpacing"/>
        <w:rPr>
          <w:b/>
          <w:bCs/>
        </w:rPr>
      </w:pPr>
      <w:r w:rsidRPr="005A1177">
        <w:rPr>
          <w:b/>
          <w:bCs/>
        </w:rPr>
        <w:t>Potential Long-Term Impact</w:t>
      </w:r>
    </w:p>
    <w:p w14:paraId="2DFF1AE0" w14:textId="77777777" w:rsidR="00C4798F" w:rsidRPr="00C4798F" w:rsidRDefault="00C4798F" w:rsidP="005A1177">
      <w:pPr>
        <w:pStyle w:val="NoSpacing"/>
      </w:pPr>
      <w:r w:rsidRPr="00C4798F">
        <w:t>In the long term, this project will help girls in flood-affected areas become skilled, confident, and financially independent. With practical training and home-based income opportunities, they will be better able to support their families and continue their personal development.</w:t>
      </w:r>
    </w:p>
    <w:p w14:paraId="2EB6CCE2" w14:textId="77777777" w:rsidR="00C4798F" w:rsidRPr="00C4798F" w:rsidRDefault="00C4798F" w:rsidP="005A1177">
      <w:pPr>
        <w:pStyle w:val="NoSpacing"/>
      </w:pPr>
      <w:r w:rsidRPr="00C4798F">
        <w:t>The project will also strengthen household resilience in a disaster-prone area. When families have more than one income source, they are better able to cope with floods and other economic shocks. Over time, this initiative can help reduce poverty, improve girls’ status in the community, and create a more hopeful future for vulnerable families.</w:t>
      </w:r>
    </w:p>
    <w:p w14:paraId="35DEB4D9" w14:textId="77777777" w:rsidR="00C4798F" w:rsidRPr="00C4798F" w:rsidRDefault="00C4798F" w:rsidP="00C4798F">
      <w:pPr>
        <w:rPr>
          <w:b/>
          <w:bCs/>
        </w:rPr>
      </w:pPr>
      <w:r w:rsidRPr="00C4798F">
        <w:rPr>
          <w:b/>
          <w:bCs/>
        </w:rPr>
        <w:t>Project Goal</w:t>
      </w:r>
    </w:p>
    <w:p w14:paraId="3BCCABE5" w14:textId="77777777" w:rsidR="00C4798F" w:rsidRPr="00C4798F" w:rsidRDefault="00C4798F" w:rsidP="005A1177">
      <w:pPr>
        <w:pStyle w:val="NoSpacing"/>
        <w:jc w:val="both"/>
      </w:pPr>
      <w:r w:rsidRPr="00C4798F">
        <w:lastRenderedPageBreak/>
        <w:t>To empower girls and young women from flood-affected and low-income families in Village Sehjra, District Kasur, through safe and accessible vocational training that enables them to earn income and become more independent.</w:t>
      </w:r>
    </w:p>
    <w:p w14:paraId="35EB3979" w14:textId="77777777" w:rsidR="00C4798F" w:rsidRPr="00C4798F" w:rsidRDefault="00C4798F" w:rsidP="00C4798F">
      <w:pPr>
        <w:rPr>
          <w:b/>
          <w:bCs/>
        </w:rPr>
      </w:pPr>
      <w:r w:rsidRPr="00C4798F">
        <w:rPr>
          <w:b/>
          <w:bCs/>
        </w:rPr>
        <w:t>Project Objectives</w:t>
      </w:r>
    </w:p>
    <w:p w14:paraId="1C08A329" w14:textId="77777777" w:rsidR="00C4798F" w:rsidRPr="00C4798F" w:rsidRDefault="00C4798F" w:rsidP="005A1177">
      <w:pPr>
        <w:pStyle w:val="NoSpacing"/>
        <w:numPr>
          <w:ilvl w:val="0"/>
          <w:numId w:val="5"/>
        </w:numPr>
      </w:pPr>
      <w:r w:rsidRPr="00C4798F">
        <w:t>To establish a safe and accessible Girls Technical Skills Academy in Village Sehjra.</w:t>
      </w:r>
    </w:p>
    <w:p w14:paraId="12682B52" w14:textId="77777777" w:rsidR="00C4798F" w:rsidRPr="00C4798F" w:rsidRDefault="00C4798F" w:rsidP="005A1177">
      <w:pPr>
        <w:pStyle w:val="NoSpacing"/>
        <w:numPr>
          <w:ilvl w:val="0"/>
          <w:numId w:val="5"/>
        </w:numPr>
      </w:pPr>
      <w:r w:rsidRPr="00C4798F">
        <w:t>To provide practical vocational training to girls and young women from flood-affected families.</w:t>
      </w:r>
    </w:p>
    <w:p w14:paraId="4152B0F2" w14:textId="77777777" w:rsidR="00C4798F" w:rsidRPr="00C4798F" w:rsidRDefault="00C4798F" w:rsidP="005A1177">
      <w:pPr>
        <w:pStyle w:val="NoSpacing"/>
        <w:numPr>
          <w:ilvl w:val="0"/>
          <w:numId w:val="5"/>
        </w:numPr>
      </w:pPr>
      <w:r w:rsidRPr="00C4798F">
        <w:t>To equip participants with home-based income generation skills.</w:t>
      </w:r>
    </w:p>
    <w:p w14:paraId="1C5B0AAF" w14:textId="77777777" w:rsidR="00C4798F" w:rsidRPr="00C4798F" w:rsidRDefault="00C4798F" w:rsidP="005A1177">
      <w:pPr>
        <w:pStyle w:val="NoSpacing"/>
        <w:numPr>
          <w:ilvl w:val="0"/>
          <w:numId w:val="5"/>
        </w:numPr>
      </w:pPr>
      <w:r w:rsidRPr="00C4798F">
        <w:t>To improve confidence, self-reliance, and financial inclusion of rural girls.</w:t>
      </w:r>
    </w:p>
    <w:p w14:paraId="6BB59C16" w14:textId="77777777" w:rsidR="00C4798F" w:rsidRPr="00C4798F" w:rsidRDefault="00C4798F" w:rsidP="005A1177">
      <w:pPr>
        <w:pStyle w:val="NoSpacing"/>
        <w:numPr>
          <w:ilvl w:val="0"/>
          <w:numId w:val="5"/>
        </w:numPr>
      </w:pPr>
      <w:r w:rsidRPr="00C4798F">
        <w:t>To strengthen family and community resilience in a flood-prone area.</w:t>
      </w:r>
    </w:p>
    <w:p w14:paraId="3131E0E5" w14:textId="77777777" w:rsidR="00C4798F" w:rsidRPr="00C4798F" w:rsidRDefault="00C4798F" w:rsidP="00C4798F">
      <w:pPr>
        <w:rPr>
          <w:b/>
          <w:bCs/>
        </w:rPr>
      </w:pPr>
      <w:r w:rsidRPr="00C4798F">
        <w:rPr>
          <w:b/>
          <w:bCs/>
        </w:rPr>
        <w:t>Main Activities</w:t>
      </w:r>
    </w:p>
    <w:p w14:paraId="618D700E" w14:textId="77777777" w:rsidR="00C4798F" w:rsidRPr="00C4798F" w:rsidRDefault="00C4798F" w:rsidP="005A1177">
      <w:pPr>
        <w:pStyle w:val="NoSpacing"/>
        <w:numPr>
          <w:ilvl w:val="0"/>
          <w:numId w:val="6"/>
        </w:numPr>
      </w:pPr>
      <w:r w:rsidRPr="00C4798F">
        <w:t>Community meetings and identification of eligible girls from poor and flood-affected families</w:t>
      </w:r>
    </w:p>
    <w:p w14:paraId="0A10B224" w14:textId="77777777" w:rsidR="00C4798F" w:rsidRPr="00C4798F" w:rsidRDefault="00C4798F" w:rsidP="005A1177">
      <w:pPr>
        <w:pStyle w:val="NoSpacing"/>
        <w:numPr>
          <w:ilvl w:val="0"/>
          <w:numId w:val="6"/>
        </w:numPr>
      </w:pPr>
      <w:r w:rsidRPr="00C4798F">
        <w:t>Setup of academy space in Village Sehjra</w:t>
      </w:r>
    </w:p>
    <w:p w14:paraId="3D8EB584" w14:textId="77777777" w:rsidR="00C4798F" w:rsidRPr="00C4798F" w:rsidRDefault="00C4798F" w:rsidP="005A1177">
      <w:pPr>
        <w:pStyle w:val="NoSpacing"/>
        <w:numPr>
          <w:ilvl w:val="0"/>
          <w:numId w:val="6"/>
        </w:numPr>
      </w:pPr>
      <w:r w:rsidRPr="00C4798F">
        <w:t>Purchase of sewing machines, beauty kits, embroidery materials, shoe-making tools, and classroom furniture</w:t>
      </w:r>
    </w:p>
    <w:p w14:paraId="26D669C3" w14:textId="77777777" w:rsidR="00C4798F" w:rsidRPr="00C4798F" w:rsidRDefault="00C4798F" w:rsidP="005A1177">
      <w:pPr>
        <w:pStyle w:val="NoSpacing"/>
        <w:numPr>
          <w:ilvl w:val="0"/>
          <w:numId w:val="6"/>
        </w:numPr>
      </w:pPr>
      <w:r w:rsidRPr="00C4798F">
        <w:t>Enrollment of participants and orientation sessions</w:t>
      </w:r>
    </w:p>
    <w:p w14:paraId="0AA42B65" w14:textId="77777777" w:rsidR="00C4798F" w:rsidRPr="00C4798F" w:rsidRDefault="00C4798F" w:rsidP="005A1177">
      <w:pPr>
        <w:pStyle w:val="NoSpacing"/>
        <w:numPr>
          <w:ilvl w:val="0"/>
          <w:numId w:val="6"/>
        </w:numPr>
      </w:pPr>
      <w:r w:rsidRPr="00C4798F">
        <w:t>Delivery of vocational training courses</w:t>
      </w:r>
    </w:p>
    <w:p w14:paraId="57217517" w14:textId="77777777" w:rsidR="00C4798F" w:rsidRPr="00C4798F" w:rsidRDefault="00C4798F" w:rsidP="005A1177">
      <w:pPr>
        <w:pStyle w:val="NoSpacing"/>
        <w:numPr>
          <w:ilvl w:val="0"/>
          <w:numId w:val="6"/>
        </w:numPr>
      </w:pPr>
      <w:r w:rsidRPr="00C4798F">
        <w:t>Sessions on confidence building, basic business skills, and financial literacy</w:t>
      </w:r>
    </w:p>
    <w:p w14:paraId="3995E46C" w14:textId="77777777" w:rsidR="00C4798F" w:rsidRPr="00C4798F" w:rsidRDefault="00C4798F" w:rsidP="005A1177">
      <w:pPr>
        <w:pStyle w:val="NoSpacing"/>
        <w:numPr>
          <w:ilvl w:val="0"/>
          <w:numId w:val="6"/>
        </w:numPr>
      </w:pPr>
      <w:r w:rsidRPr="00C4798F">
        <w:t>Practical assessments and distribution of certificates</w:t>
      </w:r>
    </w:p>
    <w:p w14:paraId="4668E0BF" w14:textId="77777777" w:rsidR="00C4798F" w:rsidRPr="00C4798F" w:rsidRDefault="00C4798F" w:rsidP="005A1177">
      <w:pPr>
        <w:pStyle w:val="NoSpacing"/>
        <w:numPr>
          <w:ilvl w:val="0"/>
          <w:numId w:val="6"/>
        </w:numPr>
      </w:pPr>
      <w:r w:rsidRPr="00C4798F">
        <w:t>Starter support for selected graduates to begin home-based work</w:t>
      </w:r>
    </w:p>
    <w:p w14:paraId="4082CD3D" w14:textId="77777777" w:rsidR="00C4798F" w:rsidRPr="00C4798F" w:rsidRDefault="00C4798F" w:rsidP="005A1177">
      <w:pPr>
        <w:pStyle w:val="NoSpacing"/>
        <w:numPr>
          <w:ilvl w:val="0"/>
          <w:numId w:val="6"/>
        </w:numPr>
      </w:pPr>
      <w:r w:rsidRPr="00C4798F">
        <w:t>Follow-up mentoring and monitoring of progress</w:t>
      </w:r>
    </w:p>
    <w:p w14:paraId="75086C6E" w14:textId="77777777" w:rsidR="00C4798F" w:rsidRPr="00C4798F" w:rsidRDefault="00C4798F" w:rsidP="00C4798F">
      <w:pPr>
        <w:rPr>
          <w:b/>
          <w:bCs/>
        </w:rPr>
      </w:pPr>
      <w:r w:rsidRPr="00C4798F">
        <w:rPr>
          <w:b/>
          <w:bCs/>
        </w:rPr>
        <w:t>Expected Results</w:t>
      </w:r>
    </w:p>
    <w:p w14:paraId="5F34BEE8" w14:textId="77777777" w:rsidR="00C4798F" w:rsidRPr="00C4798F" w:rsidRDefault="00C4798F" w:rsidP="005A1177">
      <w:pPr>
        <w:pStyle w:val="NoSpacing"/>
        <w:numPr>
          <w:ilvl w:val="0"/>
          <w:numId w:val="7"/>
        </w:numPr>
      </w:pPr>
      <w:r w:rsidRPr="00C4798F">
        <w:t>A Girls Technical Skills Academy is established and functional in Village Sehjra</w:t>
      </w:r>
    </w:p>
    <w:p w14:paraId="058CA95F" w14:textId="77777777" w:rsidR="00C4798F" w:rsidRPr="00C4798F" w:rsidRDefault="00C4798F" w:rsidP="005A1177">
      <w:pPr>
        <w:pStyle w:val="NoSpacing"/>
        <w:numPr>
          <w:ilvl w:val="0"/>
          <w:numId w:val="7"/>
        </w:numPr>
      </w:pPr>
      <w:r w:rsidRPr="00C4798F">
        <w:t>Girls and young women gain practical vocational skills</w:t>
      </w:r>
    </w:p>
    <w:p w14:paraId="004A41E3" w14:textId="77777777" w:rsidR="00C4798F" w:rsidRPr="00C4798F" w:rsidRDefault="00C4798F" w:rsidP="005A1177">
      <w:pPr>
        <w:pStyle w:val="NoSpacing"/>
        <w:numPr>
          <w:ilvl w:val="0"/>
          <w:numId w:val="7"/>
        </w:numPr>
      </w:pPr>
      <w:r w:rsidRPr="00C4798F">
        <w:t>Participants improve their confidence and self-reliance</w:t>
      </w:r>
    </w:p>
    <w:p w14:paraId="3BCE4090" w14:textId="77777777" w:rsidR="00C4798F" w:rsidRPr="00C4798F" w:rsidRDefault="00C4798F" w:rsidP="005A1177">
      <w:pPr>
        <w:pStyle w:val="NoSpacing"/>
        <w:numPr>
          <w:ilvl w:val="0"/>
          <w:numId w:val="7"/>
        </w:numPr>
      </w:pPr>
      <w:r w:rsidRPr="00C4798F">
        <w:t>Graduates begin earning through home-based work or small enterprises</w:t>
      </w:r>
    </w:p>
    <w:p w14:paraId="728F9666" w14:textId="77777777" w:rsidR="00C4798F" w:rsidRPr="00C4798F" w:rsidRDefault="00C4798F" w:rsidP="005A1177">
      <w:pPr>
        <w:pStyle w:val="NoSpacing"/>
        <w:numPr>
          <w:ilvl w:val="0"/>
          <w:numId w:val="7"/>
        </w:numPr>
      </w:pPr>
      <w:r w:rsidRPr="00C4798F">
        <w:t>Poor households gain better income opportunities</w:t>
      </w:r>
    </w:p>
    <w:p w14:paraId="0989B73A" w14:textId="77777777" w:rsidR="00C4798F" w:rsidRPr="00C4798F" w:rsidRDefault="00C4798F" w:rsidP="005A1177">
      <w:pPr>
        <w:pStyle w:val="NoSpacing"/>
        <w:numPr>
          <w:ilvl w:val="0"/>
          <w:numId w:val="7"/>
        </w:numPr>
      </w:pPr>
      <w:r w:rsidRPr="00C4798F">
        <w:t>The community becomes more resilient to economic shocks caused by floods</w:t>
      </w:r>
    </w:p>
    <w:p w14:paraId="0346DC67" w14:textId="77777777" w:rsidR="00C4798F" w:rsidRPr="00C4798F" w:rsidRDefault="00C4798F" w:rsidP="00C4798F">
      <w:pPr>
        <w:rPr>
          <w:b/>
          <w:bCs/>
        </w:rPr>
      </w:pPr>
      <w:r w:rsidRPr="00C4798F">
        <w:rPr>
          <w:b/>
          <w:bCs/>
        </w:rPr>
        <w:t>Target Beneficiaries</w:t>
      </w:r>
    </w:p>
    <w:p w14:paraId="508214F6" w14:textId="77777777" w:rsidR="00C4798F" w:rsidRPr="00C4798F" w:rsidRDefault="00C4798F" w:rsidP="00C4798F">
      <w:r w:rsidRPr="00C4798F">
        <w:rPr>
          <w:b/>
          <w:bCs/>
        </w:rPr>
        <w:t>Direct beneficiaries:</w:t>
      </w:r>
      <w:r w:rsidRPr="00C4798F">
        <w:br/>
        <w:t>100 girls and young women from flood-affected and low-income families in Village Sehjra and nearby rural areas</w:t>
      </w:r>
    </w:p>
    <w:p w14:paraId="296B0E64" w14:textId="77777777" w:rsidR="00C4798F" w:rsidRPr="00C4798F" w:rsidRDefault="00C4798F" w:rsidP="00C4798F">
      <w:r w:rsidRPr="00C4798F">
        <w:rPr>
          <w:b/>
          <w:bCs/>
        </w:rPr>
        <w:t>Indirect beneficiaries:</w:t>
      </w:r>
      <w:r w:rsidRPr="00C4798F">
        <w:br/>
        <w:t>500 family members who will benefit from improved household income and resilience</w:t>
      </w:r>
    </w:p>
    <w:p w14:paraId="0B13E7D3" w14:textId="77777777" w:rsidR="00C4798F" w:rsidRPr="00C4798F" w:rsidRDefault="00C4798F" w:rsidP="00C4798F">
      <w:pPr>
        <w:rPr>
          <w:b/>
          <w:bCs/>
        </w:rPr>
      </w:pPr>
      <w:r w:rsidRPr="00C4798F">
        <w:rPr>
          <w:b/>
          <w:bCs/>
        </w:rPr>
        <w:t>Why Youth Advocacy Council Pakistan?</w:t>
      </w:r>
    </w:p>
    <w:p w14:paraId="494DF60E" w14:textId="77777777" w:rsidR="00E75221" w:rsidRPr="006D1E42" w:rsidRDefault="00E75221" w:rsidP="005A1177">
      <w:pPr>
        <w:pStyle w:val="NoSpacing"/>
        <w:jc w:val="both"/>
      </w:pPr>
      <w:r w:rsidRPr="006D1E42">
        <w:t xml:space="preserve">Youth Advocacy Council Pakistan is well placed to lead this project because it is a youth-led, registered organization that has been working since 2012 to empower youth and marginalized communities through social development, economic empowerment, capacity building, and community-based action. YAC has directly impacted more than 10,000 marginalized people and has strong experience in working with women, girls, youth, and rural communities facing poverty and exclusion. </w:t>
      </w:r>
    </w:p>
    <w:p w14:paraId="4CEB9674" w14:textId="3EAB856A" w:rsidR="00E75221" w:rsidRPr="006D1E42" w:rsidRDefault="00E75221" w:rsidP="005A1177">
      <w:pPr>
        <w:pStyle w:val="NoSpacing"/>
        <w:jc w:val="both"/>
      </w:pPr>
      <w:r w:rsidRPr="006D1E42">
        <w:t xml:space="preserve">YAC also has relevant field experience in Kasur, including flood relief for affected families, community-based work in flood-affected areas, and projects focused on empowerment, resilience, and practical skills development. Its profile highlights work on flood response in Kasur, a WaterAid-supported project on </w:t>
      </w:r>
      <w:r w:rsidRPr="006D1E42">
        <w:lastRenderedPageBreak/>
        <w:t>water and sanitation rights in flood-affected communities, and several youth empowerment and training initiatives. This local presence, community trust, and practical implementation experience make YAC a suitable organization to establish and manage a Girls Technical Skills Academy in Sehjra.</w:t>
      </w:r>
    </w:p>
    <w:p w14:paraId="5F66A464" w14:textId="77777777" w:rsidR="00C4798F" w:rsidRPr="00C4798F" w:rsidRDefault="00C4798F" w:rsidP="00C4798F">
      <w:pPr>
        <w:rPr>
          <w:b/>
          <w:bCs/>
        </w:rPr>
      </w:pPr>
      <w:r w:rsidRPr="00C4798F">
        <w:rPr>
          <w:b/>
          <w:bCs/>
        </w:rPr>
        <w:t>Sustainability</w:t>
      </w:r>
    </w:p>
    <w:p w14:paraId="54FD587D" w14:textId="77777777" w:rsidR="00E75221" w:rsidRPr="006D1E42" w:rsidRDefault="00E75221" w:rsidP="005A1177">
      <w:pPr>
        <w:pStyle w:val="NoSpacing"/>
        <w:jc w:val="both"/>
      </w:pPr>
      <w:r w:rsidRPr="006D1E42">
        <w:t xml:space="preserve">The project is designed to create benefits that continue beyond the initial funding period. The Girls Technical Skills Academy will equip participants with practical skills such as tailoring, embroidery, beauty services, handicrafts, and shoe </w:t>
      </w:r>
      <w:proofErr w:type="gramStart"/>
      <w:r w:rsidRPr="006D1E42">
        <w:t>making that</w:t>
      </w:r>
      <w:proofErr w:type="gramEnd"/>
      <w:r w:rsidRPr="006D1E42">
        <w:t xml:space="preserve"> </w:t>
      </w:r>
      <w:proofErr w:type="gramStart"/>
      <w:r w:rsidRPr="006D1E42">
        <w:t>they</w:t>
      </w:r>
      <w:proofErr w:type="gramEnd"/>
      <w:r w:rsidRPr="006D1E42">
        <w:t xml:space="preserve"> can continue using from home long after the training ends. Because these are marketable and locally relevant skills, girls will be able to earn income, support their families, and gradually build small home-based businesses with low operating costs.</w:t>
      </w:r>
    </w:p>
    <w:p w14:paraId="11CC2AB8" w14:textId="232619CA" w:rsidR="00E75221" w:rsidRPr="006D1E42" w:rsidRDefault="00E75221" w:rsidP="005A1177">
      <w:pPr>
        <w:pStyle w:val="NoSpacing"/>
        <w:jc w:val="both"/>
      </w:pPr>
      <w:r w:rsidRPr="006D1E42">
        <w:t>The academy’s equipment and training materials will remain in the community for future batches of girls, allowing the initiative to continue serving more participants over time. YAC will also work to build community ownership by engaging local families, community leaders, and participants so the academy is seen as a valuable local resource. As trained girls begin earning and demonstrating results, the model can be strengthened through local support, small community contributions, and future partnerships. In this way, the project will not only provide short-term training but also lay the foundation for lasting economic empowerment and resilience for girls in flood-affected communities.</w:t>
      </w:r>
    </w:p>
    <w:p w14:paraId="65E1CF1D" w14:textId="77777777" w:rsidR="00C4798F" w:rsidRPr="00C4798F" w:rsidRDefault="00C4798F" w:rsidP="00C4798F">
      <w:pPr>
        <w:rPr>
          <w:b/>
          <w:bCs/>
        </w:rPr>
      </w:pPr>
      <w:r w:rsidRPr="00C4798F">
        <w:rPr>
          <w:b/>
          <w:bCs/>
        </w:rPr>
        <w:t>Total Project Budget</w:t>
      </w:r>
    </w:p>
    <w:p w14:paraId="22D38A2B" w14:textId="77777777" w:rsidR="00C4798F" w:rsidRDefault="00C4798F" w:rsidP="00C4798F">
      <w:pPr>
        <w:rPr>
          <w:b/>
          <w:bCs/>
        </w:rPr>
      </w:pPr>
      <w:r w:rsidRPr="00C4798F">
        <w:rPr>
          <w:b/>
          <w:bCs/>
        </w:rPr>
        <w:t>Total Budget: $36,000</w:t>
      </w:r>
    </w:p>
    <w:tbl>
      <w:tblPr>
        <w:tblStyle w:val="TableGrid"/>
        <w:tblW w:w="0" w:type="auto"/>
        <w:tblLook w:val="04A0" w:firstRow="1" w:lastRow="0" w:firstColumn="1" w:lastColumn="0" w:noHBand="0" w:noVBand="1"/>
      </w:tblPr>
      <w:tblGrid>
        <w:gridCol w:w="7645"/>
        <w:gridCol w:w="1705"/>
      </w:tblGrid>
      <w:tr w:rsidR="005A1177" w14:paraId="79C39274" w14:textId="77777777" w:rsidTr="005A1177">
        <w:tc>
          <w:tcPr>
            <w:tcW w:w="7645" w:type="dxa"/>
          </w:tcPr>
          <w:p w14:paraId="72403220" w14:textId="20FC3B99" w:rsidR="005A1177" w:rsidRDefault="005A1177" w:rsidP="005A1177">
            <w:r w:rsidRPr="00C4798F">
              <w:rPr>
                <w:b/>
                <w:bCs/>
              </w:rPr>
              <w:t>Budget Item</w:t>
            </w:r>
          </w:p>
        </w:tc>
        <w:tc>
          <w:tcPr>
            <w:tcW w:w="1705" w:type="dxa"/>
            <w:vAlign w:val="center"/>
          </w:tcPr>
          <w:p w14:paraId="23CFE652" w14:textId="0BC6C299" w:rsidR="005A1177" w:rsidRDefault="005A1177" w:rsidP="005A1177">
            <w:r w:rsidRPr="00C4798F">
              <w:rPr>
                <w:b/>
                <w:bCs/>
              </w:rPr>
              <w:t>Amount (USD)</w:t>
            </w:r>
          </w:p>
        </w:tc>
      </w:tr>
      <w:tr w:rsidR="005A1177" w14:paraId="186E8138" w14:textId="77777777" w:rsidTr="003A43C7">
        <w:tc>
          <w:tcPr>
            <w:tcW w:w="7645" w:type="dxa"/>
            <w:vAlign w:val="center"/>
          </w:tcPr>
          <w:p w14:paraId="1A6790CF" w14:textId="7EE513B6" w:rsidR="005A1177" w:rsidRPr="00C4798F" w:rsidRDefault="005A1177" w:rsidP="005A1177">
            <w:pPr>
              <w:rPr>
                <w:b/>
                <w:bCs/>
              </w:rPr>
            </w:pPr>
            <w:r w:rsidRPr="00C4798F">
              <w:t>Academy setup, renovation, and training space preparation</w:t>
            </w:r>
          </w:p>
        </w:tc>
        <w:tc>
          <w:tcPr>
            <w:tcW w:w="1705" w:type="dxa"/>
            <w:vAlign w:val="center"/>
          </w:tcPr>
          <w:p w14:paraId="122B0BC0" w14:textId="35322946" w:rsidR="005A1177" w:rsidRPr="00C4798F" w:rsidRDefault="005A1177" w:rsidP="005A1177">
            <w:pPr>
              <w:rPr>
                <w:b/>
                <w:bCs/>
              </w:rPr>
            </w:pPr>
            <w:r w:rsidRPr="00C4798F">
              <w:t>4,500</w:t>
            </w:r>
          </w:p>
        </w:tc>
      </w:tr>
      <w:tr w:rsidR="005A1177" w14:paraId="7D47378B" w14:textId="77777777" w:rsidTr="003A43C7">
        <w:tc>
          <w:tcPr>
            <w:tcW w:w="7645" w:type="dxa"/>
            <w:vAlign w:val="center"/>
          </w:tcPr>
          <w:p w14:paraId="79D67D10" w14:textId="60663B85" w:rsidR="005A1177" w:rsidRPr="00C4798F" w:rsidRDefault="005A1177" w:rsidP="005A1177">
            <w:pPr>
              <w:rPr>
                <w:b/>
                <w:bCs/>
              </w:rPr>
            </w:pPr>
            <w:r w:rsidRPr="00C4798F">
              <w:t>Sewing machines, furniture, beauty kits, embroidery and shoe-making tools</w:t>
            </w:r>
          </w:p>
        </w:tc>
        <w:tc>
          <w:tcPr>
            <w:tcW w:w="1705" w:type="dxa"/>
            <w:vAlign w:val="center"/>
          </w:tcPr>
          <w:p w14:paraId="3488C054" w14:textId="4D063608" w:rsidR="005A1177" w:rsidRPr="00C4798F" w:rsidRDefault="005A1177" w:rsidP="005A1177">
            <w:pPr>
              <w:rPr>
                <w:b/>
                <w:bCs/>
              </w:rPr>
            </w:pPr>
            <w:r w:rsidRPr="00C4798F">
              <w:t>8,000</w:t>
            </w:r>
          </w:p>
        </w:tc>
      </w:tr>
      <w:tr w:rsidR="005A1177" w14:paraId="4598046A" w14:textId="77777777" w:rsidTr="003A43C7">
        <w:tc>
          <w:tcPr>
            <w:tcW w:w="7645" w:type="dxa"/>
            <w:vAlign w:val="center"/>
          </w:tcPr>
          <w:p w14:paraId="41FD1896" w14:textId="0253AD26" w:rsidR="005A1177" w:rsidRPr="00C4798F" w:rsidRDefault="005A1177" w:rsidP="005A1177">
            <w:pPr>
              <w:rPr>
                <w:b/>
                <w:bCs/>
              </w:rPr>
            </w:pPr>
            <w:r w:rsidRPr="00C4798F">
              <w:t>Training materials and consumable supplies</w:t>
            </w:r>
          </w:p>
        </w:tc>
        <w:tc>
          <w:tcPr>
            <w:tcW w:w="1705" w:type="dxa"/>
            <w:vAlign w:val="center"/>
          </w:tcPr>
          <w:p w14:paraId="25A4FD59" w14:textId="5F262EEB" w:rsidR="005A1177" w:rsidRPr="00C4798F" w:rsidRDefault="005A1177" w:rsidP="005A1177">
            <w:pPr>
              <w:rPr>
                <w:b/>
                <w:bCs/>
              </w:rPr>
            </w:pPr>
            <w:r w:rsidRPr="00C4798F">
              <w:t>4,500</w:t>
            </w:r>
          </w:p>
        </w:tc>
      </w:tr>
      <w:tr w:rsidR="005A1177" w14:paraId="6EE92DA7" w14:textId="77777777" w:rsidTr="003A43C7">
        <w:tc>
          <w:tcPr>
            <w:tcW w:w="7645" w:type="dxa"/>
            <w:vAlign w:val="center"/>
          </w:tcPr>
          <w:p w14:paraId="4381514B" w14:textId="56E2DC57" w:rsidR="005A1177" w:rsidRPr="00C4798F" w:rsidRDefault="005A1177" w:rsidP="005A1177">
            <w:pPr>
              <w:rPr>
                <w:b/>
                <w:bCs/>
              </w:rPr>
            </w:pPr>
            <w:r w:rsidRPr="00C4798F">
              <w:t>Trainers and technical instructors</w:t>
            </w:r>
          </w:p>
        </w:tc>
        <w:tc>
          <w:tcPr>
            <w:tcW w:w="1705" w:type="dxa"/>
            <w:vAlign w:val="center"/>
          </w:tcPr>
          <w:p w14:paraId="53188668" w14:textId="582BE6D2" w:rsidR="005A1177" w:rsidRPr="00C4798F" w:rsidRDefault="005A1177" w:rsidP="005A1177">
            <w:pPr>
              <w:rPr>
                <w:b/>
                <w:bCs/>
              </w:rPr>
            </w:pPr>
            <w:r w:rsidRPr="00C4798F">
              <w:t>8,400</w:t>
            </w:r>
          </w:p>
        </w:tc>
      </w:tr>
      <w:tr w:rsidR="005A1177" w14:paraId="46ED8B7B" w14:textId="77777777" w:rsidTr="003A43C7">
        <w:tc>
          <w:tcPr>
            <w:tcW w:w="7645" w:type="dxa"/>
            <w:vAlign w:val="center"/>
          </w:tcPr>
          <w:p w14:paraId="3FB7131A" w14:textId="2742F1BD" w:rsidR="005A1177" w:rsidRPr="00C4798F" w:rsidRDefault="005A1177" w:rsidP="005A1177">
            <w:pPr>
              <w:rPr>
                <w:b/>
                <w:bCs/>
              </w:rPr>
            </w:pPr>
            <w:r w:rsidRPr="00C4798F">
              <w:t>Project coordinator and support staff</w:t>
            </w:r>
          </w:p>
        </w:tc>
        <w:tc>
          <w:tcPr>
            <w:tcW w:w="1705" w:type="dxa"/>
            <w:vAlign w:val="center"/>
          </w:tcPr>
          <w:p w14:paraId="6D649679" w14:textId="4E40A545" w:rsidR="005A1177" w:rsidRPr="00C4798F" w:rsidRDefault="005A1177" w:rsidP="005A1177">
            <w:pPr>
              <w:rPr>
                <w:b/>
                <w:bCs/>
              </w:rPr>
            </w:pPr>
            <w:r w:rsidRPr="00C4798F">
              <w:t>4,200</w:t>
            </w:r>
          </w:p>
        </w:tc>
      </w:tr>
      <w:tr w:rsidR="005A1177" w14:paraId="46360C27" w14:textId="77777777" w:rsidTr="00C070D3">
        <w:tc>
          <w:tcPr>
            <w:tcW w:w="7645" w:type="dxa"/>
            <w:vAlign w:val="center"/>
          </w:tcPr>
          <w:p w14:paraId="2BBC5654" w14:textId="114AD35C" w:rsidR="005A1177" w:rsidRPr="00C4798F" w:rsidRDefault="005A1177" w:rsidP="005A1177">
            <w:pPr>
              <w:rPr>
                <w:b/>
                <w:bCs/>
              </w:rPr>
            </w:pPr>
            <w:r w:rsidRPr="00C4798F">
              <w:t>Business skills, mentoring, and confidence-building sessions</w:t>
            </w:r>
          </w:p>
        </w:tc>
        <w:tc>
          <w:tcPr>
            <w:tcW w:w="1705" w:type="dxa"/>
            <w:vAlign w:val="center"/>
          </w:tcPr>
          <w:p w14:paraId="7348AD87" w14:textId="7E9B33A1" w:rsidR="005A1177" w:rsidRPr="00C4798F" w:rsidRDefault="005A1177" w:rsidP="005A1177">
            <w:pPr>
              <w:rPr>
                <w:b/>
                <w:bCs/>
              </w:rPr>
            </w:pPr>
            <w:r w:rsidRPr="00C4798F">
              <w:t>1,500</w:t>
            </w:r>
          </w:p>
        </w:tc>
      </w:tr>
      <w:tr w:rsidR="005A1177" w14:paraId="519994CD" w14:textId="77777777" w:rsidTr="00C070D3">
        <w:tc>
          <w:tcPr>
            <w:tcW w:w="7645" w:type="dxa"/>
            <w:vAlign w:val="center"/>
          </w:tcPr>
          <w:p w14:paraId="230E6CD3" w14:textId="2318A512" w:rsidR="005A1177" w:rsidRPr="00C4798F" w:rsidRDefault="005A1177" w:rsidP="005A1177">
            <w:pPr>
              <w:rPr>
                <w:b/>
                <w:bCs/>
              </w:rPr>
            </w:pPr>
            <w:r w:rsidRPr="00C4798F">
              <w:t>Starter kits for selected graduates</w:t>
            </w:r>
          </w:p>
        </w:tc>
        <w:tc>
          <w:tcPr>
            <w:tcW w:w="1705" w:type="dxa"/>
            <w:vAlign w:val="center"/>
          </w:tcPr>
          <w:p w14:paraId="7B71A37B" w14:textId="03816781" w:rsidR="005A1177" w:rsidRPr="00C4798F" w:rsidRDefault="005A1177" w:rsidP="005A1177">
            <w:pPr>
              <w:rPr>
                <w:b/>
                <w:bCs/>
              </w:rPr>
            </w:pPr>
            <w:r w:rsidRPr="00C4798F">
              <w:t>2,500</w:t>
            </w:r>
          </w:p>
        </w:tc>
      </w:tr>
      <w:tr w:rsidR="005A1177" w14:paraId="2D447CDC" w14:textId="77777777" w:rsidTr="00C070D3">
        <w:tc>
          <w:tcPr>
            <w:tcW w:w="7645" w:type="dxa"/>
            <w:vAlign w:val="center"/>
          </w:tcPr>
          <w:p w14:paraId="542ECCB1" w14:textId="166C69AD" w:rsidR="005A1177" w:rsidRPr="00C4798F" w:rsidRDefault="005A1177" w:rsidP="005A1177">
            <w:pPr>
              <w:rPr>
                <w:b/>
                <w:bCs/>
              </w:rPr>
            </w:pPr>
            <w:r w:rsidRPr="00C4798F">
              <w:t>Monitoring, documentation, and reporting</w:t>
            </w:r>
          </w:p>
        </w:tc>
        <w:tc>
          <w:tcPr>
            <w:tcW w:w="1705" w:type="dxa"/>
            <w:vAlign w:val="center"/>
          </w:tcPr>
          <w:p w14:paraId="226F9219" w14:textId="581ED2F6" w:rsidR="005A1177" w:rsidRPr="00C4798F" w:rsidRDefault="005A1177" w:rsidP="005A1177">
            <w:pPr>
              <w:rPr>
                <w:b/>
                <w:bCs/>
              </w:rPr>
            </w:pPr>
            <w:r w:rsidRPr="00C4798F">
              <w:t>1,200</w:t>
            </w:r>
          </w:p>
        </w:tc>
      </w:tr>
      <w:tr w:rsidR="005A1177" w14:paraId="2B075505" w14:textId="77777777" w:rsidTr="00C070D3">
        <w:tc>
          <w:tcPr>
            <w:tcW w:w="7645" w:type="dxa"/>
            <w:vAlign w:val="center"/>
          </w:tcPr>
          <w:p w14:paraId="24E1A335" w14:textId="318FFB4A" w:rsidR="005A1177" w:rsidRPr="00C4798F" w:rsidRDefault="005A1177" w:rsidP="005A1177">
            <w:pPr>
              <w:rPr>
                <w:b/>
                <w:bCs/>
              </w:rPr>
            </w:pPr>
            <w:r w:rsidRPr="00C4798F">
              <w:t>Administrative and communication costs</w:t>
            </w:r>
          </w:p>
        </w:tc>
        <w:tc>
          <w:tcPr>
            <w:tcW w:w="1705" w:type="dxa"/>
            <w:vAlign w:val="center"/>
          </w:tcPr>
          <w:p w14:paraId="7F3EE5EB" w14:textId="7BA80A24" w:rsidR="005A1177" w:rsidRPr="00C4798F" w:rsidRDefault="005A1177" w:rsidP="005A1177">
            <w:pPr>
              <w:rPr>
                <w:b/>
                <w:bCs/>
              </w:rPr>
            </w:pPr>
            <w:r w:rsidRPr="00C4798F">
              <w:t>1,200</w:t>
            </w:r>
          </w:p>
        </w:tc>
      </w:tr>
      <w:tr w:rsidR="005A1177" w14:paraId="47ED3140" w14:textId="77777777" w:rsidTr="005A1177">
        <w:tc>
          <w:tcPr>
            <w:tcW w:w="7645" w:type="dxa"/>
          </w:tcPr>
          <w:p w14:paraId="0BED2D56" w14:textId="47D7DA05" w:rsidR="005A1177" w:rsidRPr="00C4798F" w:rsidRDefault="005A1177" w:rsidP="005A1177">
            <w:pPr>
              <w:rPr>
                <w:b/>
                <w:bCs/>
              </w:rPr>
            </w:pPr>
            <w:r w:rsidRPr="00C4798F">
              <w:rPr>
                <w:b/>
                <w:bCs/>
              </w:rPr>
              <w:t xml:space="preserve">Total Budget: </w:t>
            </w:r>
          </w:p>
        </w:tc>
        <w:tc>
          <w:tcPr>
            <w:tcW w:w="1705" w:type="dxa"/>
            <w:vAlign w:val="center"/>
          </w:tcPr>
          <w:p w14:paraId="24F0E0CF" w14:textId="314F3CAF" w:rsidR="005A1177" w:rsidRPr="00C4798F" w:rsidRDefault="005A1177" w:rsidP="005A1177">
            <w:pPr>
              <w:rPr>
                <w:b/>
                <w:bCs/>
              </w:rPr>
            </w:pPr>
            <w:r w:rsidRPr="00C4798F">
              <w:rPr>
                <w:b/>
                <w:bCs/>
              </w:rPr>
              <w:t>$36,000</w:t>
            </w:r>
          </w:p>
        </w:tc>
      </w:tr>
    </w:tbl>
    <w:p w14:paraId="292F84BF" w14:textId="12E220E5" w:rsidR="003145E9" w:rsidRPr="003145E9" w:rsidRDefault="003145E9" w:rsidP="00C4798F"/>
    <w:sectPr w:rsidR="003145E9" w:rsidRPr="003145E9" w:rsidSect="00077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5CB4"/>
    <w:multiLevelType w:val="multilevel"/>
    <w:tmpl w:val="3AE26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45164"/>
    <w:multiLevelType w:val="multilevel"/>
    <w:tmpl w:val="4108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D11C5"/>
    <w:multiLevelType w:val="hybridMultilevel"/>
    <w:tmpl w:val="E9DA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24673"/>
    <w:multiLevelType w:val="multilevel"/>
    <w:tmpl w:val="E70C7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FD26E7"/>
    <w:multiLevelType w:val="hybridMultilevel"/>
    <w:tmpl w:val="5E4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E67CEA"/>
    <w:multiLevelType w:val="multilevel"/>
    <w:tmpl w:val="CF1E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205C28"/>
    <w:multiLevelType w:val="hybridMultilevel"/>
    <w:tmpl w:val="5BFE7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1213083">
    <w:abstractNumId w:val="1"/>
  </w:num>
  <w:num w:numId="2" w16cid:durableId="942568376">
    <w:abstractNumId w:val="0"/>
  </w:num>
  <w:num w:numId="3" w16cid:durableId="1336835256">
    <w:abstractNumId w:val="3"/>
  </w:num>
  <w:num w:numId="4" w16cid:durableId="491215621">
    <w:abstractNumId w:val="5"/>
  </w:num>
  <w:num w:numId="5" w16cid:durableId="1747221308">
    <w:abstractNumId w:val="6"/>
  </w:num>
  <w:num w:numId="6" w16cid:durableId="1483736505">
    <w:abstractNumId w:val="4"/>
  </w:num>
  <w:num w:numId="7" w16cid:durableId="1218466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E9"/>
    <w:rsid w:val="00077106"/>
    <w:rsid w:val="00155B7C"/>
    <w:rsid w:val="00170AE4"/>
    <w:rsid w:val="001C1AFE"/>
    <w:rsid w:val="003145E9"/>
    <w:rsid w:val="004D0E0E"/>
    <w:rsid w:val="005A1177"/>
    <w:rsid w:val="007F7FD9"/>
    <w:rsid w:val="00831B1C"/>
    <w:rsid w:val="00C4798F"/>
    <w:rsid w:val="00CA358C"/>
    <w:rsid w:val="00E4407C"/>
    <w:rsid w:val="00E752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B971"/>
  <w15:chartTrackingRefBased/>
  <w15:docId w15:val="{AC2E68AB-81CE-4C74-BF2C-A5871005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D9"/>
  </w:style>
  <w:style w:type="paragraph" w:styleId="Heading1">
    <w:name w:val="heading 1"/>
    <w:basedOn w:val="Normal"/>
    <w:next w:val="Normal"/>
    <w:link w:val="Heading1Char"/>
    <w:uiPriority w:val="9"/>
    <w:qFormat/>
    <w:rsid w:val="007F7FD9"/>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7F7FD9"/>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FD9"/>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FD9"/>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7F7FD9"/>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7F7FD9"/>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7F7FD9"/>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7F7FD9"/>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7F7FD9"/>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FD9"/>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7F7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FD9"/>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FD9"/>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7F7FD9"/>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7F7FD9"/>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7F7FD9"/>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7F7FD9"/>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7F7FD9"/>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7F7FD9"/>
    <w:pPr>
      <w:spacing w:line="240" w:lineRule="auto"/>
    </w:pPr>
    <w:rPr>
      <w:b/>
      <w:bCs/>
      <w:smallCaps/>
      <w:color w:val="0E2841" w:themeColor="text2"/>
    </w:rPr>
  </w:style>
  <w:style w:type="paragraph" w:styleId="Title">
    <w:name w:val="Title"/>
    <w:basedOn w:val="Normal"/>
    <w:next w:val="Normal"/>
    <w:link w:val="TitleChar"/>
    <w:uiPriority w:val="10"/>
    <w:qFormat/>
    <w:rsid w:val="007F7FD9"/>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7F7FD9"/>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7F7FD9"/>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7F7FD9"/>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7F7FD9"/>
    <w:rPr>
      <w:b/>
      <w:bCs/>
    </w:rPr>
  </w:style>
  <w:style w:type="character" w:styleId="Emphasis">
    <w:name w:val="Emphasis"/>
    <w:basedOn w:val="DefaultParagraphFont"/>
    <w:uiPriority w:val="20"/>
    <w:qFormat/>
    <w:rsid w:val="007F7FD9"/>
    <w:rPr>
      <w:i/>
      <w:iCs/>
    </w:rPr>
  </w:style>
  <w:style w:type="paragraph" w:styleId="NoSpacing">
    <w:name w:val="No Spacing"/>
    <w:uiPriority w:val="1"/>
    <w:qFormat/>
    <w:rsid w:val="007F7FD9"/>
    <w:pPr>
      <w:spacing w:after="0" w:line="240" w:lineRule="auto"/>
    </w:pPr>
  </w:style>
  <w:style w:type="paragraph" w:styleId="Quote">
    <w:name w:val="Quote"/>
    <w:basedOn w:val="Normal"/>
    <w:next w:val="Normal"/>
    <w:link w:val="QuoteChar"/>
    <w:uiPriority w:val="29"/>
    <w:qFormat/>
    <w:rsid w:val="007F7FD9"/>
    <w:pPr>
      <w:spacing w:before="120"/>
      <w:ind w:left="720"/>
    </w:pPr>
    <w:rPr>
      <w:color w:val="0E2841" w:themeColor="text2"/>
      <w:sz w:val="24"/>
      <w:szCs w:val="24"/>
    </w:rPr>
  </w:style>
  <w:style w:type="character" w:customStyle="1" w:styleId="QuoteChar">
    <w:name w:val="Quote Char"/>
    <w:basedOn w:val="DefaultParagraphFont"/>
    <w:link w:val="Quote"/>
    <w:uiPriority w:val="29"/>
    <w:rsid w:val="007F7FD9"/>
    <w:rPr>
      <w:color w:val="0E2841" w:themeColor="text2"/>
      <w:sz w:val="24"/>
      <w:szCs w:val="24"/>
    </w:rPr>
  </w:style>
  <w:style w:type="paragraph" w:styleId="IntenseQuote">
    <w:name w:val="Intense Quote"/>
    <w:basedOn w:val="Normal"/>
    <w:next w:val="Normal"/>
    <w:link w:val="IntenseQuoteChar"/>
    <w:uiPriority w:val="30"/>
    <w:qFormat/>
    <w:rsid w:val="007F7FD9"/>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7F7FD9"/>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7F7FD9"/>
    <w:rPr>
      <w:i/>
      <w:iCs/>
      <w:color w:val="595959" w:themeColor="text1" w:themeTint="A6"/>
    </w:rPr>
  </w:style>
  <w:style w:type="character" w:styleId="IntenseEmphasis">
    <w:name w:val="Intense Emphasis"/>
    <w:basedOn w:val="DefaultParagraphFont"/>
    <w:uiPriority w:val="21"/>
    <w:qFormat/>
    <w:rsid w:val="007F7FD9"/>
    <w:rPr>
      <w:b/>
      <w:bCs/>
      <w:i/>
      <w:iCs/>
    </w:rPr>
  </w:style>
  <w:style w:type="character" w:styleId="SubtleReference">
    <w:name w:val="Subtle Reference"/>
    <w:basedOn w:val="DefaultParagraphFont"/>
    <w:uiPriority w:val="31"/>
    <w:qFormat/>
    <w:rsid w:val="007F7FD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F7FD9"/>
    <w:rPr>
      <w:b/>
      <w:bCs/>
      <w:smallCaps/>
      <w:color w:val="0E2841" w:themeColor="text2"/>
      <w:u w:val="single"/>
    </w:rPr>
  </w:style>
  <w:style w:type="character" w:styleId="BookTitle">
    <w:name w:val="Book Title"/>
    <w:basedOn w:val="DefaultParagraphFont"/>
    <w:uiPriority w:val="33"/>
    <w:qFormat/>
    <w:rsid w:val="007F7FD9"/>
    <w:rPr>
      <w:b/>
      <w:bCs/>
      <w:smallCaps/>
      <w:spacing w:val="10"/>
    </w:rPr>
  </w:style>
  <w:style w:type="paragraph" w:styleId="TOCHeading">
    <w:name w:val="TOC Heading"/>
    <w:basedOn w:val="Heading1"/>
    <w:next w:val="Normal"/>
    <w:uiPriority w:val="39"/>
    <w:semiHidden/>
    <w:unhideWhenUsed/>
    <w:qFormat/>
    <w:rsid w:val="007F7FD9"/>
    <w:pPr>
      <w:outlineLvl w:val="9"/>
    </w:pPr>
  </w:style>
  <w:style w:type="paragraph" w:styleId="ListParagraph">
    <w:name w:val="List Paragraph"/>
    <w:basedOn w:val="Normal"/>
    <w:uiPriority w:val="34"/>
    <w:qFormat/>
    <w:rsid w:val="003145E9"/>
    <w:pPr>
      <w:ind w:left="720"/>
      <w:contextualSpacing/>
    </w:pPr>
  </w:style>
  <w:style w:type="table" w:styleId="TableGrid">
    <w:name w:val="Table Grid"/>
    <w:basedOn w:val="TableNormal"/>
    <w:uiPriority w:val="39"/>
    <w:rsid w:val="005A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7406</Characters>
  <Application>Microsoft Office Word</Application>
  <DocSecurity>0</DocSecurity>
  <Lines>127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Awais Abid</dc:creator>
  <cp:keywords/>
  <dc:description/>
  <cp:lastModifiedBy>Awais Abid</cp:lastModifiedBy>
  <cp:revision>3</cp:revision>
  <dcterms:created xsi:type="dcterms:W3CDTF">2026-03-10T12:45:00Z</dcterms:created>
  <dcterms:modified xsi:type="dcterms:W3CDTF">2026-03-10T12:46:00Z</dcterms:modified>
</cp:coreProperties>
</file>