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21763495"/>
        <w:docPartObj>
          <w:docPartGallery w:val="Cover Pages"/>
          <w:docPartUnique/>
        </w:docPartObj>
      </w:sdtPr>
      <w:sdtEndPr>
        <w:rPr>
          <w:rFonts w:ascii="Times New Roman" w:hAnsi="Times New Roman" w:cs="Times New Roman"/>
          <w:b/>
          <w:bCs/>
          <w:sz w:val="24"/>
          <w:szCs w:val="24"/>
          <w:lang w:val="en-US"/>
        </w:rPr>
      </w:sdtEndPr>
      <w:sdtContent>
        <w:p w:rsidR="00233CDB" w:rsidRPr="00AB18CB" w:rsidRDefault="00233CDB" w:rsidP="00233CDB">
          <w:pPr>
            <w:jc w:val="center"/>
            <w:rPr>
              <w:rFonts w:ascii="Times New Roman" w:hAnsi="Times New Roman" w:cs="Times New Roman"/>
              <w:b/>
              <w:bCs/>
              <w:sz w:val="32"/>
              <w:szCs w:val="24"/>
              <w:lang w:val="en-US"/>
            </w:rPr>
          </w:pPr>
          <w:r w:rsidRPr="00AB18CB">
            <w:rPr>
              <w:rFonts w:ascii="Times New Roman" w:hAnsi="Times New Roman" w:cs="Times New Roman"/>
              <w:b/>
              <w:bCs/>
              <w:sz w:val="32"/>
              <w:szCs w:val="24"/>
              <w:lang w:val="en-US"/>
            </w:rPr>
            <w:t>YOUTH WITH A MISSION – R.D.CONGO</w:t>
          </w:r>
        </w:p>
        <w:p w:rsidR="00233CDB" w:rsidRPr="00AB18CB" w:rsidRDefault="00233CDB" w:rsidP="00233CDB">
          <w:pPr>
            <w:jc w:val="center"/>
            <w:rPr>
              <w:rFonts w:ascii="Times New Roman" w:hAnsi="Times New Roman" w:cs="Times New Roman"/>
              <w:b/>
              <w:bCs/>
              <w:sz w:val="32"/>
              <w:szCs w:val="24"/>
              <w:lang w:val="en-US"/>
            </w:rPr>
          </w:pPr>
          <w:r w:rsidRPr="00AB18CB">
            <w:rPr>
              <w:rFonts w:ascii="Times New Roman" w:hAnsi="Times New Roman" w:cs="Times New Roman"/>
              <w:b/>
              <w:bCs/>
              <w:noProof/>
              <w:sz w:val="32"/>
              <w:szCs w:val="24"/>
              <w:lang w:eastAsia="fr-FR"/>
            </w:rPr>
            <w:drawing>
              <wp:inline distT="0" distB="0" distL="0" distR="0" wp14:anchorId="2E9575D2" wp14:editId="36D5B9CE">
                <wp:extent cx="1043435" cy="57848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6859" cy="585927"/>
                        </a:xfrm>
                        <a:prstGeom prst="rect">
                          <a:avLst/>
                        </a:prstGeom>
                        <a:noFill/>
                        <a:ln>
                          <a:noFill/>
                        </a:ln>
                      </pic:spPr>
                    </pic:pic>
                  </a:graphicData>
                </a:graphic>
              </wp:inline>
            </w:drawing>
          </w:r>
        </w:p>
        <w:p w:rsidR="00233CDB" w:rsidRDefault="00233CDB" w:rsidP="00233CDB">
          <w:pPr>
            <w:jc w:val="center"/>
            <w:rPr>
              <w:rFonts w:ascii="Times New Roman" w:hAnsi="Times New Roman" w:cs="Times New Roman"/>
              <w:b/>
              <w:bCs/>
              <w:sz w:val="32"/>
              <w:szCs w:val="24"/>
            </w:rPr>
          </w:pPr>
          <w:r w:rsidRPr="00FD76DD">
            <w:rPr>
              <w:rFonts w:ascii="Times New Roman" w:hAnsi="Times New Roman" w:cs="Times New Roman"/>
              <w:b/>
              <w:bCs/>
              <w:sz w:val="32"/>
              <w:szCs w:val="24"/>
            </w:rPr>
            <w:t>YWAM - D.R.C</w:t>
          </w:r>
        </w:p>
        <w:p w:rsidR="00233CDB" w:rsidRDefault="00233CDB" w:rsidP="00233CDB">
          <w:pPr>
            <w:jc w:val="center"/>
            <w:rPr>
              <w:rFonts w:ascii="Times New Roman" w:hAnsi="Times New Roman" w:cs="Times New Roman"/>
              <w:b/>
              <w:bCs/>
              <w:sz w:val="32"/>
              <w:szCs w:val="24"/>
              <w:lang w:val="en-US"/>
            </w:rPr>
          </w:pPr>
          <w:r w:rsidRPr="00233CDB">
            <w:rPr>
              <w:rFonts w:ascii="Times New Roman" w:hAnsi="Times New Roman" w:cs="Times New Roman"/>
              <w:b/>
              <w:bCs/>
              <w:sz w:val="32"/>
              <w:szCs w:val="24"/>
              <w:lang w:val="en-US"/>
            </w:rPr>
            <w:t>Concept Note</w:t>
          </w:r>
        </w:p>
        <w:p w:rsidR="00817549" w:rsidRPr="00817549" w:rsidRDefault="00817549" w:rsidP="00817549">
          <w:pPr>
            <w:shd w:val="clear" w:color="auto" w:fill="FFC000" w:themeFill="accent4"/>
            <w:rPr>
              <w:rFonts w:ascii="Times New Roman" w:hAnsi="Times New Roman" w:cs="Times New Roman"/>
              <w:sz w:val="24"/>
              <w:szCs w:val="24"/>
              <w:lang w:val="en-US"/>
            </w:rPr>
          </w:pPr>
          <w:r w:rsidRPr="00817549">
            <w:rPr>
              <w:rFonts w:ascii="Times New Roman" w:hAnsi="Times New Roman" w:cs="Times New Roman"/>
              <w:b/>
              <w:bCs/>
              <w:sz w:val="24"/>
              <w:szCs w:val="24"/>
              <w:lang w:val="en-US"/>
            </w:rPr>
            <w:t>Community Listening and Support Program for War Victims (EAC-VG)</w:t>
          </w:r>
          <w:r w:rsidRPr="00817549">
            <w:rPr>
              <w:rFonts w:ascii="Times New Roman" w:hAnsi="Times New Roman" w:cs="Times New Roman"/>
              <w:sz w:val="24"/>
              <w:szCs w:val="24"/>
              <w:lang w:val="en-US"/>
            </w:rPr>
            <w:br/>
          </w:r>
          <w:r w:rsidRPr="00817549">
            <w:rPr>
              <w:rFonts w:ascii="Times New Roman" w:hAnsi="Times New Roman" w:cs="Times New Roman"/>
              <w:b/>
              <w:bCs/>
              <w:sz w:val="24"/>
              <w:szCs w:val="24"/>
              <w:lang w:val="en-US"/>
            </w:rPr>
            <w:t>Pilot phase – Uvira, South Kivu, Democratic Republic of Congo</w:t>
          </w:r>
        </w:p>
        <w:p w:rsidR="00233CDB" w:rsidRPr="00233CDB" w:rsidRDefault="00817549" w:rsidP="00817549">
          <w:pPr>
            <w:shd w:val="clear" w:color="auto" w:fill="FFC000" w:themeFill="accent4"/>
            <w:spacing w:after="0"/>
            <w:rPr>
              <w:rFonts w:ascii="Times New Roman" w:hAnsi="Times New Roman" w:cs="Times New Roman"/>
              <w:sz w:val="32"/>
              <w:szCs w:val="24"/>
              <w:lang w:val="en-US"/>
            </w:rPr>
          </w:pPr>
          <w:r w:rsidRPr="00817549">
            <w:rPr>
              <w:rFonts w:ascii="Times New Roman" w:hAnsi="Times New Roman" w:cs="Times New Roman"/>
              <w:b/>
              <w:bCs/>
              <w:sz w:val="24"/>
              <w:szCs w:val="24"/>
              <w:lang w:val="en-US"/>
            </w:rPr>
            <w:t>Duration:</w:t>
          </w:r>
          <w:r w:rsidRPr="00817549">
            <w:rPr>
              <w:rFonts w:ascii="Times New Roman" w:hAnsi="Times New Roman" w:cs="Times New Roman"/>
              <w:sz w:val="24"/>
              <w:szCs w:val="24"/>
              <w:lang w:val="en-US"/>
            </w:rPr>
            <w:t> 12 months (April – March 2027)</w:t>
          </w:r>
          <w:r w:rsidRPr="00817549">
            <w:rPr>
              <w:rFonts w:ascii="Times New Roman" w:hAnsi="Times New Roman" w:cs="Times New Roman"/>
              <w:sz w:val="24"/>
              <w:szCs w:val="24"/>
              <w:lang w:val="en-US"/>
            </w:rPr>
            <w:br/>
          </w:r>
          <w:r w:rsidRPr="00817549">
            <w:rPr>
              <w:rFonts w:ascii="Times New Roman" w:hAnsi="Times New Roman" w:cs="Times New Roman"/>
              <w:b/>
              <w:bCs/>
              <w:sz w:val="24"/>
              <w:szCs w:val="24"/>
              <w:lang w:val="en-US"/>
            </w:rPr>
            <w:t>Total budget:</w:t>
          </w:r>
          <w:r w:rsidRPr="00817549">
            <w:rPr>
              <w:rFonts w:ascii="Times New Roman" w:hAnsi="Times New Roman" w:cs="Times New Roman"/>
              <w:sz w:val="24"/>
              <w:szCs w:val="24"/>
              <w:lang w:val="en-US"/>
            </w:rPr>
            <w:t> 30,000 USD</w:t>
          </w:r>
          <w:r w:rsidRPr="00817549">
            <w:rPr>
              <w:rFonts w:ascii="Times New Roman" w:hAnsi="Times New Roman" w:cs="Times New Roman"/>
              <w:sz w:val="24"/>
              <w:szCs w:val="24"/>
              <w:lang w:val="en-US"/>
            </w:rPr>
            <w:br/>
          </w:r>
          <w:r w:rsidRPr="00817549">
            <w:rPr>
              <w:rFonts w:ascii="Times New Roman" w:hAnsi="Times New Roman" w:cs="Times New Roman"/>
              <w:b/>
              <w:bCs/>
              <w:sz w:val="24"/>
              <w:szCs w:val="24"/>
              <w:lang w:val="en-US"/>
            </w:rPr>
            <w:t>Sector / Cluster:</w:t>
          </w:r>
          <w:r w:rsidRPr="00817549">
            <w:rPr>
              <w:rFonts w:ascii="Times New Roman" w:hAnsi="Times New Roman" w:cs="Times New Roman"/>
              <w:sz w:val="24"/>
              <w:szCs w:val="24"/>
              <w:lang w:val="en-US"/>
            </w:rPr>
            <w:t> Protection – MHPSS – PSEAH</w:t>
          </w:r>
          <w:r w:rsidRPr="00817549">
            <w:rPr>
              <w:rFonts w:ascii="Times New Roman" w:hAnsi="Times New Roman" w:cs="Times New Roman"/>
              <w:sz w:val="24"/>
              <w:szCs w:val="24"/>
              <w:lang w:val="en-US"/>
            </w:rPr>
            <w:br/>
          </w:r>
          <w:r w:rsidRPr="00817549">
            <w:rPr>
              <w:rFonts w:ascii="Times New Roman" w:hAnsi="Times New Roman" w:cs="Times New Roman"/>
              <w:b/>
              <w:bCs/>
              <w:sz w:val="24"/>
              <w:szCs w:val="24"/>
              <w:lang w:val="en-US"/>
            </w:rPr>
            <w:t>Area of intervention:</w:t>
          </w:r>
          <w:r w:rsidRPr="00817549">
            <w:rPr>
              <w:rFonts w:ascii="Times New Roman" w:hAnsi="Times New Roman" w:cs="Times New Roman"/>
              <w:sz w:val="24"/>
              <w:szCs w:val="24"/>
              <w:lang w:val="en-US"/>
            </w:rPr>
            <w:t> Uvira and surroundings (South Kivu)</w:t>
          </w:r>
          <w:r w:rsidRPr="00817549">
            <w:rPr>
              <w:rFonts w:ascii="Times New Roman" w:hAnsi="Times New Roman" w:cs="Times New Roman"/>
              <w:sz w:val="24"/>
              <w:szCs w:val="24"/>
              <w:lang w:val="en-US"/>
            </w:rPr>
            <w:br/>
          </w:r>
          <w:r w:rsidRPr="00817549">
            <w:rPr>
              <w:rFonts w:ascii="Times New Roman" w:hAnsi="Times New Roman" w:cs="Times New Roman"/>
              <w:b/>
              <w:bCs/>
              <w:sz w:val="24"/>
              <w:szCs w:val="24"/>
              <w:lang w:val="en-US"/>
            </w:rPr>
            <w:t>Implementing organization:</w:t>
          </w:r>
          <w:r w:rsidRPr="00817549">
            <w:rPr>
              <w:rFonts w:ascii="Times New Roman" w:hAnsi="Times New Roman" w:cs="Times New Roman"/>
              <w:sz w:val="24"/>
              <w:szCs w:val="24"/>
              <w:lang w:val="en-US"/>
            </w:rPr>
            <w:t> YWAM</w:t>
          </w:r>
          <w:r w:rsidRPr="00817549">
            <w:rPr>
              <w:rFonts w:ascii="Times New Roman" w:hAnsi="Times New Roman" w:cs="Times New Roman"/>
              <w:sz w:val="24"/>
              <w:szCs w:val="24"/>
              <w:lang w:val="en-US"/>
            </w:rPr>
            <w:br/>
          </w:r>
          <w:r w:rsidRPr="00817549">
            <w:rPr>
              <w:rFonts w:ascii="Times New Roman" w:hAnsi="Times New Roman" w:cs="Times New Roman"/>
              <w:b/>
              <w:bCs/>
              <w:sz w:val="24"/>
              <w:szCs w:val="24"/>
              <w:lang w:val="en-US"/>
            </w:rPr>
            <w:t>Key partners:</w:t>
          </w:r>
          <w:r w:rsidRPr="00817549">
            <w:rPr>
              <w:rFonts w:ascii="Times New Roman" w:hAnsi="Times New Roman" w:cs="Times New Roman"/>
              <w:sz w:val="24"/>
              <w:szCs w:val="24"/>
              <w:lang w:val="en-US"/>
            </w:rPr>
            <w:t> Local chieftaincies, provincial authorities</w:t>
          </w:r>
        </w:p>
        <w:p w:rsidR="00817549" w:rsidRDefault="00233CDB" w:rsidP="00817549">
          <w:pPr>
            <w:spacing w:after="0"/>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fr-FR"/>
            </w:rPr>
            <w:drawing>
              <wp:inline distT="0" distB="0" distL="0" distR="0" wp14:anchorId="5EF2D172">
                <wp:extent cx="6151245" cy="27679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2767965"/>
                        </a:xfrm>
                        <a:prstGeom prst="rect">
                          <a:avLst/>
                        </a:prstGeom>
                        <a:noFill/>
                      </pic:spPr>
                    </pic:pic>
                  </a:graphicData>
                </a:graphic>
              </wp:inline>
            </w:drawing>
          </w:r>
        </w:p>
        <w:p w:rsidR="00817549" w:rsidRPr="00817549" w:rsidRDefault="00817549" w:rsidP="00817549">
          <w:pPr>
            <w:spacing w:after="0"/>
            <w:jc w:val="center"/>
            <w:rPr>
              <w:rFonts w:ascii="Times New Roman" w:hAnsi="Times New Roman" w:cs="Times New Roman"/>
              <w:b/>
              <w:sz w:val="28"/>
              <w:szCs w:val="24"/>
              <w:lang w:val="en-US"/>
            </w:rPr>
          </w:pPr>
          <w:r w:rsidRPr="00817549">
            <w:rPr>
              <w:rFonts w:ascii="Times New Roman" w:hAnsi="Times New Roman" w:cs="Times New Roman"/>
              <w:b/>
              <w:sz w:val="28"/>
              <w:szCs w:val="24"/>
              <w:lang w:val="en-US"/>
            </w:rPr>
            <w:t>“Each donation, a listening ear. Each listening ear, a life restored.”​</w:t>
          </w:r>
        </w:p>
        <w:p w:rsidR="00817549" w:rsidRDefault="00817549" w:rsidP="00817549">
          <w:pPr>
            <w:rPr>
              <w:rFonts w:ascii="Times New Roman" w:hAnsi="Times New Roman" w:cs="Times New Roman"/>
              <w:sz w:val="24"/>
              <w:szCs w:val="24"/>
              <w:lang w:val="en-US"/>
            </w:rPr>
          </w:pPr>
        </w:p>
        <w:p w:rsidR="00817549" w:rsidRDefault="00817549" w:rsidP="00817549">
          <w:pPr>
            <w:rPr>
              <w:rFonts w:ascii="Times New Roman" w:hAnsi="Times New Roman" w:cs="Times New Roman"/>
              <w:sz w:val="24"/>
              <w:szCs w:val="24"/>
              <w:lang w:val="en-US"/>
            </w:rPr>
          </w:pPr>
          <w:r w:rsidRPr="00233CDB">
            <w:rPr>
              <w:rFonts w:ascii="Times New Roman" w:hAnsi="Times New Roman" w:cs="Times New Roman"/>
              <w:sz w:val="24"/>
              <w:szCs w:val="24"/>
              <w:lang w:val="en-US"/>
            </w:rPr>
            <w:t>Kavimvira, Uvira, South Kivu, DR Congo</w:t>
          </w:r>
          <w:r w:rsidRPr="00233CDB">
            <w:rPr>
              <w:rFonts w:ascii="Times New Roman" w:hAnsi="Times New Roman" w:cs="Times New Roman"/>
              <w:sz w:val="24"/>
              <w:szCs w:val="24"/>
              <w:lang w:val="en-US"/>
            </w:rPr>
            <w:br/>
            <w:t>P.O. Box 1528 Bujumbura – Burundi</w:t>
          </w:r>
          <w:r w:rsidRPr="00233CDB">
            <w:rPr>
              <w:rFonts w:ascii="Times New Roman" w:hAnsi="Times New Roman" w:cs="Times New Roman"/>
              <w:sz w:val="24"/>
              <w:szCs w:val="24"/>
              <w:lang w:val="en-US"/>
            </w:rPr>
            <w:br/>
            <w:t>Phone: +243 853 190 312, +243 998 124 799</w:t>
          </w:r>
          <w:r w:rsidRPr="00233CDB">
            <w:rPr>
              <w:rFonts w:ascii="Times New Roman" w:hAnsi="Times New Roman" w:cs="Times New Roman"/>
              <w:sz w:val="24"/>
              <w:szCs w:val="24"/>
              <w:lang w:val="en-US"/>
            </w:rPr>
            <w:br/>
            <w:t>E-mail: </w:t>
          </w:r>
          <w:hyperlink r:id="rId7" w:tgtFrame="_blank" w:history="1">
            <w:r w:rsidRPr="00233CDB">
              <w:rPr>
                <w:rStyle w:val="Hyperlink"/>
                <w:rFonts w:ascii="Times New Roman" w:hAnsi="Times New Roman" w:cs="Times New Roman"/>
                <w:sz w:val="24"/>
                <w:szCs w:val="24"/>
                <w:lang w:val="en-US"/>
              </w:rPr>
              <w:t>ywamdrcongo@gmail.com</w:t>
            </w:r>
          </w:hyperlink>
          <w:r w:rsidRPr="00233CDB">
            <w:rPr>
              <w:rFonts w:ascii="Times New Roman" w:hAnsi="Times New Roman" w:cs="Times New Roman"/>
              <w:sz w:val="24"/>
              <w:szCs w:val="24"/>
              <w:lang w:val="en-US"/>
            </w:rPr>
            <w:t>, </w:t>
          </w:r>
          <w:hyperlink r:id="rId8" w:tgtFrame="_blank" w:history="1">
            <w:r w:rsidRPr="00233CDB">
              <w:rPr>
                <w:rStyle w:val="Hyperlink"/>
                <w:rFonts w:ascii="Times New Roman" w:hAnsi="Times New Roman" w:cs="Times New Roman"/>
                <w:sz w:val="24"/>
                <w:szCs w:val="24"/>
                <w:lang w:val="en-US"/>
              </w:rPr>
              <w:t>fahamuzihi2007@yahoo.fr</w:t>
            </w:r>
          </w:hyperlink>
          <w:r w:rsidRPr="00233CDB">
            <w:rPr>
              <w:rFonts w:ascii="Times New Roman" w:hAnsi="Times New Roman" w:cs="Times New Roman"/>
              <w:sz w:val="24"/>
              <w:szCs w:val="24"/>
              <w:lang w:val="en-US"/>
            </w:rPr>
            <w:t>, </w:t>
          </w:r>
          <w:hyperlink r:id="rId9" w:tgtFrame="_blank" w:history="1">
            <w:r w:rsidRPr="00233CDB">
              <w:rPr>
                <w:rStyle w:val="Hyperlink"/>
                <w:rFonts w:ascii="Times New Roman" w:hAnsi="Times New Roman" w:cs="Times New Roman"/>
                <w:sz w:val="24"/>
                <w:szCs w:val="24"/>
                <w:lang w:val="en-US"/>
              </w:rPr>
              <w:t>jonni05@aol.com</w:t>
            </w:r>
          </w:hyperlink>
          <w:r w:rsidRPr="00233CDB">
            <w:rPr>
              <w:rFonts w:ascii="Times New Roman" w:hAnsi="Times New Roman" w:cs="Times New Roman"/>
              <w:sz w:val="24"/>
              <w:szCs w:val="24"/>
              <w:lang w:val="en-US"/>
            </w:rPr>
            <w:br/>
            <w:t>Bank account: YOUTH WITH A MISSION-D.R.CONGO ASBL 1275-3018217-00-80 TMB</w:t>
          </w:r>
          <w:r w:rsidRPr="00233CDB">
            <w:rPr>
              <w:rFonts w:ascii="Times New Roman" w:hAnsi="Times New Roman" w:cs="Times New Roman"/>
              <w:sz w:val="24"/>
              <w:szCs w:val="24"/>
              <w:lang w:val="en-US"/>
            </w:rPr>
            <w:br/>
            <w:t>Facebook: Youth With a Mission D.R Congo</w:t>
          </w:r>
          <w:r w:rsidRPr="00233CDB">
            <w:rPr>
              <w:rFonts w:ascii="Times New Roman" w:hAnsi="Times New Roman" w:cs="Times New Roman"/>
              <w:sz w:val="24"/>
              <w:szCs w:val="24"/>
              <w:lang w:val="en-US"/>
            </w:rPr>
            <w:br/>
          </w:r>
        </w:p>
        <w:p w:rsidR="00233CDB" w:rsidRPr="00817549" w:rsidRDefault="00817549" w:rsidP="00817549">
          <w:pPr>
            <w:jc w:val="center"/>
            <w:rPr>
              <w:rFonts w:ascii="Times New Roman" w:hAnsi="Times New Roman" w:cs="Times New Roman"/>
              <w:sz w:val="24"/>
              <w:szCs w:val="24"/>
              <w:lang w:val="en-US"/>
            </w:rPr>
          </w:pPr>
          <w:r w:rsidRPr="00233CDB">
            <w:rPr>
              <w:rFonts w:ascii="Times New Roman" w:hAnsi="Times New Roman" w:cs="Times New Roman"/>
              <w:sz w:val="24"/>
              <w:szCs w:val="24"/>
              <w:lang w:val="en-US"/>
            </w:rPr>
            <w:t>Uvira, February 2026​</w:t>
          </w:r>
        </w:p>
      </w:sdtContent>
    </w:sdt>
    <w:p w:rsidR="00233CDB" w:rsidRDefault="00233CDB">
      <w:pPr>
        <w:rPr>
          <w:rFonts w:ascii="Times New Roman" w:hAnsi="Times New Roman" w:cs="Times New Roman"/>
          <w:b/>
          <w:bCs/>
          <w:sz w:val="24"/>
          <w:szCs w:val="24"/>
          <w:lang w:val="en-US"/>
        </w:rPr>
      </w:pPr>
    </w:p>
    <w:p w:rsidR="00233CDB" w:rsidRPr="00817549" w:rsidRDefault="00233CDB" w:rsidP="00D63CE1">
      <w:pPr>
        <w:rPr>
          <w:rFonts w:ascii="Times New Roman" w:hAnsi="Times New Roman" w:cs="Times New Roman"/>
          <w:sz w:val="24"/>
          <w:szCs w:val="24"/>
          <w:lang w:val="en-US"/>
        </w:rPr>
      </w:pPr>
    </w:p>
    <w:p w:rsidR="00D63CE1" w:rsidRPr="00233CDB" w:rsidRDefault="00D63CE1" w:rsidP="009A4E26">
      <w:pPr>
        <w:pStyle w:val="Heading1"/>
        <w:rPr>
          <w:lang w:val="en-US"/>
        </w:rPr>
      </w:pPr>
      <w:r w:rsidRPr="00233CDB">
        <w:rPr>
          <w:lang w:val="en-US"/>
        </w:rPr>
        <w:lastRenderedPageBreak/>
        <w:t>Context and rationale</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Since early 2022, the eastern part of the Democratic Republic of Congo (DRC), particularly the provinces of North Kivu, South Kivu, and Ituri, has been facing a dramatic escalation of armed conflicts involving more than 120 active armed groups (OCHA report, January 2025). This intensification, marked by coordinated M23/RDF offensives in Rutshuru (North Kivu) starting in March 2022, repeated CODECO attacks in Ituri (peaking in June 2023 with 1,200 civilian deaths), and inter-tribal clashes in South Kivu (Hautes-Plateaux in November 2024), has generated an unprecedented humanitarian crisis. As of 31 December 2025, the United Nations High Commissioner for Refugees (UNHCR) recorded 7.3 million internally displaced persons (IDPs) in these three provinces, including 3.1 million in North Kivu alone, representing a 25% increase compared to 2024 (UNHCR, DTM Round 56 Report, 2025). Added to this are 1.2 million refugees to Uganda, Rwanda and Burundi (UNHCR, December 2025).​</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The most vulnerable populations – 70% women and children according to OCHA (2025) – suffer from serious and systematic human rights violations. Between January 2022 and October 2025, more than 25,000 cases of sexual and gender-based violence (SGBV) were reported, with a peak of 8,500 incidents in 2024 in North Kivu alone (UNICEF and Ministry of Gender DRC, 2025 Report). These acts, perpetrated by armed groups such as the M23 (1,200 documented cases in 2025) or local militias, are accompanied by repeated forced displacements – on average 5 displacements per IDP in North Kivu (UNHCR, 2025) – and massive economic losses: destruction of 45% of crops in Ituri (FAO, 2025), leading to food insecurity affecting 6.9 million people (IPC Phase 4+ in December 2025).​</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Victims, mainly from rural communities (85% of IDPs live in rural areas, OCHA 2025), face a vicious circle of untreated trauma. Sexual violence generates long-term psychological consequences: depression (45% of survivors), community stigmatization and economic exclusion, with an estimated income loss of 1.2 billion USD for affected households since 2022 (World Bank, 2025). Access to justice remains critical: only 12% of SGBV cases lead to prosecution (UNHCR, 2025), due to endemic corruption, lack of mobile courts (covering less than 10% of conflict zones) and fear of reprisals. Psychosocial services are even more limited: only 15% of survivors receive qualified support, with a ratio of 1 psychologist for 50,000 inhabitants in Ituri (WHO, MHPS Report 2025).​</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At the same time, humanitarian accountability mechanisms struggle to keep pace with the scale of the crisis. According to OCHA (CAP 2025 Report), only 20 to 30% of PSEAH complaints submitted to humanitarian actors are handled effectively, due to underfunded feedback mechanisms (coverage below 40% of IDP camps) and lack of transparency. In 2024, 1,500 PSEAH complaints were registered in the East (CHS 2025 Report), but 65% did not lead to an in-depth investigation, fuelling mistrust towards international NGOs.​</w:t>
      </w:r>
    </w:p>
    <w:p w:rsidR="008C7DEF" w:rsidRDefault="008C7DEF" w:rsidP="00D63CE1">
      <w:pPr>
        <w:rPr>
          <w:rFonts w:ascii="Times New Roman" w:hAnsi="Times New Roman" w:cs="Times New Roman"/>
          <w:b/>
          <w:bCs/>
          <w:sz w:val="24"/>
          <w:szCs w:val="24"/>
          <w:lang w:val="en-US"/>
        </w:rPr>
      </w:pPr>
    </w:p>
    <w:p w:rsidR="008C7DEF" w:rsidRDefault="008C7DEF" w:rsidP="00D63CE1">
      <w:pPr>
        <w:rPr>
          <w:rFonts w:ascii="Times New Roman" w:hAnsi="Times New Roman" w:cs="Times New Roman"/>
          <w:b/>
          <w:bCs/>
          <w:sz w:val="24"/>
          <w:szCs w:val="24"/>
          <w:lang w:val="en-US"/>
        </w:rPr>
      </w:pPr>
    </w:p>
    <w:p w:rsidR="008C7DEF" w:rsidRDefault="008C7DEF" w:rsidP="00D63CE1">
      <w:pPr>
        <w:rPr>
          <w:rFonts w:ascii="Times New Roman" w:hAnsi="Times New Roman" w:cs="Times New Roman"/>
          <w:b/>
          <w:bCs/>
          <w:sz w:val="24"/>
          <w:szCs w:val="24"/>
          <w:lang w:val="en-US"/>
        </w:rPr>
      </w:pPr>
    </w:p>
    <w:p w:rsidR="008C7DEF" w:rsidRDefault="008C7DEF" w:rsidP="00D63CE1">
      <w:pPr>
        <w:rPr>
          <w:rFonts w:ascii="Times New Roman" w:hAnsi="Times New Roman" w:cs="Times New Roman"/>
          <w:b/>
          <w:bCs/>
          <w:sz w:val="24"/>
          <w:szCs w:val="24"/>
          <w:lang w:val="en-US"/>
        </w:rPr>
      </w:pPr>
    </w:p>
    <w:p w:rsidR="008C7DEF" w:rsidRDefault="008C7DEF" w:rsidP="00D63CE1">
      <w:pPr>
        <w:rPr>
          <w:rFonts w:ascii="Times New Roman" w:hAnsi="Times New Roman" w:cs="Times New Roman"/>
          <w:b/>
          <w:bCs/>
          <w:sz w:val="24"/>
          <w:szCs w:val="24"/>
          <w:lang w:val="en-US"/>
        </w:rPr>
      </w:pPr>
    </w:p>
    <w:p w:rsidR="00D63CE1" w:rsidRPr="00233CDB" w:rsidRDefault="00D63CE1" w:rsidP="009A4E26">
      <w:pPr>
        <w:pStyle w:val="Heading1"/>
        <w:rPr>
          <w:lang w:val="en-US"/>
        </w:rPr>
      </w:pPr>
      <w:r w:rsidRPr="00233CDB">
        <w:rPr>
          <w:lang w:val="en-US"/>
        </w:rPr>
        <w:lastRenderedPageBreak/>
        <w:t>Problem statement</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In this context, rural communities critically lack neutral and safe spaces to express their trauma, needs, and complaints, with a low rate of SGBV reporting (only 25% of cases, OCHA 2025). Trust in humanitarian actors is eroded by persistent rumours of ethnic or political bias (e.g. accusations against UNHCR in North Kivu in 2024, echoed by 60% of respondents in a REACH study, 2025), reinforcing silence and impunity.​</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This program directly responds to PSEAH priorities by promoting active and inclusive listening, through:</w:t>
      </w:r>
    </w:p>
    <w:p w:rsidR="00D63CE1" w:rsidRPr="00233CDB" w:rsidRDefault="00D63CE1" w:rsidP="00D63CE1">
      <w:pPr>
        <w:numPr>
          <w:ilvl w:val="0"/>
          <w:numId w:val="1"/>
        </w:numPr>
        <w:spacing w:after="0"/>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Creation of 50 safe community spaces (trained listeners, 1 per 5,000 IDPs) in the priority territories of Uvira (South Kivu), Rutshuru (North Kivu) and Djugu (Ituri), operational from Q2 2026.</w:t>
      </w:r>
    </w:p>
    <w:p w:rsidR="00D63CE1" w:rsidRPr="00233CDB" w:rsidRDefault="00D63CE1" w:rsidP="00D63CE1">
      <w:pPr>
        <w:numPr>
          <w:ilvl w:val="0"/>
          <w:numId w:val="1"/>
        </w:numPr>
        <w:spacing w:after="0"/>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Fast referrals: 80% of testimonies oriented to specialized services (health, justice) within 48 hours, with digital follow-up (target satisfaction rate: 85%).</w:t>
      </w:r>
    </w:p>
    <w:p w:rsidR="00D63CE1" w:rsidRPr="00233CDB" w:rsidRDefault="00D63CE1" w:rsidP="00D63CE1">
      <w:pPr>
        <w:numPr>
          <w:ilvl w:val="0"/>
          <w:numId w:val="1"/>
        </w:numPr>
        <w:spacing w:after="0"/>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Community strengthening: Training of 1,200 community leaders (50% women) on PSEAH, aligned with the SPHERE Minimum Standards (2018, revised 2025 edition) for protection and equitable access and the Core Humanitarian Standard (CHS, 2025) for transparency and accountability.</w:t>
      </w:r>
    </w:p>
    <w:p w:rsidR="00D63CE1" w:rsidRPr="00233CDB" w:rsidRDefault="00D63CE1" w:rsidP="00D63CE1">
      <w:pPr>
        <w:numPr>
          <w:ilvl w:val="0"/>
          <w:numId w:val="1"/>
        </w:numPr>
        <w:spacing w:after="0"/>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Measurable indicators: 70% of complaints handled by the end of 2027; 40% increase in SGBV reporting; quarterly independent audits.​</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This pilot phase, lasting 24 months (April 2026 – March 2027) with a provisional budget of 30,000 USD, will strengthen community resilience and humanitarian legitimacy in a protracted crisis context.​</w:t>
      </w:r>
    </w:p>
    <w:p w:rsidR="00D63CE1" w:rsidRPr="00233CDB" w:rsidRDefault="00D63CE1" w:rsidP="009A4E26">
      <w:pPr>
        <w:pStyle w:val="Heading1"/>
        <w:rPr>
          <w:lang w:val="en-US"/>
        </w:rPr>
      </w:pPr>
      <w:r w:rsidRPr="00233CDB">
        <w:rPr>
          <w:lang w:val="en-US"/>
        </w:rPr>
        <w:t>Project objectives</w:t>
      </w:r>
    </w:p>
    <w:p w:rsidR="00D63CE1" w:rsidRPr="00233CDB" w:rsidRDefault="00D63CE1" w:rsidP="009A4E26">
      <w:pPr>
        <w:pStyle w:val="Heading2"/>
        <w:numPr>
          <w:ilvl w:val="0"/>
          <w:numId w:val="27"/>
        </w:numPr>
        <w:rPr>
          <w:b w:val="0"/>
          <w:lang w:val="en-US"/>
        </w:rPr>
      </w:pPr>
      <w:r w:rsidRPr="00233CDB">
        <w:rPr>
          <w:lang w:val="en-US"/>
        </w:rPr>
        <w:t>Overall objective</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Strengthen psychosocial resilience and the empowerment of victims of armed conflict through inclusive active listening spaces.​</w:t>
      </w:r>
    </w:p>
    <w:p w:rsidR="00D63CE1" w:rsidRPr="00233CDB" w:rsidRDefault="00D63CE1" w:rsidP="009A4E26">
      <w:pPr>
        <w:pStyle w:val="Heading2"/>
        <w:numPr>
          <w:ilvl w:val="0"/>
          <w:numId w:val="27"/>
        </w:numPr>
        <w:rPr>
          <w:b w:val="0"/>
        </w:rPr>
      </w:pPr>
      <w:r w:rsidRPr="00233CDB">
        <w:t>Specific objectives</w:t>
      </w:r>
    </w:p>
    <w:p w:rsidR="00D63CE1" w:rsidRPr="00233CDB" w:rsidRDefault="00D63CE1" w:rsidP="00D63CE1">
      <w:pPr>
        <w:numPr>
          <w:ilvl w:val="0"/>
          <w:numId w:val="2"/>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SO1: Create 12 community active listening spaces for 1,500 victims (60% women/children).</w:t>
      </w:r>
    </w:p>
    <w:p w:rsidR="00D63CE1" w:rsidRPr="00233CDB" w:rsidRDefault="00D63CE1" w:rsidP="00D63CE1">
      <w:pPr>
        <w:numPr>
          <w:ilvl w:val="0"/>
          <w:numId w:val="2"/>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SO2: Refer 80% of priority cases to services (health, justice, cash).</w:t>
      </w:r>
    </w:p>
    <w:p w:rsidR="00D63CE1" w:rsidRPr="00233CDB" w:rsidRDefault="00D63CE1" w:rsidP="00D63CE1">
      <w:pPr>
        <w:numPr>
          <w:ilvl w:val="0"/>
          <w:numId w:val="2"/>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SO3: Strengthen local capacities for 20 community leaders (including traditional chieftaincies).​</w:t>
      </w:r>
    </w:p>
    <w:p w:rsidR="00D63CE1" w:rsidRPr="00233CDB" w:rsidRDefault="00D63CE1" w:rsidP="009A4E26">
      <w:pPr>
        <w:pStyle w:val="Heading1"/>
      </w:pPr>
      <w:r w:rsidRPr="00233CDB">
        <w:t>Expected results and beneficiaries</w:t>
      </w:r>
    </w:p>
    <w:p w:rsidR="00D63CE1" w:rsidRPr="00233CDB" w:rsidRDefault="00D63CE1" w:rsidP="00D63CE1">
      <w:pPr>
        <w:numPr>
          <w:ilvl w:val="0"/>
          <w:numId w:val="3"/>
        </w:numPr>
        <w:rPr>
          <w:rFonts w:ascii="Times New Roman" w:hAnsi="Times New Roman" w:cs="Times New Roman"/>
          <w:sz w:val="24"/>
          <w:szCs w:val="24"/>
          <w:lang w:val="en-US"/>
        </w:rPr>
      </w:pPr>
      <w:r w:rsidRPr="00233CDB">
        <w:rPr>
          <w:rFonts w:ascii="Times New Roman" w:hAnsi="Times New Roman" w:cs="Times New Roman"/>
          <w:sz w:val="24"/>
          <w:szCs w:val="24"/>
          <w:lang w:val="en-US"/>
        </w:rPr>
        <w:t>Primary: 1,500 direct victims (aged 12–65) of armed conflict in Uvira (vulnerable groups: GBV survivors, single-headed households, displaced persons).</w:t>
      </w:r>
    </w:p>
    <w:p w:rsidR="00D63CE1" w:rsidRPr="00233CDB" w:rsidRDefault="00D63CE1" w:rsidP="00D63CE1">
      <w:pPr>
        <w:numPr>
          <w:ilvl w:val="0"/>
          <w:numId w:val="3"/>
        </w:numPr>
        <w:rPr>
          <w:rFonts w:ascii="Times New Roman" w:hAnsi="Times New Roman" w:cs="Times New Roman"/>
          <w:sz w:val="24"/>
          <w:szCs w:val="24"/>
          <w:lang w:val="en-US"/>
        </w:rPr>
      </w:pPr>
      <w:r w:rsidRPr="00233CDB">
        <w:rPr>
          <w:rFonts w:ascii="Times New Roman" w:hAnsi="Times New Roman" w:cs="Times New Roman"/>
          <w:sz w:val="24"/>
          <w:szCs w:val="24"/>
          <w:lang w:val="en-US"/>
        </w:rPr>
        <w:t>Secondary: 20 community leaders (traditional and associative), 10 local humanitarian teams.​</w:t>
      </w:r>
    </w:p>
    <w:p w:rsidR="00D63CE1" w:rsidRDefault="00D63CE1" w:rsidP="00D63CE1">
      <w:pPr>
        <w:spacing w:after="0"/>
        <w:rPr>
          <w:rFonts w:ascii="Times New Roman" w:hAnsi="Times New Roman" w:cs="Times New Roman"/>
          <w:b/>
          <w:bCs/>
          <w:sz w:val="24"/>
          <w:szCs w:val="24"/>
        </w:rPr>
      </w:pPr>
      <w:r w:rsidRPr="00233CDB">
        <w:rPr>
          <w:rFonts w:ascii="Times New Roman" w:hAnsi="Times New Roman" w:cs="Times New Roman"/>
          <w:b/>
          <w:bCs/>
          <w:sz w:val="24"/>
          <w:szCs w:val="24"/>
        </w:rPr>
        <w:t>Table 1: Categorization of beneficiaries / result</w:t>
      </w:r>
    </w:p>
    <w:tbl>
      <w:tblPr>
        <w:tblStyle w:val="TableGrid"/>
        <w:tblW w:w="5000" w:type="pct"/>
        <w:jc w:val="center"/>
        <w:tblLook w:val="04A0" w:firstRow="1" w:lastRow="0" w:firstColumn="1" w:lastColumn="0" w:noHBand="0" w:noVBand="1"/>
      </w:tblPr>
      <w:tblGrid>
        <w:gridCol w:w="3971"/>
        <w:gridCol w:w="2497"/>
        <w:gridCol w:w="2548"/>
      </w:tblGrid>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Category</w:t>
            </w:r>
          </w:p>
        </w:tc>
        <w:tc>
          <w:tcPr>
            <w:tcW w:w="1385"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Target Number</w:t>
            </w:r>
          </w:p>
        </w:tc>
        <w:tc>
          <w:tcPr>
            <w:tcW w:w="1413"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 Women/Girls</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GBV survivors</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600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90% women</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lastRenderedPageBreak/>
              <w:t>Internally displaced persons</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600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50% women</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Children / youth</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300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60% girls</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Total</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1,500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60% women</w:t>
            </w:r>
          </w:p>
        </w:tc>
      </w:tr>
    </w:tbl>
    <w:p w:rsidR="009A4E26" w:rsidRPr="00233CDB" w:rsidRDefault="009A4E26" w:rsidP="00D63CE1">
      <w:pPr>
        <w:spacing w:after="0"/>
        <w:rPr>
          <w:rFonts w:ascii="Times New Roman" w:hAnsi="Times New Roman" w:cs="Times New Roman"/>
          <w:sz w:val="24"/>
          <w:szCs w:val="24"/>
        </w:rPr>
      </w:pPr>
    </w:p>
    <w:p w:rsidR="00D63CE1" w:rsidRPr="00233CDB" w:rsidRDefault="00D63CE1" w:rsidP="009A4E26">
      <w:pPr>
        <w:pStyle w:val="Heading1"/>
      </w:pPr>
      <w:r w:rsidRPr="00233CDB">
        <w:t>Main activities</w:t>
      </w:r>
    </w:p>
    <w:p w:rsidR="00D63CE1" w:rsidRPr="00233CDB" w:rsidRDefault="00D63CE1" w:rsidP="00D63CE1">
      <w:pPr>
        <w:numPr>
          <w:ilvl w:val="0"/>
          <w:numId w:val="5"/>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Phase 1 (Months 1–3): Needs mapping (rapid surveys, 200 HH); training of 10 active listening facilitators (PSEAH, trauma-informed).</w:t>
      </w:r>
    </w:p>
    <w:p w:rsidR="00D63CE1" w:rsidRPr="00233CDB" w:rsidRDefault="00D63CE1" w:rsidP="00D63CE1">
      <w:pPr>
        <w:numPr>
          <w:ilvl w:val="0"/>
          <w:numId w:val="5"/>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Phase 2 (Months 4–9): Weekly listening sessions (groups of 10–15 people in safe spaces); anonymous hotlines (SMS/WhatsApp).</w:t>
      </w:r>
    </w:p>
    <w:p w:rsidR="00D63CE1" w:rsidRPr="00233CDB" w:rsidRDefault="00D63CE1" w:rsidP="00D63CE1">
      <w:pPr>
        <w:numPr>
          <w:ilvl w:val="0"/>
          <w:numId w:val="5"/>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Phase 3 (Months 10–12): Referrals (MHPSS, cash, justice); community strengthening workshops with chieftaincies; final evaluation.​</w:t>
      </w:r>
    </w:p>
    <w:p w:rsidR="00D63CE1" w:rsidRPr="00233CDB" w:rsidRDefault="00D63CE1" w:rsidP="009A4E26">
      <w:pPr>
        <w:pStyle w:val="Heading1"/>
        <w:rPr>
          <w:lang w:val="en-US"/>
        </w:rPr>
      </w:pPr>
      <w:r w:rsidRPr="00233CDB">
        <w:rPr>
          <w:lang w:val="en-US"/>
        </w:rPr>
        <w:t>Direct beneficiaries: 1,500 people</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b/>
          <w:bCs/>
          <w:sz w:val="24"/>
          <w:szCs w:val="24"/>
          <w:lang w:val="en-US"/>
        </w:rPr>
        <w:t>Table 2: Direct beneficiaries</w:t>
      </w:r>
    </w:p>
    <w:tbl>
      <w:tblPr>
        <w:tblStyle w:val="TableGrid"/>
        <w:tblW w:w="5000" w:type="pct"/>
        <w:jc w:val="center"/>
        <w:tblLook w:val="04A0" w:firstRow="1" w:lastRow="0" w:firstColumn="1" w:lastColumn="0" w:noHBand="0" w:noVBand="1"/>
      </w:tblPr>
      <w:tblGrid>
        <w:gridCol w:w="3971"/>
        <w:gridCol w:w="2497"/>
        <w:gridCol w:w="2548"/>
      </w:tblGrid>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Category</w:t>
            </w:r>
          </w:p>
        </w:tc>
        <w:tc>
          <w:tcPr>
            <w:tcW w:w="1385"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Target Number</w:t>
            </w:r>
          </w:p>
        </w:tc>
        <w:tc>
          <w:tcPr>
            <w:tcW w:w="1413"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 Women/Girls</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GBV survivors</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600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90% women</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Internally displaced persons</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600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50% women</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Children / youth</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300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60% girls</w:t>
            </w:r>
          </w:p>
        </w:tc>
      </w:tr>
      <w:tr w:rsidR="000B7F4C" w:rsidRPr="000B7F4C" w:rsidTr="004D2C21">
        <w:trPr>
          <w:jc w:val="center"/>
        </w:trPr>
        <w:tc>
          <w:tcPr>
            <w:tcW w:w="2202"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Total</w:t>
            </w:r>
          </w:p>
        </w:tc>
        <w:tc>
          <w:tcPr>
            <w:tcW w:w="138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1,500</w:t>
            </w:r>
          </w:p>
        </w:tc>
        <w:tc>
          <w:tcPr>
            <w:tcW w:w="141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60% women</w:t>
            </w:r>
          </w:p>
        </w:tc>
      </w:tr>
    </w:tbl>
    <w:p w:rsidR="000B7F4C" w:rsidRDefault="000B7F4C" w:rsidP="00D63CE1">
      <w:pPr>
        <w:spacing w:after="0"/>
        <w:rPr>
          <w:rFonts w:ascii="Times New Roman" w:hAnsi="Times New Roman" w:cs="Times New Roman"/>
          <w:sz w:val="24"/>
          <w:szCs w:val="24"/>
        </w:rPr>
      </w:pPr>
    </w:p>
    <w:p w:rsidR="00D63CE1" w:rsidRPr="00233CDB" w:rsidRDefault="00D63CE1" w:rsidP="00D63CE1">
      <w:pPr>
        <w:spacing w:after="0"/>
        <w:rPr>
          <w:rFonts w:ascii="Times New Roman" w:hAnsi="Times New Roman" w:cs="Times New Roman"/>
          <w:b/>
          <w:bCs/>
          <w:sz w:val="24"/>
          <w:szCs w:val="24"/>
        </w:rPr>
      </w:pPr>
      <w:r w:rsidRPr="00233CDB">
        <w:rPr>
          <w:rFonts w:ascii="Times New Roman" w:hAnsi="Times New Roman" w:cs="Times New Roman"/>
          <w:b/>
          <w:bCs/>
          <w:sz w:val="24"/>
          <w:szCs w:val="24"/>
        </w:rPr>
        <w:t>Indirect beneficiaries</w:t>
      </w:r>
    </w:p>
    <w:p w:rsidR="00D63CE1" w:rsidRPr="00233CDB" w:rsidRDefault="00D63CE1" w:rsidP="00D63CE1">
      <w:pPr>
        <w:numPr>
          <w:ilvl w:val="0"/>
          <w:numId w:val="7"/>
        </w:numPr>
        <w:spacing w:after="0"/>
        <w:rPr>
          <w:rFonts w:ascii="Times New Roman" w:hAnsi="Times New Roman" w:cs="Times New Roman"/>
          <w:sz w:val="24"/>
          <w:szCs w:val="24"/>
        </w:rPr>
      </w:pPr>
      <w:r w:rsidRPr="00233CDB">
        <w:rPr>
          <w:rFonts w:ascii="Times New Roman" w:hAnsi="Times New Roman" w:cs="Times New Roman"/>
          <w:sz w:val="24"/>
          <w:szCs w:val="24"/>
        </w:rPr>
        <w:t>20 community leaders</w:t>
      </w:r>
    </w:p>
    <w:p w:rsidR="00D63CE1" w:rsidRPr="00233CDB" w:rsidRDefault="00D63CE1" w:rsidP="00D63CE1">
      <w:pPr>
        <w:numPr>
          <w:ilvl w:val="0"/>
          <w:numId w:val="7"/>
        </w:numPr>
        <w:spacing w:after="0"/>
        <w:rPr>
          <w:rFonts w:ascii="Times New Roman" w:hAnsi="Times New Roman" w:cs="Times New Roman"/>
          <w:sz w:val="24"/>
          <w:szCs w:val="24"/>
        </w:rPr>
      </w:pPr>
      <w:r w:rsidRPr="00233CDB">
        <w:rPr>
          <w:rFonts w:ascii="Times New Roman" w:hAnsi="Times New Roman" w:cs="Times New Roman"/>
          <w:sz w:val="24"/>
          <w:szCs w:val="24"/>
        </w:rPr>
        <w:t>10 local humanitarian teams​</w:t>
      </w:r>
    </w:p>
    <w:p w:rsidR="00D63CE1" w:rsidRPr="00233CDB" w:rsidRDefault="00D63CE1" w:rsidP="00D63CE1">
      <w:pPr>
        <w:rPr>
          <w:rFonts w:ascii="Times New Roman" w:hAnsi="Times New Roman" w:cs="Times New Roman"/>
          <w:b/>
          <w:bCs/>
          <w:sz w:val="24"/>
          <w:szCs w:val="24"/>
        </w:rPr>
      </w:pPr>
      <w:r w:rsidRPr="00233CDB">
        <w:rPr>
          <w:rFonts w:ascii="Times New Roman" w:hAnsi="Times New Roman" w:cs="Times New Roman"/>
          <w:b/>
          <w:bCs/>
          <w:sz w:val="24"/>
          <w:szCs w:val="24"/>
        </w:rPr>
        <w:t>Inclusion criteria</w:t>
      </w:r>
    </w:p>
    <w:p w:rsidR="00D63CE1" w:rsidRPr="00233CDB" w:rsidRDefault="00D63CE1" w:rsidP="00D63CE1">
      <w:pPr>
        <w:numPr>
          <w:ilvl w:val="0"/>
          <w:numId w:val="8"/>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Residents of Uvira affected by conflicts post-2022</w:t>
      </w:r>
    </w:p>
    <w:p w:rsidR="00D63CE1" w:rsidRPr="00233CDB" w:rsidRDefault="00D63CE1" w:rsidP="00D63CE1">
      <w:pPr>
        <w:numPr>
          <w:ilvl w:val="0"/>
          <w:numId w:val="8"/>
        </w:numPr>
        <w:spacing w:after="0"/>
        <w:rPr>
          <w:rFonts w:ascii="Times New Roman" w:hAnsi="Times New Roman" w:cs="Times New Roman"/>
          <w:sz w:val="24"/>
          <w:szCs w:val="24"/>
        </w:rPr>
      </w:pPr>
      <w:r w:rsidRPr="00233CDB">
        <w:rPr>
          <w:rFonts w:ascii="Times New Roman" w:hAnsi="Times New Roman" w:cs="Times New Roman"/>
          <w:sz w:val="24"/>
          <w:szCs w:val="24"/>
        </w:rPr>
        <w:t>Voluntary consent</w:t>
      </w:r>
    </w:p>
    <w:p w:rsidR="00D63CE1" w:rsidRPr="00233CDB" w:rsidRDefault="00D63CE1" w:rsidP="00D63CE1">
      <w:pPr>
        <w:numPr>
          <w:ilvl w:val="0"/>
          <w:numId w:val="8"/>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Cases identified through community screening​</w:t>
      </w:r>
    </w:p>
    <w:p w:rsidR="00D63CE1" w:rsidRPr="00233CDB" w:rsidRDefault="00D63CE1" w:rsidP="009A4E26">
      <w:pPr>
        <w:pStyle w:val="Heading1"/>
        <w:rPr>
          <w:lang w:val="en-US"/>
        </w:rPr>
      </w:pPr>
      <w:r w:rsidRPr="00233CDB">
        <w:rPr>
          <w:lang w:val="en-US"/>
        </w:rPr>
        <w:t>Intervention strategy</w:t>
      </w:r>
    </w:p>
    <w:p w:rsidR="00D63CE1" w:rsidRPr="00233CDB" w:rsidRDefault="009A4E26" w:rsidP="008C7DEF">
      <w:pPr>
        <w:pStyle w:val="Heading2"/>
        <w:rPr>
          <w:b w:val="0"/>
          <w:lang w:val="en-US"/>
        </w:rPr>
      </w:pPr>
      <w:r>
        <w:rPr>
          <w:lang w:val="en-US"/>
        </w:rPr>
        <w:t xml:space="preserve">a. </w:t>
      </w:r>
      <w:r w:rsidR="00D63CE1" w:rsidRPr="00233CDB">
        <w:rPr>
          <w:lang w:val="en-US"/>
        </w:rPr>
        <w:t>Methodological approach: Active listening integrated into PSEAH mechanisms</w:t>
      </w:r>
    </w:p>
    <w:p w:rsidR="00D63CE1" w:rsidRPr="00233CDB" w:rsidRDefault="00D63CE1" w:rsidP="008C7DEF">
      <w:pPr>
        <w:pStyle w:val="Heading3"/>
        <w:rPr>
          <w:b w:val="0"/>
          <w:lang w:val="en-US"/>
        </w:rPr>
      </w:pPr>
      <w:r w:rsidRPr="00233CDB">
        <w:rPr>
          <w:lang w:val="en-US"/>
        </w:rPr>
        <w:t>1) Conceptual foundation</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The EAC-VG program is based on the </w:t>
      </w:r>
      <w:r w:rsidRPr="00233CDB">
        <w:rPr>
          <w:rFonts w:ascii="Times New Roman" w:hAnsi="Times New Roman" w:cs="Times New Roman"/>
          <w:b/>
          <w:bCs/>
          <w:sz w:val="24"/>
          <w:szCs w:val="24"/>
          <w:lang w:val="en-US"/>
        </w:rPr>
        <w:t>active listening</w:t>
      </w:r>
      <w:r w:rsidRPr="00233CDB">
        <w:rPr>
          <w:rFonts w:ascii="Times New Roman" w:hAnsi="Times New Roman" w:cs="Times New Roman"/>
          <w:sz w:val="24"/>
          <w:szCs w:val="24"/>
          <w:lang w:val="en-US"/>
        </w:rPr>
        <w:t> approach, a structured method of person-centred psychosocial support developed by humanistic psychologist Carl Rogers.​</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This approach is founded on three core principles:</w:t>
      </w:r>
    </w:p>
    <w:p w:rsidR="00D63CE1" w:rsidRPr="00233CDB" w:rsidRDefault="00D63CE1" w:rsidP="00D63CE1">
      <w:pPr>
        <w:numPr>
          <w:ilvl w:val="0"/>
          <w:numId w:val="9"/>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Empathy: deep understanding of the victim’s lived experience</w:t>
      </w:r>
    </w:p>
    <w:p w:rsidR="00D63CE1" w:rsidRPr="00233CDB" w:rsidRDefault="00D63CE1" w:rsidP="00D63CE1">
      <w:pPr>
        <w:numPr>
          <w:ilvl w:val="0"/>
          <w:numId w:val="9"/>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Congruence: authenticity and coherence of the facilitator</w:t>
      </w:r>
    </w:p>
    <w:p w:rsidR="00D63CE1" w:rsidRPr="00233CDB" w:rsidRDefault="00D63CE1" w:rsidP="00D63CE1">
      <w:pPr>
        <w:numPr>
          <w:ilvl w:val="0"/>
          <w:numId w:val="9"/>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Unconditional positive regard: absence of judgment or stigmatization​</w:t>
      </w:r>
    </w:p>
    <w:p w:rsidR="00D63CE1" w:rsidRPr="00233CDB" w:rsidRDefault="00D63CE1" w:rsidP="00D63CE1">
      <w:p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In contexts of protracted armed conflict, active listening is a key lever to:</w:t>
      </w:r>
    </w:p>
    <w:p w:rsidR="00D63CE1" w:rsidRPr="00233CDB" w:rsidRDefault="00D63CE1" w:rsidP="00D63CE1">
      <w:pPr>
        <w:numPr>
          <w:ilvl w:val="0"/>
          <w:numId w:val="10"/>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Restore the dignity and autonomy of survivors</w:t>
      </w:r>
    </w:p>
    <w:p w:rsidR="00D63CE1" w:rsidRPr="00233CDB" w:rsidRDefault="00D63CE1" w:rsidP="00D63CE1">
      <w:pPr>
        <w:numPr>
          <w:ilvl w:val="0"/>
          <w:numId w:val="10"/>
        </w:numPr>
        <w:spacing w:after="0"/>
        <w:rPr>
          <w:rFonts w:ascii="Times New Roman" w:hAnsi="Times New Roman" w:cs="Times New Roman"/>
          <w:sz w:val="24"/>
          <w:szCs w:val="24"/>
        </w:rPr>
      </w:pPr>
      <w:r w:rsidRPr="00233CDB">
        <w:rPr>
          <w:rFonts w:ascii="Times New Roman" w:hAnsi="Times New Roman" w:cs="Times New Roman"/>
          <w:sz w:val="24"/>
          <w:szCs w:val="24"/>
        </w:rPr>
        <w:t>Reduce social isolation</w:t>
      </w:r>
    </w:p>
    <w:p w:rsidR="00D63CE1" w:rsidRPr="00233CDB" w:rsidRDefault="00D63CE1" w:rsidP="00D63CE1">
      <w:pPr>
        <w:numPr>
          <w:ilvl w:val="0"/>
          <w:numId w:val="10"/>
        </w:numPr>
        <w:spacing w:after="0"/>
        <w:rPr>
          <w:rFonts w:ascii="Times New Roman" w:hAnsi="Times New Roman" w:cs="Times New Roman"/>
          <w:sz w:val="24"/>
          <w:szCs w:val="24"/>
        </w:rPr>
      </w:pPr>
      <w:r w:rsidRPr="00233CDB">
        <w:rPr>
          <w:rFonts w:ascii="Times New Roman" w:hAnsi="Times New Roman" w:cs="Times New Roman"/>
          <w:sz w:val="24"/>
          <w:szCs w:val="24"/>
        </w:rPr>
        <w:t>Strengthen trust in humanitarian mechanisms</w:t>
      </w:r>
    </w:p>
    <w:p w:rsidR="00D63CE1" w:rsidRPr="00233CDB" w:rsidRDefault="00D63CE1" w:rsidP="00D63CE1">
      <w:pPr>
        <w:numPr>
          <w:ilvl w:val="0"/>
          <w:numId w:val="10"/>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lastRenderedPageBreak/>
        <w:t>Improve access to specialized services​</w:t>
      </w:r>
    </w:p>
    <w:p w:rsidR="00D63CE1" w:rsidRPr="00233CDB" w:rsidRDefault="00D63CE1" w:rsidP="008C7DEF">
      <w:pPr>
        <w:pStyle w:val="Heading3"/>
        <w:rPr>
          <w:b w:val="0"/>
          <w:lang w:val="en-US"/>
        </w:rPr>
      </w:pPr>
      <w:r w:rsidRPr="00233CDB">
        <w:rPr>
          <w:lang w:val="en-US"/>
        </w:rPr>
        <w:t>2) Operational modalities</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The intervention will be implemented through </w:t>
      </w:r>
      <w:r w:rsidRPr="00233CDB">
        <w:rPr>
          <w:rFonts w:ascii="Times New Roman" w:hAnsi="Times New Roman" w:cs="Times New Roman"/>
          <w:b/>
          <w:bCs/>
          <w:sz w:val="24"/>
          <w:szCs w:val="24"/>
          <w:lang w:val="en-US"/>
        </w:rPr>
        <w:t>12 safe community spaces</w:t>
      </w:r>
      <w:r w:rsidRPr="00233CDB">
        <w:rPr>
          <w:rFonts w:ascii="Times New Roman" w:hAnsi="Times New Roman" w:cs="Times New Roman"/>
          <w:sz w:val="24"/>
          <w:szCs w:val="24"/>
          <w:lang w:val="en-US"/>
        </w:rPr>
        <w:t> in Uvira, with the following characteristics:</w:t>
      </w:r>
    </w:p>
    <w:p w:rsidR="00D63CE1" w:rsidRPr="00233CDB" w:rsidRDefault="00D63CE1" w:rsidP="00D63CE1">
      <w:pPr>
        <w:numPr>
          <w:ilvl w:val="0"/>
          <w:numId w:val="11"/>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Individual sessions or small groups (10–15 people)</w:t>
      </w:r>
    </w:p>
    <w:p w:rsidR="00D63CE1" w:rsidRPr="00233CDB" w:rsidRDefault="00D63CE1" w:rsidP="00D63CE1">
      <w:pPr>
        <w:numPr>
          <w:ilvl w:val="0"/>
          <w:numId w:val="11"/>
        </w:numPr>
        <w:spacing w:after="0"/>
        <w:rPr>
          <w:rFonts w:ascii="Times New Roman" w:hAnsi="Times New Roman" w:cs="Times New Roman"/>
          <w:sz w:val="24"/>
          <w:szCs w:val="24"/>
        </w:rPr>
      </w:pPr>
      <w:r w:rsidRPr="00233CDB">
        <w:rPr>
          <w:rFonts w:ascii="Times New Roman" w:hAnsi="Times New Roman" w:cs="Times New Roman"/>
          <w:sz w:val="24"/>
          <w:szCs w:val="24"/>
        </w:rPr>
        <w:t>Duration: 30 to 45 minutes</w:t>
      </w:r>
    </w:p>
    <w:p w:rsidR="00D63CE1" w:rsidRPr="00233CDB" w:rsidRDefault="00D63CE1" w:rsidP="00D63CE1">
      <w:pPr>
        <w:numPr>
          <w:ilvl w:val="0"/>
          <w:numId w:val="11"/>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Facilitators trained in trauma-informed approaches and PSEAH</w:t>
      </w:r>
    </w:p>
    <w:p w:rsidR="00D63CE1" w:rsidRPr="00233CDB" w:rsidRDefault="00D63CE1" w:rsidP="00D63CE1">
      <w:pPr>
        <w:numPr>
          <w:ilvl w:val="0"/>
          <w:numId w:val="11"/>
        </w:numPr>
        <w:spacing w:after="0"/>
        <w:rPr>
          <w:rFonts w:ascii="Times New Roman" w:hAnsi="Times New Roman" w:cs="Times New Roman"/>
          <w:sz w:val="24"/>
          <w:szCs w:val="24"/>
        </w:rPr>
      </w:pPr>
      <w:r w:rsidRPr="00233CDB">
        <w:rPr>
          <w:rFonts w:ascii="Times New Roman" w:hAnsi="Times New Roman" w:cs="Times New Roman"/>
          <w:sz w:val="24"/>
          <w:szCs w:val="24"/>
        </w:rPr>
        <w:t>Target ratio: 1 facilitator for 50 beneficiaries</w:t>
      </w:r>
    </w:p>
    <w:p w:rsidR="00D63CE1" w:rsidRPr="00233CDB" w:rsidRDefault="00D63CE1" w:rsidP="00D63CE1">
      <w:pPr>
        <w:numPr>
          <w:ilvl w:val="0"/>
          <w:numId w:val="11"/>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Strict respect for confidentiality and data protection​</w:t>
      </w:r>
    </w:p>
    <w:p w:rsidR="00D63CE1" w:rsidRPr="00233CDB" w:rsidRDefault="00D63CE1" w:rsidP="00D63CE1">
      <w:pPr>
        <w:spacing w:after="0"/>
        <w:rPr>
          <w:rFonts w:ascii="Times New Roman" w:hAnsi="Times New Roman" w:cs="Times New Roman"/>
          <w:sz w:val="24"/>
          <w:szCs w:val="24"/>
        </w:rPr>
      </w:pPr>
      <w:r w:rsidRPr="00233CDB">
        <w:rPr>
          <w:rFonts w:ascii="Times New Roman" w:hAnsi="Times New Roman" w:cs="Times New Roman"/>
          <w:sz w:val="24"/>
          <w:szCs w:val="24"/>
        </w:rPr>
        <w:t>Each session will include:</w:t>
      </w:r>
    </w:p>
    <w:p w:rsidR="00D63CE1" w:rsidRPr="00233CDB" w:rsidRDefault="00D63CE1" w:rsidP="00D63CE1">
      <w:pPr>
        <w:numPr>
          <w:ilvl w:val="0"/>
          <w:numId w:val="12"/>
        </w:numPr>
        <w:spacing w:after="0"/>
        <w:rPr>
          <w:rFonts w:ascii="Times New Roman" w:hAnsi="Times New Roman" w:cs="Times New Roman"/>
          <w:sz w:val="24"/>
          <w:szCs w:val="24"/>
        </w:rPr>
      </w:pPr>
      <w:r w:rsidRPr="00233CDB">
        <w:rPr>
          <w:rFonts w:ascii="Times New Roman" w:hAnsi="Times New Roman" w:cs="Times New Roman"/>
          <w:sz w:val="24"/>
          <w:szCs w:val="24"/>
        </w:rPr>
        <w:t>Appropriate non-verbal communication</w:t>
      </w:r>
    </w:p>
    <w:p w:rsidR="00D63CE1" w:rsidRPr="00233CDB" w:rsidRDefault="00D63CE1" w:rsidP="00D63CE1">
      <w:pPr>
        <w:numPr>
          <w:ilvl w:val="0"/>
          <w:numId w:val="12"/>
        </w:numPr>
        <w:spacing w:after="0"/>
        <w:rPr>
          <w:rFonts w:ascii="Times New Roman" w:hAnsi="Times New Roman" w:cs="Times New Roman"/>
          <w:sz w:val="24"/>
          <w:szCs w:val="24"/>
        </w:rPr>
      </w:pPr>
      <w:r w:rsidRPr="00233CDB">
        <w:rPr>
          <w:rFonts w:ascii="Times New Roman" w:hAnsi="Times New Roman" w:cs="Times New Roman"/>
          <w:sz w:val="24"/>
          <w:szCs w:val="24"/>
        </w:rPr>
        <w:t>Structured reformulation</w:t>
      </w:r>
    </w:p>
    <w:p w:rsidR="00D63CE1" w:rsidRPr="00233CDB" w:rsidRDefault="00D63CE1" w:rsidP="00D63CE1">
      <w:pPr>
        <w:numPr>
          <w:ilvl w:val="0"/>
          <w:numId w:val="12"/>
        </w:numPr>
        <w:spacing w:after="0"/>
        <w:rPr>
          <w:rFonts w:ascii="Times New Roman" w:hAnsi="Times New Roman" w:cs="Times New Roman"/>
          <w:sz w:val="24"/>
          <w:szCs w:val="24"/>
        </w:rPr>
      </w:pPr>
      <w:r w:rsidRPr="00233CDB">
        <w:rPr>
          <w:rFonts w:ascii="Times New Roman" w:hAnsi="Times New Roman" w:cs="Times New Roman"/>
          <w:sz w:val="24"/>
          <w:szCs w:val="24"/>
        </w:rPr>
        <w:t>Open questions encouraging free expression</w:t>
      </w:r>
    </w:p>
    <w:p w:rsidR="00D63CE1" w:rsidRPr="00233CDB" w:rsidRDefault="00D63CE1" w:rsidP="00D63CE1">
      <w:pPr>
        <w:numPr>
          <w:ilvl w:val="0"/>
          <w:numId w:val="12"/>
        </w:numPr>
        <w:spacing w:after="0"/>
        <w:rPr>
          <w:rFonts w:ascii="Times New Roman" w:hAnsi="Times New Roman" w:cs="Times New Roman"/>
          <w:sz w:val="24"/>
          <w:szCs w:val="24"/>
        </w:rPr>
      </w:pPr>
      <w:r w:rsidRPr="00233CDB">
        <w:rPr>
          <w:rFonts w:ascii="Times New Roman" w:hAnsi="Times New Roman" w:cs="Times New Roman"/>
          <w:sz w:val="24"/>
          <w:szCs w:val="24"/>
        </w:rPr>
        <w:t>Emotional validation​</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Facilitators will receive monthly supervision to prevent burnout and ensure quality of intervention.​</w:t>
      </w:r>
    </w:p>
    <w:p w:rsidR="00D63CE1" w:rsidRPr="00233CDB" w:rsidRDefault="00D63CE1" w:rsidP="008C7DEF">
      <w:pPr>
        <w:pStyle w:val="Heading3"/>
        <w:rPr>
          <w:b w:val="0"/>
          <w:lang w:val="en-US"/>
        </w:rPr>
      </w:pPr>
      <w:r w:rsidRPr="00233CDB">
        <w:rPr>
          <w:lang w:val="en-US"/>
        </w:rPr>
        <w:t>3) Integration with PSEAH and accountability mechanisms</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The active listening approach will be directly integrated into Prevention of Sexual Exploitation and Abuse (PSEAH) mechanisms, in line with:</w:t>
      </w:r>
    </w:p>
    <w:p w:rsidR="00D63CE1" w:rsidRPr="00233CDB" w:rsidRDefault="00D63CE1" w:rsidP="00D63CE1">
      <w:pPr>
        <w:numPr>
          <w:ilvl w:val="0"/>
          <w:numId w:val="13"/>
        </w:numPr>
        <w:spacing w:after="0"/>
        <w:rPr>
          <w:rFonts w:ascii="Times New Roman" w:hAnsi="Times New Roman" w:cs="Times New Roman"/>
          <w:sz w:val="24"/>
          <w:szCs w:val="24"/>
        </w:rPr>
      </w:pPr>
      <w:r w:rsidRPr="00233CDB">
        <w:rPr>
          <w:rFonts w:ascii="Times New Roman" w:hAnsi="Times New Roman" w:cs="Times New Roman"/>
          <w:sz w:val="24"/>
          <w:szCs w:val="24"/>
        </w:rPr>
        <w:t>SPHERE Standards (Protection &amp; AAP)</w:t>
      </w:r>
    </w:p>
    <w:p w:rsidR="00D63CE1" w:rsidRPr="00233CDB" w:rsidRDefault="00D63CE1" w:rsidP="00D63CE1">
      <w:pPr>
        <w:numPr>
          <w:ilvl w:val="0"/>
          <w:numId w:val="13"/>
        </w:numPr>
        <w:spacing w:after="0"/>
        <w:rPr>
          <w:rFonts w:ascii="Times New Roman" w:hAnsi="Times New Roman" w:cs="Times New Roman"/>
          <w:sz w:val="24"/>
          <w:szCs w:val="24"/>
        </w:rPr>
      </w:pPr>
      <w:r w:rsidRPr="00233CDB">
        <w:rPr>
          <w:rFonts w:ascii="Times New Roman" w:hAnsi="Times New Roman" w:cs="Times New Roman"/>
          <w:sz w:val="24"/>
          <w:szCs w:val="24"/>
        </w:rPr>
        <w:t>Core Humanitarian Standard (CHS)​</w:t>
      </w:r>
    </w:p>
    <w:p w:rsidR="00D63CE1" w:rsidRPr="00233CDB" w:rsidRDefault="00D63CE1" w:rsidP="00D63CE1">
      <w:p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The listening spaces will also serve as safe community channels to:</w:t>
      </w:r>
    </w:p>
    <w:p w:rsidR="00D63CE1" w:rsidRPr="00233CDB" w:rsidRDefault="00D63CE1" w:rsidP="00D63CE1">
      <w:pPr>
        <w:numPr>
          <w:ilvl w:val="0"/>
          <w:numId w:val="14"/>
        </w:numPr>
        <w:spacing w:after="0"/>
        <w:rPr>
          <w:rFonts w:ascii="Times New Roman" w:hAnsi="Times New Roman" w:cs="Times New Roman"/>
          <w:sz w:val="24"/>
          <w:szCs w:val="24"/>
        </w:rPr>
      </w:pPr>
      <w:r w:rsidRPr="00233CDB">
        <w:rPr>
          <w:rFonts w:ascii="Times New Roman" w:hAnsi="Times New Roman" w:cs="Times New Roman"/>
          <w:sz w:val="24"/>
          <w:szCs w:val="24"/>
        </w:rPr>
        <w:t>Collect confidential complaints</w:t>
      </w:r>
    </w:p>
    <w:p w:rsidR="00D63CE1" w:rsidRPr="00233CDB" w:rsidRDefault="00D63CE1" w:rsidP="00D63CE1">
      <w:pPr>
        <w:numPr>
          <w:ilvl w:val="0"/>
          <w:numId w:val="14"/>
        </w:numPr>
        <w:spacing w:after="0"/>
        <w:rPr>
          <w:rFonts w:ascii="Times New Roman" w:hAnsi="Times New Roman" w:cs="Times New Roman"/>
          <w:sz w:val="24"/>
          <w:szCs w:val="24"/>
        </w:rPr>
      </w:pPr>
      <w:r w:rsidRPr="00233CDB">
        <w:rPr>
          <w:rFonts w:ascii="Times New Roman" w:hAnsi="Times New Roman" w:cs="Times New Roman"/>
          <w:sz w:val="24"/>
          <w:szCs w:val="24"/>
        </w:rPr>
        <w:t>Orient survivors towards appropriate services</w:t>
      </w:r>
    </w:p>
    <w:p w:rsidR="00D63CE1" w:rsidRPr="00233CDB" w:rsidRDefault="00D63CE1" w:rsidP="00D63CE1">
      <w:pPr>
        <w:numPr>
          <w:ilvl w:val="0"/>
          <w:numId w:val="14"/>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Ensure individualized case follow-up​</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b/>
          <w:bCs/>
          <w:sz w:val="24"/>
          <w:szCs w:val="24"/>
          <w:lang w:val="en-US"/>
        </w:rPr>
        <w:t>Operational objective:</w:t>
      </w:r>
      <w:r w:rsidRPr="00233CDB">
        <w:rPr>
          <w:rFonts w:ascii="Times New Roman" w:hAnsi="Times New Roman" w:cs="Times New Roman"/>
          <w:sz w:val="24"/>
          <w:szCs w:val="24"/>
          <w:lang w:val="en-US"/>
        </w:rPr>
        <w:br/>
        <w:t>80% of priority cases referred to specialized services (health, justice, economic assistance) within 48 hours. A secure database will allow referral follow-up while respecting protection protocols.​</w:t>
      </w:r>
    </w:p>
    <w:p w:rsidR="00D63CE1" w:rsidRPr="00233CDB" w:rsidRDefault="00D63CE1" w:rsidP="008C7DEF">
      <w:pPr>
        <w:pStyle w:val="Heading3"/>
        <w:rPr>
          <w:b w:val="0"/>
          <w:lang w:val="en-US"/>
        </w:rPr>
      </w:pPr>
      <w:r w:rsidRPr="00233CDB">
        <w:rPr>
          <w:lang w:val="en-US"/>
        </w:rPr>
        <w:t>4) Relevance in the eastern DRC context</w:t>
      </w:r>
    </w:p>
    <w:p w:rsidR="00D63CE1" w:rsidRPr="00233CDB" w:rsidRDefault="00D63CE1" w:rsidP="00D63CE1">
      <w:pPr>
        <w:rPr>
          <w:rFonts w:ascii="Times New Roman" w:hAnsi="Times New Roman" w:cs="Times New Roman"/>
          <w:sz w:val="24"/>
          <w:szCs w:val="24"/>
        </w:rPr>
      </w:pPr>
      <w:r w:rsidRPr="00233CDB">
        <w:rPr>
          <w:rFonts w:ascii="Times New Roman" w:hAnsi="Times New Roman" w:cs="Times New Roman"/>
          <w:sz w:val="24"/>
          <w:szCs w:val="24"/>
          <w:lang w:val="en-US"/>
        </w:rPr>
        <w:t xml:space="preserve">Since 2022, the intensification of armed conflict in eastern DRC has severely limited access to psychosocial services. </w:t>
      </w:r>
      <w:r w:rsidRPr="00233CDB">
        <w:rPr>
          <w:rFonts w:ascii="Times New Roman" w:hAnsi="Times New Roman" w:cs="Times New Roman"/>
          <w:sz w:val="24"/>
          <w:szCs w:val="24"/>
        </w:rPr>
        <w:t>According to OCHA (2025):</w:t>
      </w:r>
    </w:p>
    <w:p w:rsidR="00D63CE1" w:rsidRPr="00233CDB" w:rsidRDefault="00D63CE1" w:rsidP="00D63CE1">
      <w:pPr>
        <w:numPr>
          <w:ilvl w:val="0"/>
          <w:numId w:val="15"/>
        </w:numPr>
        <w:rPr>
          <w:rFonts w:ascii="Times New Roman" w:hAnsi="Times New Roman" w:cs="Times New Roman"/>
          <w:sz w:val="24"/>
          <w:szCs w:val="24"/>
        </w:rPr>
      </w:pPr>
      <w:r w:rsidRPr="00233CDB">
        <w:rPr>
          <w:rFonts w:ascii="Times New Roman" w:hAnsi="Times New Roman" w:cs="Times New Roman"/>
          <w:sz w:val="24"/>
          <w:szCs w:val="24"/>
        </w:rPr>
        <w:t>More than 120 active armed groups</w:t>
      </w:r>
    </w:p>
    <w:p w:rsidR="00D63CE1" w:rsidRPr="00233CDB" w:rsidRDefault="00D63CE1" w:rsidP="00D63CE1">
      <w:pPr>
        <w:numPr>
          <w:ilvl w:val="0"/>
          <w:numId w:val="15"/>
        </w:numPr>
        <w:rPr>
          <w:rFonts w:ascii="Times New Roman" w:hAnsi="Times New Roman" w:cs="Times New Roman"/>
          <w:sz w:val="24"/>
          <w:szCs w:val="24"/>
          <w:lang w:val="en-US"/>
        </w:rPr>
      </w:pPr>
      <w:r w:rsidRPr="00233CDB">
        <w:rPr>
          <w:rFonts w:ascii="Times New Roman" w:hAnsi="Times New Roman" w:cs="Times New Roman"/>
          <w:sz w:val="24"/>
          <w:szCs w:val="24"/>
          <w:lang w:val="en-US"/>
        </w:rPr>
        <w:t>Restricted humanitarian access in several territories​</w:t>
      </w:r>
    </w:p>
    <w:p w:rsidR="00D63CE1" w:rsidRPr="00233CDB" w:rsidRDefault="00D63CE1" w:rsidP="00D63CE1">
      <w:pPr>
        <w:spacing w:after="0"/>
        <w:rPr>
          <w:rFonts w:ascii="Times New Roman" w:hAnsi="Times New Roman" w:cs="Times New Roman"/>
          <w:sz w:val="24"/>
          <w:szCs w:val="24"/>
        </w:rPr>
      </w:pPr>
      <w:r w:rsidRPr="00233CDB">
        <w:rPr>
          <w:rFonts w:ascii="Times New Roman" w:hAnsi="Times New Roman" w:cs="Times New Roman"/>
          <w:sz w:val="24"/>
          <w:szCs w:val="24"/>
        </w:rPr>
        <w:t>According to UNHCR:</w:t>
      </w:r>
    </w:p>
    <w:p w:rsidR="00D63CE1" w:rsidRPr="00233CDB" w:rsidRDefault="00D63CE1" w:rsidP="00D63CE1">
      <w:pPr>
        <w:numPr>
          <w:ilvl w:val="0"/>
          <w:numId w:val="16"/>
        </w:numPr>
        <w:spacing w:after="0"/>
        <w:rPr>
          <w:rFonts w:ascii="Times New Roman" w:hAnsi="Times New Roman" w:cs="Times New Roman"/>
          <w:sz w:val="24"/>
          <w:szCs w:val="24"/>
        </w:rPr>
      </w:pPr>
      <w:r w:rsidRPr="00233CDB">
        <w:rPr>
          <w:rFonts w:ascii="Times New Roman" w:hAnsi="Times New Roman" w:cs="Times New Roman"/>
          <w:sz w:val="24"/>
          <w:szCs w:val="24"/>
        </w:rPr>
        <w:t>7.3 million internally displaced persons</w:t>
      </w:r>
    </w:p>
    <w:p w:rsidR="00D63CE1" w:rsidRPr="00233CDB" w:rsidRDefault="00D63CE1" w:rsidP="00D63CE1">
      <w:pPr>
        <w:numPr>
          <w:ilvl w:val="0"/>
          <w:numId w:val="16"/>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High concentration of vulnerabilities among women and children​</w:t>
      </w:r>
    </w:p>
    <w:p w:rsidR="00D63CE1" w:rsidRPr="00233CDB" w:rsidRDefault="00D63CE1" w:rsidP="00D63CE1">
      <w:p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Despite the scale of needs:</w:t>
      </w:r>
    </w:p>
    <w:p w:rsidR="00D63CE1" w:rsidRPr="00233CDB" w:rsidRDefault="00D63CE1" w:rsidP="00D63CE1">
      <w:pPr>
        <w:numPr>
          <w:ilvl w:val="0"/>
          <w:numId w:val="17"/>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Only 20–30% of PSEAH complaints are handled effectively</w:t>
      </w:r>
    </w:p>
    <w:p w:rsidR="00D63CE1" w:rsidRPr="00233CDB" w:rsidRDefault="00D63CE1" w:rsidP="00D63CE1">
      <w:pPr>
        <w:numPr>
          <w:ilvl w:val="0"/>
          <w:numId w:val="17"/>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Only 15% of SGBV survivors receive qualified psychosocial support​</w:t>
      </w:r>
    </w:p>
    <w:p w:rsidR="00D63CE1" w:rsidRPr="00233CDB" w:rsidRDefault="00D63CE1" w:rsidP="00D63CE1">
      <w:pPr>
        <w:spacing w:after="0"/>
        <w:rPr>
          <w:rFonts w:ascii="Times New Roman" w:hAnsi="Times New Roman" w:cs="Times New Roman"/>
          <w:sz w:val="24"/>
          <w:szCs w:val="24"/>
        </w:rPr>
      </w:pPr>
      <w:r w:rsidRPr="00233CDB">
        <w:rPr>
          <w:rFonts w:ascii="Times New Roman" w:hAnsi="Times New Roman" w:cs="Times New Roman"/>
          <w:sz w:val="24"/>
          <w:szCs w:val="24"/>
        </w:rPr>
        <w:t>Major constraints include:</w:t>
      </w:r>
    </w:p>
    <w:p w:rsidR="00D63CE1" w:rsidRPr="00233CDB" w:rsidRDefault="00D63CE1" w:rsidP="00D63CE1">
      <w:pPr>
        <w:numPr>
          <w:ilvl w:val="0"/>
          <w:numId w:val="18"/>
        </w:numPr>
        <w:spacing w:after="0"/>
        <w:rPr>
          <w:rFonts w:ascii="Times New Roman" w:hAnsi="Times New Roman" w:cs="Times New Roman"/>
          <w:sz w:val="24"/>
          <w:szCs w:val="24"/>
        </w:rPr>
      </w:pPr>
      <w:r w:rsidRPr="00233CDB">
        <w:rPr>
          <w:rFonts w:ascii="Times New Roman" w:hAnsi="Times New Roman" w:cs="Times New Roman"/>
          <w:sz w:val="24"/>
          <w:szCs w:val="24"/>
        </w:rPr>
        <w:t>Persistent insecurity and limited access</w:t>
      </w:r>
    </w:p>
    <w:p w:rsidR="00D63CE1" w:rsidRPr="00233CDB" w:rsidRDefault="00D63CE1" w:rsidP="00D63CE1">
      <w:pPr>
        <w:numPr>
          <w:ilvl w:val="0"/>
          <w:numId w:val="18"/>
        </w:numPr>
        <w:spacing w:after="0"/>
        <w:rPr>
          <w:rFonts w:ascii="Times New Roman" w:hAnsi="Times New Roman" w:cs="Times New Roman"/>
          <w:sz w:val="24"/>
          <w:szCs w:val="24"/>
        </w:rPr>
      </w:pPr>
      <w:r w:rsidRPr="00233CDB">
        <w:rPr>
          <w:rFonts w:ascii="Times New Roman" w:hAnsi="Times New Roman" w:cs="Times New Roman"/>
          <w:sz w:val="24"/>
          <w:szCs w:val="24"/>
        </w:rPr>
        <w:lastRenderedPageBreak/>
        <w:t>Community mistrust of humanitarian actors</w:t>
      </w:r>
    </w:p>
    <w:p w:rsidR="00D63CE1" w:rsidRPr="00233CDB" w:rsidRDefault="00D63CE1" w:rsidP="00D63CE1">
      <w:pPr>
        <w:numPr>
          <w:ilvl w:val="0"/>
          <w:numId w:val="18"/>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Chronic underfunding of the mental health sector</w:t>
      </w:r>
    </w:p>
    <w:p w:rsidR="00D63CE1" w:rsidRPr="00233CDB" w:rsidRDefault="00D63CE1" w:rsidP="00D63CE1">
      <w:pPr>
        <w:numPr>
          <w:ilvl w:val="0"/>
          <w:numId w:val="18"/>
        </w:numPr>
        <w:spacing w:after="0"/>
        <w:rPr>
          <w:rFonts w:ascii="Times New Roman" w:hAnsi="Times New Roman" w:cs="Times New Roman"/>
          <w:sz w:val="24"/>
          <w:szCs w:val="24"/>
        </w:rPr>
      </w:pPr>
      <w:r w:rsidRPr="00233CDB">
        <w:rPr>
          <w:rFonts w:ascii="Times New Roman" w:hAnsi="Times New Roman" w:cs="Times New Roman"/>
          <w:sz w:val="24"/>
          <w:szCs w:val="24"/>
        </w:rPr>
        <w:t>Insufficient qualified staff​</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In this context, active listening is a </w:t>
      </w:r>
      <w:r w:rsidRPr="00233CDB">
        <w:rPr>
          <w:rFonts w:ascii="Times New Roman" w:hAnsi="Times New Roman" w:cs="Times New Roman"/>
          <w:b/>
          <w:bCs/>
          <w:sz w:val="24"/>
          <w:szCs w:val="24"/>
          <w:lang w:val="en-US"/>
        </w:rPr>
        <w:t>low-cost, high-impact and adaptable</w:t>
      </w:r>
      <w:r w:rsidRPr="00233CDB">
        <w:rPr>
          <w:rFonts w:ascii="Times New Roman" w:hAnsi="Times New Roman" w:cs="Times New Roman"/>
          <w:sz w:val="24"/>
          <w:szCs w:val="24"/>
          <w:lang w:val="en-US"/>
        </w:rPr>
        <w:t> intervention in unstable environments, enabling direct access to victims without heavy infrastructure.​</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Data from similar interventions in eastern DRC indicate that integrating active listening can:</w:t>
      </w:r>
    </w:p>
    <w:p w:rsidR="00D63CE1" w:rsidRPr="00233CDB" w:rsidRDefault="00D63CE1" w:rsidP="00D63CE1">
      <w:pPr>
        <w:numPr>
          <w:ilvl w:val="0"/>
          <w:numId w:val="19"/>
        </w:numPr>
        <w:spacing w:after="0"/>
        <w:rPr>
          <w:rFonts w:ascii="Times New Roman" w:hAnsi="Times New Roman" w:cs="Times New Roman"/>
          <w:sz w:val="24"/>
          <w:szCs w:val="24"/>
        </w:rPr>
      </w:pPr>
      <w:r w:rsidRPr="00233CDB">
        <w:rPr>
          <w:rFonts w:ascii="Times New Roman" w:hAnsi="Times New Roman" w:cs="Times New Roman"/>
          <w:sz w:val="24"/>
          <w:szCs w:val="24"/>
        </w:rPr>
        <w:t>Increase SGBV reporting by 40%</w:t>
      </w:r>
    </w:p>
    <w:p w:rsidR="00D63CE1" w:rsidRPr="00233CDB" w:rsidRDefault="00D63CE1" w:rsidP="00D63CE1">
      <w:pPr>
        <w:numPr>
          <w:ilvl w:val="0"/>
          <w:numId w:val="19"/>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Ensure treatment of 70% of community complaints</w:t>
      </w:r>
    </w:p>
    <w:p w:rsidR="00D63CE1" w:rsidRPr="00233CDB" w:rsidRDefault="00D63CE1" w:rsidP="00D63CE1">
      <w:pPr>
        <w:numPr>
          <w:ilvl w:val="0"/>
          <w:numId w:val="19"/>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Reduce PTSD symptoms among survivors by 45%</w:t>
      </w:r>
    </w:p>
    <w:p w:rsidR="00D63CE1" w:rsidRPr="00233CDB" w:rsidRDefault="00D63CE1" w:rsidP="00D63CE1">
      <w:pPr>
        <w:numPr>
          <w:ilvl w:val="0"/>
          <w:numId w:val="19"/>
        </w:numPr>
        <w:spacing w:after="0"/>
        <w:rPr>
          <w:rFonts w:ascii="Times New Roman" w:hAnsi="Times New Roman" w:cs="Times New Roman"/>
          <w:sz w:val="24"/>
          <w:szCs w:val="24"/>
        </w:rPr>
      </w:pPr>
      <w:r w:rsidRPr="00233CDB">
        <w:rPr>
          <w:rFonts w:ascii="Times New Roman" w:hAnsi="Times New Roman" w:cs="Times New Roman"/>
          <w:sz w:val="24"/>
          <w:szCs w:val="24"/>
        </w:rPr>
        <w:t>Measurably improve community trust​</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At the scale of the 12</w:t>
      </w:r>
      <w:r w:rsidRPr="00233CDB">
        <w:rPr>
          <w:rFonts w:ascii="Times New Roman" w:hAnsi="Times New Roman" w:cs="Times New Roman"/>
          <w:sz w:val="24"/>
          <w:szCs w:val="24"/>
          <w:lang w:val="en-US"/>
        </w:rPr>
        <w:noBreakHyphen/>
        <w:t>month pilot phase, the program aims for:</w:t>
      </w:r>
    </w:p>
    <w:p w:rsidR="00D63CE1" w:rsidRPr="00233CDB" w:rsidRDefault="00D63CE1" w:rsidP="00D63CE1">
      <w:pPr>
        <w:numPr>
          <w:ilvl w:val="0"/>
          <w:numId w:val="20"/>
        </w:numPr>
        <w:spacing w:after="0"/>
        <w:rPr>
          <w:rFonts w:ascii="Times New Roman" w:hAnsi="Times New Roman" w:cs="Times New Roman"/>
          <w:sz w:val="24"/>
          <w:szCs w:val="24"/>
        </w:rPr>
      </w:pPr>
      <w:r w:rsidRPr="00233CDB">
        <w:rPr>
          <w:rFonts w:ascii="Times New Roman" w:hAnsi="Times New Roman" w:cs="Times New Roman"/>
          <w:sz w:val="24"/>
          <w:szCs w:val="24"/>
        </w:rPr>
        <w:t>1,500 direct beneficiaries</w:t>
      </w:r>
    </w:p>
    <w:p w:rsidR="00D63CE1" w:rsidRPr="00233CDB" w:rsidRDefault="00D63CE1" w:rsidP="00D63CE1">
      <w:pPr>
        <w:numPr>
          <w:ilvl w:val="0"/>
          <w:numId w:val="20"/>
        </w:numPr>
        <w:spacing w:after="0"/>
        <w:rPr>
          <w:rFonts w:ascii="Times New Roman" w:hAnsi="Times New Roman" w:cs="Times New Roman"/>
          <w:sz w:val="24"/>
          <w:szCs w:val="24"/>
        </w:rPr>
      </w:pPr>
      <w:r w:rsidRPr="00233CDB">
        <w:rPr>
          <w:rFonts w:ascii="Times New Roman" w:hAnsi="Times New Roman" w:cs="Times New Roman"/>
          <w:sz w:val="24"/>
          <w:szCs w:val="24"/>
        </w:rPr>
        <w:t>1,200 referrals to specialized services</w:t>
      </w:r>
    </w:p>
    <w:p w:rsidR="00D63CE1" w:rsidRPr="00233CDB" w:rsidRDefault="00D63CE1" w:rsidP="00D63CE1">
      <w:pPr>
        <w:numPr>
          <w:ilvl w:val="0"/>
          <w:numId w:val="20"/>
        </w:numPr>
        <w:spacing w:after="0"/>
        <w:rPr>
          <w:rFonts w:ascii="Times New Roman" w:hAnsi="Times New Roman" w:cs="Times New Roman"/>
          <w:sz w:val="24"/>
          <w:szCs w:val="24"/>
        </w:rPr>
      </w:pPr>
      <w:r w:rsidRPr="00233CDB">
        <w:rPr>
          <w:rFonts w:ascii="Times New Roman" w:hAnsi="Times New Roman" w:cs="Times New Roman"/>
          <w:sz w:val="24"/>
          <w:szCs w:val="24"/>
        </w:rPr>
        <w:t>85% beneficiary satisfaction rate​</w:t>
      </w:r>
    </w:p>
    <w:p w:rsidR="00D63CE1" w:rsidRPr="00233CDB" w:rsidRDefault="00D63CE1" w:rsidP="008C7DEF">
      <w:pPr>
        <w:pStyle w:val="Heading3"/>
        <w:rPr>
          <w:b w:val="0"/>
        </w:rPr>
      </w:pPr>
      <w:r w:rsidRPr="00233CDB">
        <w:t>5) Risk management</w:t>
      </w:r>
    </w:p>
    <w:p w:rsidR="00D63CE1" w:rsidRPr="00233CDB" w:rsidRDefault="00D63CE1" w:rsidP="00D63CE1">
      <w:pPr>
        <w:rPr>
          <w:rFonts w:ascii="Times New Roman" w:hAnsi="Times New Roman" w:cs="Times New Roman"/>
          <w:sz w:val="24"/>
          <w:szCs w:val="24"/>
        </w:rPr>
      </w:pPr>
      <w:r w:rsidRPr="00233CDB">
        <w:rPr>
          <w:rFonts w:ascii="Times New Roman" w:hAnsi="Times New Roman" w:cs="Times New Roman"/>
          <w:b/>
          <w:bCs/>
          <w:sz w:val="24"/>
          <w:szCs w:val="24"/>
        </w:rPr>
        <w:t>Table 3: Risks and mitigation measures</w:t>
      </w:r>
    </w:p>
    <w:tbl>
      <w:tblPr>
        <w:tblStyle w:val="TableGrid"/>
        <w:tblW w:w="5000" w:type="pct"/>
        <w:jc w:val="center"/>
        <w:tblLook w:val="04A0" w:firstRow="1" w:lastRow="0" w:firstColumn="1" w:lastColumn="0" w:noHBand="0" w:noVBand="1"/>
      </w:tblPr>
      <w:tblGrid>
        <w:gridCol w:w="2948"/>
        <w:gridCol w:w="6068"/>
      </w:tblGrid>
      <w:tr w:rsidR="000B7F4C" w:rsidRPr="000B7F4C" w:rsidTr="004D2C21">
        <w:trPr>
          <w:jc w:val="center"/>
        </w:trPr>
        <w:tc>
          <w:tcPr>
            <w:tcW w:w="1635"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Risk</w:t>
            </w:r>
          </w:p>
        </w:tc>
        <w:tc>
          <w:tcPr>
            <w:tcW w:w="3365"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Mitigation Measure</w:t>
            </w:r>
          </w:p>
        </w:tc>
      </w:tr>
      <w:tr w:rsidR="000B7F4C" w:rsidRPr="000B7F4C" w:rsidTr="004D2C21">
        <w:trPr>
          <w:jc w:val="center"/>
        </w:trPr>
        <w:tc>
          <w:tcPr>
            <w:tcW w:w="163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Local insecurity</w:t>
            </w:r>
          </w:p>
        </w:tc>
        <w:tc>
          <w:tcPr>
            <w:tcW w:w="3365" w:type="pct"/>
            <w:hideMark/>
          </w:tcPr>
          <w:p w:rsidR="000B7F4C" w:rsidRPr="000B7F4C" w:rsidRDefault="000B7F4C" w:rsidP="000B7F4C">
            <w:pPr>
              <w:rPr>
                <w:rFonts w:ascii="Segoe UI" w:eastAsia="Times New Roman" w:hAnsi="Segoe UI" w:cs="Segoe UI"/>
                <w:spacing w:val="-6"/>
                <w:sz w:val="24"/>
                <w:szCs w:val="24"/>
                <w:lang w:val="en-US" w:eastAsia="fr-FR"/>
              </w:rPr>
            </w:pPr>
            <w:r w:rsidRPr="000B7F4C">
              <w:rPr>
                <w:rFonts w:ascii="Segoe UI" w:eastAsia="Times New Roman" w:hAnsi="Segoe UI" w:cs="Segoe UI"/>
                <w:spacing w:val="-6"/>
                <w:sz w:val="24"/>
                <w:szCs w:val="24"/>
                <w:lang w:val="en-US" w:eastAsia="fr-FR"/>
              </w:rPr>
              <w:t>Coordination with local authorities and selection of neutral areas</w:t>
            </w:r>
          </w:p>
        </w:tc>
      </w:tr>
      <w:tr w:rsidR="000B7F4C" w:rsidRPr="000B7F4C" w:rsidTr="004D2C21">
        <w:trPr>
          <w:jc w:val="center"/>
        </w:trPr>
        <w:tc>
          <w:tcPr>
            <w:tcW w:w="163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Stigmatization of survivors</w:t>
            </w:r>
          </w:p>
        </w:tc>
        <w:tc>
          <w:tcPr>
            <w:tcW w:w="336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Continuous community sensitization</w:t>
            </w:r>
          </w:p>
        </w:tc>
      </w:tr>
      <w:tr w:rsidR="000B7F4C" w:rsidRPr="000B7F4C" w:rsidTr="004D2C21">
        <w:trPr>
          <w:jc w:val="center"/>
        </w:trPr>
        <w:tc>
          <w:tcPr>
            <w:tcW w:w="163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Facilitator burnout</w:t>
            </w:r>
          </w:p>
        </w:tc>
        <w:tc>
          <w:tcPr>
            <w:tcW w:w="336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Monthly psychosocial supervision</w:t>
            </w:r>
          </w:p>
        </w:tc>
      </w:tr>
      <w:tr w:rsidR="000B7F4C" w:rsidRPr="000B7F4C" w:rsidTr="004D2C21">
        <w:trPr>
          <w:jc w:val="center"/>
        </w:trPr>
        <w:tc>
          <w:tcPr>
            <w:tcW w:w="163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Compromised confidentiality</w:t>
            </w:r>
          </w:p>
        </w:tc>
        <w:tc>
          <w:tcPr>
            <w:tcW w:w="3365"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Strict data management protocols</w:t>
            </w:r>
          </w:p>
        </w:tc>
      </w:tr>
    </w:tbl>
    <w:p w:rsidR="00D63CE1" w:rsidRPr="00233CDB" w:rsidRDefault="00D63CE1" w:rsidP="000B7F4C">
      <w:p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w:t>
      </w:r>
    </w:p>
    <w:p w:rsidR="00D63CE1" w:rsidRPr="00233CDB" w:rsidRDefault="00D63CE1" w:rsidP="008C7DEF">
      <w:pPr>
        <w:pStyle w:val="Heading3"/>
        <w:rPr>
          <w:b w:val="0"/>
          <w:lang w:val="en-US"/>
        </w:rPr>
      </w:pPr>
      <w:r w:rsidRPr="00233CDB">
        <w:rPr>
          <w:lang w:val="en-US"/>
        </w:rPr>
        <w:t>6) Added value of the program</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The EAC-VG program strengthens:</w:t>
      </w:r>
    </w:p>
    <w:p w:rsidR="00D63CE1" w:rsidRPr="00233CDB" w:rsidRDefault="00D63CE1" w:rsidP="00D63CE1">
      <w:pPr>
        <w:numPr>
          <w:ilvl w:val="0"/>
          <w:numId w:val="22"/>
        </w:numPr>
        <w:spacing w:after="0"/>
        <w:rPr>
          <w:rFonts w:ascii="Times New Roman" w:hAnsi="Times New Roman" w:cs="Times New Roman"/>
          <w:sz w:val="24"/>
          <w:szCs w:val="24"/>
        </w:rPr>
      </w:pPr>
      <w:r w:rsidRPr="00233CDB">
        <w:rPr>
          <w:rFonts w:ascii="Times New Roman" w:hAnsi="Times New Roman" w:cs="Times New Roman"/>
          <w:sz w:val="24"/>
          <w:szCs w:val="24"/>
        </w:rPr>
        <w:t>Humanitarian accountability</w:t>
      </w:r>
    </w:p>
    <w:p w:rsidR="00D63CE1" w:rsidRPr="00233CDB" w:rsidRDefault="00D63CE1" w:rsidP="00D63CE1">
      <w:pPr>
        <w:numPr>
          <w:ilvl w:val="0"/>
          <w:numId w:val="22"/>
        </w:numPr>
        <w:spacing w:after="0"/>
        <w:rPr>
          <w:rFonts w:ascii="Times New Roman" w:hAnsi="Times New Roman" w:cs="Times New Roman"/>
          <w:sz w:val="24"/>
          <w:szCs w:val="24"/>
          <w:lang w:val="en-US"/>
        </w:rPr>
      </w:pPr>
      <w:r w:rsidRPr="00233CDB">
        <w:rPr>
          <w:rFonts w:ascii="Times New Roman" w:hAnsi="Times New Roman" w:cs="Times New Roman"/>
          <w:sz w:val="24"/>
          <w:szCs w:val="24"/>
          <w:lang w:val="en-US"/>
        </w:rPr>
        <w:t>Inclusion of survivors in feedback mechanisms</w:t>
      </w:r>
      <w:bookmarkStart w:id="0" w:name="_GoBack"/>
      <w:bookmarkEnd w:id="0"/>
    </w:p>
    <w:p w:rsidR="00D63CE1" w:rsidRPr="00233CDB" w:rsidRDefault="00D63CE1" w:rsidP="00D63CE1">
      <w:pPr>
        <w:numPr>
          <w:ilvl w:val="0"/>
          <w:numId w:val="22"/>
        </w:numPr>
        <w:spacing w:after="0"/>
        <w:rPr>
          <w:rFonts w:ascii="Times New Roman" w:hAnsi="Times New Roman" w:cs="Times New Roman"/>
          <w:sz w:val="24"/>
          <w:szCs w:val="24"/>
        </w:rPr>
      </w:pPr>
      <w:r w:rsidRPr="00233CDB">
        <w:rPr>
          <w:rFonts w:ascii="Times New Roman" w:hAnsi="Times New Roman" w:cs="Times New Roman"/>
          <w:sz w:val="24"/>
          <w:szCs w:val="24"/>
        </w:rPr>
        <w:t>Community social cohesion</w:t>
      </w:r>
    </w:p>
    <w:p w:rsidR="00D63CE1" w:rsidRPr="00233CDB" w:rsidRDefault="00D63CE1" w:rsidP="00D63CE1">
      <w:pPr>
        <w:numPr>
          <w:ilvl w:val="0"/>
          <w:numId w:val="22"/>
        </w:numPr>
        <w:spacing w:after="0"/>
        <w:rPr>
          <w:rFonts w:ascii="Times New Roman" w:hAnsi="Times New Roman" w:cs="Times New Roman"/>
          <w:sz w:val="24"/>
          <w:szCs w:val="24"/>
        </w:rPr>
      </w:pPr>
      <w:r w:rsidRPr="00233CDB">
        <w:rPr>
          <w:rFonts w:ascii="Times New Roman" w:hAnsi="Times New Roman" w:cs="Times New Roman"/>
          <w:sz w:val="24"/>
          <w:szCs w:val="24"/>
        </w:rPr>
        <w:t>Legitimacy of humanitarian actors​</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It offers a structured, measurable response aligned with international standards and adapted to Uvira’s operational constraints.​</w:t>
      </w:r>
    </w:p>
    <w:p w:rsidR="00D63CE1" w:rsidRPr="00233CDB" w:rsidRDefault="00D63CE1" w:rsidP="009A4E26">
      <w:pPr>
        <w:pStyle w:val="Heading1"/>
      </w:pPr>
      <w:r w:rsidRPr="00233CDB">
        <w:t>Key indicators</w:t>
      </w:r>
    </w:p>
    <w:p w:rsidR="00D63CE1" w:rsidRDefault="00D63CE1" w:rsidP="00D63CE1">
      <w:pPr>
        <w:rPr>
          <w:rFonts w:ascii="Times New Roman" w:hAnsi="Times New Roman" w:cs="Times New Roman"/>
          <w:b/>
          <w:bCs/>
          <w:sz w:val="24"/>
          <w:szCs w:val="24"/>
        </w:rPr>
      </w:pPr>
      <w:r w:rsidRPr="00233CDB">
        <w:rPr>
          <w:rFonts w:ascii="Times New Roman" w:hAnsi="Times New Roman" w:cs="Times New Roman"/>
          <w:b/>
          <w:bCs/>
          <w:sz w:val="24"/>
          <w:szCs w:val="24"/>
        </w:rPr>
        <w:t>Table 4: Indicators</w:t>
      </w:r>
    </w:p>
    <w:tbl>
      <w:tblPr>
        <w:tblStyle w:val="TableGrid"/>
        <w:tblW w:w="5000" w:type="pct"/>
        <w:jc w:val="center"/>
        <w:tblLook w:val="04A0" w:firstRow="1" w:lastRow="0" w:firstColumn="1" w:lastColumn="0" w:noHBand="0" w:noVBand="1"/>
      </w:tblPr>
      <w:tblGrid>
        <w:gridCol w:w="4394"/>
        <w:gridCol w:w="4622"/>
      </w:tblGrid>
      <w:tr w:rsidR="000B7F4C" w:rsidTr="000B7F4C">
        <w:trPr>
          <w:jc w:val="center"/>
        </w:trPr>
        <w:tc>
          <w:tcPr>
            <w:tcW w:w="2437" w:type="pct"/>
          </w:tcPr>
          <w:p w:rsidR="000B7F4C" w:rsidRDefault="000B7F4C" w:rsidP="00D63CE1">
            <w:pPr>
              <w:rPr>
                <w:rFonts w:ascii="Times New Roman" w:hAnsi="Times New Roman" w:cs="Times New Roman"/>
                <w:sz w:val="24"/>
                <w:szCs w:val="24"/>
              </w:rPr>
            </w:pPr>
          </w:p>
        </w:tc>
        <w:tc>
          <w:tcPr>
            <w:tcW w:w="2563" w:type="pct"/>
          </w:tcPr>
          <w:p w:rsidR="000B7F4C" w:rsidRDefault="000B7F4C" w:rsidP="00D63CE1">
            <w:pPr>
              <w:rPr>
                <w:rFonts w:ascii="Times New Roman" w:hAnsi="Times New Roman" w:cs="Times New Roman"/>
                <w:sz w:val="24"/>
                <w:szCs w:val="24"/>
              </w:rPr>
            </w:pPr>
          </w:p>
        </w:tc>
      </w:tr>
      <w:tr w:rsidR="000B7F4C" w:rsidRPr="000B7F4C" w:rsidTr="000B7F4C">
        <w:trPr>
          <w:jc w:val="center"/>
        </w:trPr>
        <w:tc>
          <w:tcPr>
            <w:tcW w:w="2437"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Indicator</w:t>
            </w:r>
          </w:p>
        </w:tc>
        <w:tc>
          <w:tcPr>
            <w:tcW w:w="2563" w:type="pct"/>
            <w:hideMark/>
          </w:tcPr>
          <w:p w:rsidR="000B7F4C" w:rsidRPr="000B7F4C" w:rsidRDefault="000B7F4C" w:rsidP="000B7F4C">
            <w:pPr>
              <w:rPr>
                <w:rFonts w:ascii="Segoe UI" w:eastAsia="Times New Roman" w:hAnsi="Segoe UI" w:cs="Segoe UI"/>
                <w:b/>
                <w:bCs/>
                <w:spacing w:val="-6"/>
                <w:sz w:val="24"/>
                <w:szCs w:val="24"/>
                <w:lang w:eastAsia="fr-FR"/>
              </w:rPr>
            </w:pPr>
            <w:r w:rsidRPr="000B7F4C">
              <w:rPr>
                <w:rFonts w:ascii="Segoe UI" w:eastAsia="Times New Roman" w:hAnsi="Segoe UI" w:cs="Segoe UI"/>
                <w:b/>
                <w:bCs/>
                <w:spacing w:val="-6"/>
                <w:sz w:val="24"/>
                <w:szCs w:val="24"/>
                <w:bdr w:val="single" w:sz="2" w:space="0" w:color="auto" w:frame="1"/>
                <w:lang w:eastAsia="fr-FR"/>
              </w:rPr>
              <w:t>Result / Source</w:t>
            </w:r>
          </w:p>
        </w:tc>
      </w:tr>
      <w:tr w:rsidR="000B7F4C" w:rsidRPr="000B7F4C" w:rsidTr="000B7F4C">
        <w:trPr>
          <w:jc w:val="center"/>
        </w:trPr>
        <w:tc>
          <w:tcPr>
            <w:tcW w:w="2437"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Number of listening sessions</w:t>
            </w:r>
          </w:p>
        </w:tc>
        <w:tc>
          <w:tcPr>
            <w:tcW w:w="256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150 (source: facilitator reports)</w:t>
            </w:r>
          </w:p>
        </w:tc>
      </w:tr>
      <w:tr w:rsidR="000B7F4C" w:rsidRPr="000B7F4C" w:rsidTr="000B7F4C">
        <w:trPr>
          <w:jc w:val="center"/>
        </w:trPr>
        <w:tc>
          <w:tcPr>
            <w:tcW w:w="2437"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Satisfaction rate</w:t>
            </w:r>
          </w:p>
        </w:tc>
        <w:tc>
          <w:tcPr>
            <w:tcW w:w="256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85% (post-session surveys)</w:t>
            </w:r>
          </w:p>
        </w:tc>
      </w:tr>
      <w:tr w:rsidR="000B7F4C" w:rsidRPr="000B7F4C" w:rsidTr="000B7F4C">
        <w:trPr>
          <w:jc w:val="center"/>
        </w:trPr>
        <w:tc>
          <w:tcPr>
            <w:tcW w:w="2437"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Number of referrals</w:t>
            </w:r>
          </w:p>
        </w:tc>
        <w:tc>
          <w:tcPr>
            <w:tcW w:w="256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1,200 (80%) (secure database)</w:t>
            </w:r>
          </w:p>
        </w:tc>
      </w:tr>
      <w:tr w:rsidR="000B7F4C" w:rsidRPr="000B7F4C" w:rsidTr="000B7F4C">
        <w:trPr>
          <w:jc w:val="center"/>
        </w:trPr>
        <w:tc>
          <w:tcPr>
            <w:tcW w:w="2437"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PSEAH complaints handled</w:t>
            </w:r>
          </w:p>
        </w:tc>
        <w:tc>
          <w:tcPr>
            <w:tcW w:w="2563" w:type="pct"/>
            <w:hideMark/>
          </w:tcPr>
          <w:p w:rsidR="000B7F4C" w:rsidRPr="000B7F4C" w:rsidRDefault="000B7F4C" w:rsidP="000B7F4C">
            <w:pPr>
              <w:rPr>
                <w:rFonts w:ascii="Segoe UI" w:eastAsia="Times New Roman" w:hAnsi="Segoe UI" w:cs="Segoe UI"/>
                <w:spacing w:val="-6"/>
                <w:sz w:val="24"/>
                <w:szCs w:val="24"/>
                <w:lang w:eastAsia="fr-FR"/>
              </w:rPr>
            </w:pPr>
            <w:r w:rsidRPr="000B7F4C">
              <w:rPr>
                <w:rFonts w:ascii="Segoe UI" w:eastAsia="Times New Roman" w:hAnsi="Segoe UI" w:cs="Segoe UI"/>
                <w:spacing w:val="-6"/>
                <w:sz w:val="24"/>
                <w:szCs w:val="24"/>
                <w:lang w:eastAsia="fr-FR"/>
              </w:rPr>
              <w:t>At least 70% (monthly reports)</w:t>
            </w:r>
          </w:p>
        </w:tc>
      </w:tr>
    </w:tbl>
    <w:p w:rsidR="000B7F4C" w:rsidRPr="00233CDB" w:rsidRDefault="000B7F4C" w:rsidP="000B7F4C">
      <w:pPr>
        <w:spacing w:after="0"/>
        <w:rPr>
          <w:rFonts w:ascii="Times New Roman" w:hAnsi="Times New Roman" w:cs="Times New Roman"/>
          <w:sz w:val="24"/>
          <w:szCs w:val="24"/>
          <w:lang w:val="en-US"/>
        </w:rPr>
      </w:pPr>
    </w:p>
    <w:p w:rsidR="00D63CE1" w:rsidRPr="00233CDB" w:rsidRDefault="00D63CE1" w:rsidP="009A4E26">
      <w:pPr>
        <w:pStyle w:val="Heading1"/>
        <w:rPr>
          <w:lang w:val="en-US"/>
        </w:rPr>
      </w:pPr>
      <w:r w:rsidRPr="00233CDB">
        <w:rPr>
          <w:lang w:val="en-US"/>
        </w:rPr>
        <w:t>Implementation plan</w:t>
      </w:r>
    </w:p>
    <w:p w:rsidR="00D63CE1" w:rsidRPr="00233CDB" w:rsidRDefault="00D63CE1" w:rsidP="00D63CE1">
      <w:pPr>
        <w:rPr>
          <w:rFonts w:ascii="Times New Roman" w:hAnsi="Times New Roman" w:cs="Times New Roman"/>
          <w:sz w:val="24"/>
          <w:szCs w:val="24"/>
          <w:lang w:val="en-US"/>
        </w:rPr>
      </w:pPr>
      <w:r w:rsidRPr="00233CDB">
        <w:rPr>
          <w:rFonts w:ascii="Times New Roman" w:hAnsi="Times New Roman" w:cs="Times New Roman"/>
          <w:sz w:val="24"/>
          <w:szCs w:val="24"/>
          <w:lang w:val="en-US"/>
        </w:rPr>
        <w:t>Duration: 12 months (April – March 2027)</w:t>
      </w:r>
    </w:p>
    <w:p w:rsidR="00D63CE1" w:rsidRPr="00233CDB" w:rsidRDefault="00D63CE1" w:rsidP="00D63CE1">
      <w:pPr>
        <w:numPr>
          <w:ilvl w:val="0"/>
          <w:numId w:val="24"/>
        </w:numPr>
        <w:spacing w:after="0"/>
        <w:rPr>
          <w:rFonts w:ascii="Times New Roman" w:hAnsi="Times New Roman" w:cs="Times New Roman"/>
          <w:sz w:val="24"/>
          <w:szCs w:val="24"/>
        </w:rPr>
      </w:pPr>
      <w:r w:rsidRPr="00233CDB">
        <w:rPr>
          <w:rFonts w:ascii="Times New Roman" w:hAnsi="Times New Roman" w:cs="Times New Roman"/>
          <w:sz w:val="24"/>
          <w:szCs w:val="24"/>
        </w:rPr>
        <w:t>Months 1–3: Assessment &amp; training</w:t>
      </w:r>
    </w:p>
    <w:p w:rsidR="00D63CE1" w:rsidRPr="00233CDB" w:rsidRDefault="00D63CE1" w:rsidP="00D63CE1">
      <w:pPr>
        <w:numPr>
          <w:ilvl w:val="0"/>
          <w:numId w:val="24"/>
        </w:numPr>
        <w:spacing w:after="0"/>
        <w:rPr>
          <w:rFonts w:ascii="Times New Roman" w:hAnsi="Times New Roman" w:cs="Times New Roman"/>
          <w:sz w:val="24"/>
          <w:szCs w:val="24"/>
        </w:rPr>
      </w:pPr>
      <w:r w:rsidRPr="00233CDB">
        <w:rPr>
          <w:rFonts w:ascii="Times New Roman" w:hAnsi="Times New Roman" w:cs="Times New Roman"/>
          <w:sz w:val="24"/>
          <w:szCs w:val="24"/>
        </w:rPr>
        <w:t>Months 4–9: Implementation of sessions &amp; hotline</w:t>
      </w:r>
    </w:p>
    <w:p w:rsidR="00D63CE1" w:rsidRPr="00233CDB" w:rsidRDefault="00D63CE1" w:rsidP="00D63CE1">
      <w:pPr>
        <w:numPr>
          <w:ilvl w:val="0"/>
          <w:numId w:val="24"/>
        </w:numPr>
        <w:spacing w:after="0"/>
        <w:rPr>
          <w:rFonts w:ascii="Times New Roman" w:hAnsi="Times New Roman" w:cs="Times New Roman"/>
          <w:sz w:val="24"/>
          <w:szCs w:val="24"/>
        </w:rPr>
      </w:pPr>
      <w:r w:rsidRPr="00233CDB">
        <w:rPr>
          <w:rFonts w:ascii="Times New Roman" w:hAnsi="Times New Roman" w:cs="Times New Roman"/>
          <w:sz w:val="24"/>
          <w:szCs w:val="24"/>
        </w:rPr>
        <w:t>Months 10–12: Referrals &amp; evaluation​</w:t>
      </w:r>
    </w:p>
    <w:p w:rsidR="00D63CE1" w:rsidRPr="00233CDB" w:rsidRDefault="00D63CE1" w:rsidP="009A4E26">
      <w:pPr>
        <w:pStyle w:val="Heading1"/>
        <w:rPr>
          <w:lang w:val="en-US"/>
        </w:rPr>
      </w:pPr>
      <w:r w:rsidRPr="00233CDB">
        <w:rPr>
          <w:lang w:val="en-US"/>
        </w:rPr>
        <w:t>Summary budget (USD)</w:t>
      </w:r>
    </w:p>
    <w:p w:rsidR="004D2C21" w:rsidRPr="004D2C21" w:rsidRDefault="00D63CE1" w:rsidP="00D63CE1">
      <w:pPr>
        <w:rPr>
          <w:rFonts w:ascii="Times New Roman" w:hAnsi="Times New Roman" w:cs="Times New Roman"/>
          <w:b/>
          <w:bCs/>
          <w:sz w:val="24"/>
          <w:szCs w:val="24"/>
          <w:lang w:val="en-US"/>
        </w:rPr>
      </w:pPr>
      <w:r w:rsidRPr="00233CDB">
        <w:rPr>
          <w:rFonts w:ascii="Times New Roman" w:hAnsi="Times New Roman" w:cs="Times New Roman"/>
          <w:b/>
          <w:bCs/>
          <w:sz w:val="24"/>
          <w:szCs w:val="24"/>
          <w:lang w:val="en-US"/>
        </w:rPr>
        <w:t>Table 5: Budget for the pilot phase</w:t>
      </w:r>
    </w:p>
    <w:tbl>
      <w:tblPr>
        <w:tblStyle w:val="TableGrid"/>
        <w:tblW w:w="5000" w:type="pct"/>
        <w:tblLook w:val="04A0" w:firstRow="1" w:lastRow="0" w:firstColumn="1" w:lastColumn="0" w:noHBand="0" w:noVBand="1"/>
      </w:tblPr>
      <w:tblGrid>
        <w:gridCol w:w="4451"/>
        <w:gridCol w:w="2605"/>
        <w:gridCol w:w="1960"/>
      </w:tblGrid>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b/>
                <w:bCs/>
                <w:sz w:val="24"/>
                <w:szCs w:val="24"/>
              </w:rPr>
            </w:pPr>
            <w:r w:rsidRPr="004D2C21">
              <w:rPr>
                <w:rFonts w:ascii="Times New Roman" w:hAnsi="Times New Roman" w:cs="Times New Roman"/>
                <w:b/>
                <w:bCs/>
                <w:sz w:val="24"/>
                <w:szCs w:val="24"/>
              </w:rPr>
              <w:t>Budget Category</w:t>
            </w:r>
          </w:p>
        </w:tc>
        <w:tc>
          <w:tcPr>
            <w:tcW w:w="1444" w:type="pct"/>
            <w:hideMark/>
          </w:tcPr>
          <w:p w:rsidR="004D2C21" w:rsidRPr="004D2C21" w:rsidRDefault="004D2C21" w:rsidP="00D062A0">
            <w:pPr>
              <w:spacing w:after="160" w:line="259" w:lineRule="auto"/>
              <w:rPr>
                <w:rFonts w:ascii="Times New Roman" w:hAnsi="Times New Roman" w:cs="Times New Roman"/>
                <w:b/>
                <w:bCs/>
                <w:sz w:val="24"/>
                <w:szCs w:val="24"/>
              </w:rPr>
            </w:pPr>
            <w:r w:rsidRPr="004D2C21">
              <w:rPr>
                <w:rFonts w:ascii="Times New Roman" w:hAnsi="Times New Roman" w:cs="Times New Roman"/>
                <w:b/>
                <w:bCs/>
                <w:sz w:val="24"/>
                <w:szCs w:val="24"/>
              </w:rPr>
              <w:t>Amount (USD)</w:t>
            </w:r>
          </w:p>
        </w:tc>
        <w:tc>
          <w:tcPr>
            <w:tcW w:w="1087" w:type="pct"/>
            <w:hideMark/>
          </w:tcPr>
          <w:p w:rsidR="004D2C21" w:rsidRPr="004D2C21" w:rsidRDefault="004D2C21" w:rsidP="00D062A0">
            <w:pPr>
              <w:spacing w:after="160" w:line="259" w:lineRule="auto"/>
              <w:rPr>
                <w:rFonts w:ascii="Times New Roman" w:hAnsi="Times New Roman" w:cs="Times New Roman"/>
                <w:b/>
                <w:bCs/>
                <w:sz w:val="24"/>
                <w:szCs w:val="24"/>
              </w:rPr>
            </w:pPr>
            <w:r w:rsidRPr="004D2C21">
              <w:rPr>
                <w:rFonts w:ascii="Times New Roman" w:hAnsi="Times New Roman" w:cs="Times New Roman"/>
                <w:b/>
                <w:bCs/>
                <w:sz w:val="24"/>
                <w:szCs w:val="24"/>
              </w:rPr>
              <w:t>% of Total</w:t>
            </w:r>
          </w:p>
        </w:tc>
      </w:tr>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Personnel</w:t>
            </w:r>
          </w:p>
        </w:tc>
        <w:tc>
          <w:tcPr>
            <w:tcW w:w="1444"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12,000</w:t>
            </w:r>
          </w:p>
        </w:tc>
        <w:tc>
          <w:tcPr>
            <w:tcW w:w="1087"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40%</w:t>
            </w:r>
          </w:p>
        </w:tc>
      </w:tr>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Logistics</w:t>
            </w:r>
          </w:p>
        </w:tc>
        <w:tc>
          <w:tcPr>
            <w:tcW w:w="1444"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6,000</w:t>
            </w:r>
          </w:p>
        </w:tc>
        <w:tc>
          <w:tcPr>
            <w:tcW w:w="1087"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20%</w:t>
            </w:r>
          </w:p>
        </w:tc>
      </w:tr>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Training &amp; materials</w:t>
            </w:r>
          </w:p>
        </w:tc>
        <w:tc>
          <w:tcPr>
            <w:tcW w:w="1444"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4,500</w:t>
            </w:r>
          </w:p>
        </w:tc>
        <w:tc>
          <w:tcPr>
            <w:tcW w:w="1087"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15%</w:t>
            </w:r>
          </w:p>
        </w:tc>
      </w:tr>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Referrals &amp; small cash</w:t>
            </w:r>
          </w:p>
        </w:tc>
        <w:tc>
          <w:tcPr>
            <w:tcW w:w="1444"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3,000</w:t>
            </w:r>
          </w:p>
        </w:tc>
        <w:tc>
          <w:tcPr>
            <w:tcW w:w="1087"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10%</w:t>
            </w:r>
          </w:p>
        </w:tc>
      </w:tr>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Monitoring &amp; administration</w:t>
            </w:r>
          </w:p>
        </w:tc>
        <w:tc>
          <w:tcPr>
            <w:tcW w:w="1444"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4,500</w:t>
            </w:r>
          </w:p>
        </w:tc>
        <w:tc>
          <w:tcPr>
            <w:tcW w:w="1087"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sz w:val="24"/>
                <w:szCs w:val="24"/>
              </w:rPr>
              <w:t>15%</w:t>
            </w:r>
          </w:p>
        </w:tc>
      </w:tr>
      <w:tr w:rsidR="004D2C21" w:rsidRPr="004D2C21" w:rsidTr="004D2C21">
        <w:tc>
          <w:tcPr>
            <w:tcW w:w="2468"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b/>
                <w:bCs/>
                <w:sz w:val="24"/>
                <w:szCs w:val="24"/>
              </w:rPr>
              <w:t>Total</w:t>
            </w:r>
          </w:p>
        </w:tc>
        <w:tc>
          <w:tcPr>
            <w:tcW w:w="1444"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b/>
                <w:bCs/>
                <w:sz w:val="24"/>
                <w:szCs w:val="24"/>
              </w:rPr>
              <w:t>30,000</w:t>
            </w:r>
          </w:p>
        </w:tc>
        <w:tc>
          <w:tcPr>
            <w:tcW w:w="1087" w:type="pct"/>
            <w:hideMark/>
          </w:tcPr>
          <w:p w:rsidR="004D2C21" w:rsidRPr="004D2C21" w:rsidRDefault="004D2C21" w:rsidP="00D062A0">
            <w:pPr>
              <w:spacing w:after="160" w:line="259" w:lineRule="auto"/>
              <w:rPr>
                <w:rFonts w:ascii="Times New Roman" w:hAnsi="Times New Roman" w:cs="Times New Roman"/>
                <w:sz w:val="24"/>
                <w:szCs w:val="24"/>
              </w:rPr>
            </w:pPr>
            <w:r w:rsidRPr="004D2C21">
              <w:rPr>
                <w:rFonts w:ascii="Times New Roman" w:hAnsi="Times New Roman" w:cs="Times New Roman"/>
                <w:b/>
                <w:bCs/>
                <w:sz w:val="24"/>
                <w:szCs w:val="24"/>
              </w:rPr>
              <w:t>100%</w:t>
            </w:r>
          </w:p>
        </w:tc>
      </w:tr>
    </w:tbl>
    <w:p w:rsidR="00D63CE1" w:rsidRPr="00233CDB" w:rsidRDefault="00D63CE1" w:rsidP="00D63CE1">
      <w:pPr>
        <w:rPr>
          <w:rFonts w:ascii="Times New Roman" w:hAnsi="Times New Roman" w:cs="Times New Roman"/>
          <w:sz w:val="24"/>
          <w:szCs w:val="24"/>
          <w:lang w:val="en-US"/>
        </w:rPr>
      </w:pPr>
      <w:r w:rsidRPr="004D2C21">
        <w:rPr>
          <w:rFonts w:ascii="Times New Roman" w:hAnsi="Times New Roman" w:cs="Times New Roman"/>
          <w:b/>
          <w:sz w:val="24"/>
          <w:szCs w:val="24"/>
          <w:lang w:val="en-US"/>
        </w:rPr>
        <w:t>Average cost per beneficiary: 20 USD</w:t>
      </w:r>
      <w:r w:rsidR="004D2C21">
        <w:rPr>
          <w:rFonts w:ascii="Times New Roman" w:hAnsi="Times New Roman" w:cs="Times New Roman"/>
          <w:sz w:val="24"/>
          <w:szCs w:val="24"/>
          <w:lang w:val="en-US"/>
        </w:rPr>
        <w:t>.</w:t>
      </w:r>
    </w:p>
    <w:p w:rsidR="00D63CE1" w:rsidRPr="00233CDB" w:rsidRDefault="00D63CE1" w:rsidP="009A4E26">
      <w:pPr>
        <w:pStyle w:val="Heading1"/>
        <w:rPr>
          <w:lang w:val="en-US"/>
        </w:rPr>
      </w:pPr>
      <w:r w:rsidRPr="00233CDB">
        <w:rPr>
          <w:lang w:val="en-US"/>
        </w:rPr>
        <w:t>Sustainability and exit strategy</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The </w:t>
      </w:r>
      <w:r w:rsidRPr="00233CDB">
        <w:rPr>
          <w:rFonts w:ascii="Times New Roman" w:hAnsi="Times New Roman" w:cs="Times New Roman"/>
          <w:b/>
          <w:bCs/>
          <w:sz w:val="24"/>
          <w:szCs w:val="24"/>
          <w:lang w:val="en-US"/>
        </w:rPr>
        <w:t>sustainability</w:t>
      </w:r>
      <w:r w:rsidRPr="00233CDB">
        <w:rPr>
          <w:rFonts w:ascii="Times New Roman" w:hAnsi="Times New Roman" w:cs="Times New Roman"/>
          <w:sz w:val="24"/>
          <w:szCs w:val="24"/>
          <w:lang w:val="en-US"/>
        </w:rPr>
        <w:t> of the program is based on a clear logic of gradually transferring responsibilities to local actors so that community listening spaces and referral mechanisms continue to operate beyond the initial funding. From the start-up phase, the project provides a “transition” plan that defines what must be maintained (spaces, tools, committees), by whom (community leaders, state structures, local CSOs) and with what resources (local budgets, community contributions, complementary support from partners).​</w:t>
      </w:r>
    </w:p>
    <w:p w:rsidR="00D63CE1" w:rsidRPr="00233CDB" w:rsidRDefault="00D63CE1" w:rsidP="009A4E26">
      <w:pPr>
        <w:pStyle w:val="Heading2"/>
        <w:numPr>
          <w:ilvl w:val="0"/>
          <w:numId w:val="28"/>
        </w:numPr>
        <w:rPr>
          <w:b w:val="0"/>
          <w:lang w:val="en-US"/>
        </w:rPr>
      </w:pPr>
      <w:r w:rsidRPr="00233CDB">
        <w:rPr>
          <w:lang w:val="en-US"/>
        </w:rPr>
        <w:t>Transfer of skills to community leaders</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The transfer of skills to community leaders is at the heart of the project’s </w:t>
      </w:r>
      <w:r w:rsidRPr="00233CDB">
        <w:rPr>
          <w:rFonts w:ascii="Times New Roman" w:hAnsi="Times New Roman" w:cs="Times New Roman"/>
          <w:b/>
          <w:bCs/>
          <w:sz w:val="24"/>
          <w:szCs w:val="24"/>
          <w:lang w:val="en-US"/>
        </w:rPr>
        <w:t>responsible exit</w:t>
      </w:r>
      <w:r w:rsidRPr="00233CDB">
        <w:rPr>
          <w:rFonts w:ascii="Times New Roman" w:hAnsi="Times New Roman" w:cs="Times New Roman"/>
          <w:sz w:val="24"/>
          <w:szCs w:val="24"/>
          <w:lang w:val="en-US"/>
        </w:rPr>
        <w:t> mechanism. The 1,200 targeted leaders (traditional chiefs, religious leaders, youth leaders, members of IDP committees, women leaders, etc.) will benefit from modular training cycles on PSEAH, active listening, confidential complaint management, safe referral to specialized services and community follow-up. This capacity building is complemented by close support (mentoring, group supervision, experience-sharing) to consolidate practice in the field and create a core group of local focal points able to maintain listening spaces even after the progressive withdrawal of the implementing organization. Ultimately, these leaders will become the main guarantors of mechanism continuity, integrating project tools (complaint forms, referral protocols, sensitization messages) into their own community practices.​</w:t>
      </w:r>
    </w:p>
    <w:p w:rsidR="00D63CE1" w:rsidRPr="00233CDB" w:rsidRDefault="00D63CE1" w:rsidP="009A4E26">
      <w:pPr>
        <w:pStyle w:val="Heading2"/>
        <w:numPr>
          <w:ilvl w:val="0"/>
          <w:numId w:val="28"/>
        </w:numPr>
        <w:rPr>
          <w:b w:val="0"/>
          <w:lang w:val="en-US"/>
        </w:rPr>
      </w:pPr>
      <w:r w:rsidRPr="00233CDB">
        <w:rPr>
          <w:lang w:val="en-US"/>
        </w:rPr>
        <w:lastRenderedPageBreak/>
        <w:t>Integration into existing local structures</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To avoid creating parallel systems, the project will build on </w:t>
      </w:r>
      <w:r w:rsidRPr="00233CDB">
        <w:rPr>
          <w:rFonts w:ascii="Times New Roman" w:hAnsi="Times New Roman" w:cs="Times New Roman"/>
          <w:b/>
          <w:bCs/>
          <w:sz w:val="24"/>
          <w:szCs w:val="24"/>
          <w:lang w:val="en-US"/>
        </w:rPr>
        <w:t>existing local structures</w:t>
      </w:r>
      <w:r w:rsidRPr="00233CDB">
        <w:rPr>
          <w:rFonts w:ascii="Times New Roman" w:hAnsi="Times New Roman" w:cs="Times New Roman"/>
          <w:sz w:val="24"/>
          <w:szCs w:val="24"/>
          <w:lang w:val="en-US"/>
        </w:rPr>
        <w:t> in Uvira territory for this pilot phase: local protection committees, primary health facilities, gender and family offices, justice and peace commissions, civil society platforms. Listening spaces will be hosted, where possible, in locations already recognized by the community (community centres, schools, faith-based facilities, youth centres) to reduce recurrent costs and increase ownership. Referral protocols will be co-developed with health, justice and social protection services so that project mechanisms are fully integrated into existing institutional circuits. This integration will facilitate the progressive takeover of certain functions (animation, minor logistics) by local structures and support the legitimacy of the mechanism in the eyes of administrative and customary authorities.​</w:t>
      </w:r>
    </w:p>
    <w:p w:rsidR="00D63CE1" w:rsidRPr="00233CDB" w:rsidRDefault="00D63CE1" w:rsidP="009A4E26">
      <w:pPr>
        <w:pStyle w:val="Heading2"/>
        <w:numPr>
          <w:ilvl w:val="0"/>
          <w:numId w:val="28"/>
        </w:numPr>
        <w:rPr>
          <w:b w:val="0"/>
          <w:lang w:val="en-US"/>
        </w:rPr>
      </w:pPr>
      <w:r w:rsidRPr="00233CDB">
        <w:rPr>
          <w:lang w:val="en-US"/>
        </w:rPr>
        <w:t>Networking with provincial services</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Networking with </w:t>
      </w:r>
      <w:r w:rsidRPr="00233CDB">
        <w:rPr>
          <w:rFonts w:ascii="Times New Roman" w:hAnsi="Times New Roman" w:cs="Times New Roman"/>
          <w:b/>
          <w:bCs/>
          <w:sz w:val="24"/>
          <w:szCs w:val="24"/>
          <w:lang w:val="en-US"/>
        </w:rPr>
        <w:t>provincial services</w:t>
      </w:r>
      <w:r w:rsidRPr="00233CDB">
        <w:rPr>
          <w:rFonts w:ascii="Times New Roman" w:hAnsi="Times New Roman" w:cs="Times New Roman"/>
          <w:sz w:val="24"/>
          <w:szCs w:val="24"/>
          <w:lang w:val="en-US"/>
        </w:rPr>
        <w:t> (Provincial Divisions of Health, Gender, Justice, Social Affairs, Education) aims to anchor the project in public policies and provincial protection plans. Periodic coordination meetings will be organized at provincial capitals and/or territorial level to share anonymized data from listening spaces (SGBV trends, types of PSEAH complaints, obstacles to accessing services) and advocate for better funding of essential services. Provincial authorities will be involved in validating key tools (referral protocols, sensitization materials) and planning joint actions (mobile court missions, sensitization campaigns, strengthening psychosocial services). This articulation will increase the likelihood that some elements of the mechanism (e.g. community listening brigades, local PSEAH focal points) are later integrated into provincial programs or supported by other donors.​</w:t>
      </w:r>
    </w:p>
    <w:p w:rsidR="00D63CE1" w:rsidRPr="00233CDB" w:rsidRDefault="00D63CE1" w:rsidP="009A4E26">
      <w:pPr>
        <w:pStyle w:val="Heading3"/>
        <w:numPr>
          <w:ilvl w:val="0"/>
          <w:numId w:val="28"/>
        </w:numPr>
        <w:rPr>
          <w:lang w:val="en-US"/>
        </w:rPr>
      </w:pPr>
      <w:r w:rsidRPr="00233CDB">
        <w:rPr>
          <w:lang w:val="en-US"/>
        </w:rPr>
        <w:t>Possibility of multi-territory extension</w:t>
      </w:r>
    </w:p>
    <w:p w:rsidR="00D63CE1" w:rsidRPr="00233CDB" w:rsidRDefault="00D63CE1" w:rsidP="00D63CE1">
      <w:pPr>
        <w:jc w:val="both"/>
        <w:rPr>
          <w:rFonts w:ascii="Times New Roman" w:hAnsi="Times New Roman" w:cs="Times New Roman"/>
          <w:sz w:val="24"/>
          <w:szCs w:val="24"/>
          <w:lang w:val="en-US"/>
        </w:rPr>
      </w:pPr>
      <w:r w:rsidRPr="00233CDB">
        <w:rPr>
          <w:rFonts w:ascii="Times New Roman" w:hAnsi="Times New Roman" w:cs="Times New Roman"/>
          <w:sz w:val="24"/>
          <w:szCs w:val="24"/>
          <w:lang w:val="en-US"/>
        </w:rPr>
        <w:t>Finally, the concept note presents the project as a </w:t>
      </w:r>
      <w:r w:rsidRPr="00233CDB">
        <w:rPr>
          <w:rFonts w:ascii="Times New Roman" w:hAnsi="Times New Roman" w:cs="Times New Roman"/>
          <w:b/>
          <w:bCs/>
          <w:sz w:val="24"/>
          <w:szCs w:val="24"/>
          <w:lang w:val="en-US"/>
        </w:rPr>
        <w:t>pilot phase</w:t>
      </w:r>
      <w:r w:rsidRPr="00233CDB">
        <w:rPr>
          <w:rFonts w:ascii="Times New Roman" w:hAnsi="Times New Roman" w:cs="Times New Roman"/>
          <w:sz w:val="24"/>
          <w:szCs w:val="24"/>
          <w:lang w:val="en-US"/>
        </w:rPr>
        <w:t> designed to be replicated in other high-risk territories in eastern DRC. The approach includes systematic capitalization (documentation of good practices, case studies, standardized tools, lessons learned) and the production of adapted methodological guides that can be used by other NGOs, faith-based networks or public services. Result indicators (reporting rate, referral time, level of community satisfaction, proportion of complaints effectively handled) will serve to demonstrate the added value of the model to donors and authorities and justify extension to other areas (e.g. Masisi, Beni, Fizi, Kalehe). By clearly positioning the project as a scalable model, multi-territory extension becomes a realistic exit scenario: the end of funding in the pilot territory coincides with a change of scale driven by a combination of local, provincial and international actors.</w:t>
      </w:r>
    </w:p>
    <w:p w:rsidR="0079724F" w:rsidRPr="00233CDB" w:rsidRDefault="004D2C21">
      <w:pPr>
        <w:rPr>
          <w:rFonts w:ascii="Times New Roman" w:hAnsi="Times New Roman" w:cs="Times New Roman"/>
          <w:sz w:val="24"/>
          <w:szCs w:val="24"/>
          <w:lang w:val="en-US"/>
        </w:rPr>
      </w:pPr>
    </w:p>
    <w:sectPr w:rsidR="0079724F" w:rsidRPr="00233CDB" w:rsidSect="00233CDB">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5CC"/>
    <w:multiLevelType w:val="multilevel"/>
    <w:tmpl w:val="62B8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E6321"/>
    <w:multiLevelType w:val="multilevel"/>
    <w:tmpl w:val="4EDA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214F9"/>
    <w:multiLevelType w:val="multilevel"/>
    <w:tmpl w:val="73B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F6BAE"/>
    <w:multiLevelType w:val="multilevel"/>
    <w:tmpl w:val="6156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12506"/>
    <w:multiLevelType w:val="hybridMultilevel"/>
    <w:tmpl w:val="A20C354A"/>
    <w:lvl w:ilvl="0" w:tplc="9AE81B1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B04683"/>
    <w:multiLevelType w:val="multilevel"/>
    <w:tmpl w:val="95C0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E3EE8"/>
    <w:multiLevelType w:val="multilevel"/>
    <w:tmpl w:val="2F84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E394F"/>
    <w:multiLevelType w:val="multilevel"/>
    <w:tmpl w:val="8E5A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D7B9A"/>
    <w:multiLevelType w:val="multilevel"/>
    <w:tmpl w:val="1D3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8344E1"/>
    <w:multiLevelType w:val="multilevel"/>
    <w:tmpl w:val="4C26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F55484"/>
    <w:multiLevelType w:val="multilevel"/>
    <w:tmpl w:val="1F5C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5A325B"/>
    <w:multiLevelType w:val="hybridMultilevel"/>
    <w:tmpl w:val="9D0EAE56"/>
    <w:lvl w:ilvl="0" w:tplc="2E04BD9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EE0695"/>
    <w:multiLevelType w:val="multilevel"/>
    <w:tmpl w:val="830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135730"/>
    <w:multiLevelType w:val="multilevel"/>
    <w:tmpl w:val="0E82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4D6577"/>
    <w:multiLevelType w:val="multilevel"/>
    <w:tmpl w:val="9A58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6A02F9"/>
    <w:multiLevelType w:val="multilevel"/>
    <w:tmpl w:val="7630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896EAF"/>
    <w:multiLevelType w:val="multilevel"/>
    <w:tmpl w:val="0098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5A2396"/>
    <w:multiLevelType w:val="multilevel"/>
    <w:tmpl w:val="B090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D03248"/>
    <w:multiLevelType w:val="multilevel"/>
    <w:tmpl w:val="5668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626057"/>
    <w:multiLevelType w:val="multilevel"/>
    <w:tmpl w:val="6E62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4E29E6"/>
    <w:multiLevelType w:val="multilevel"/>
    <w:tmpl w:val="5316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C07AE3"/>
    <w:multiLevelType w:val="multilevel"/>
    <w:tmpl w:val="4BB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A15566"/>
    <w:multiLevelType w:val="multilevel"/>
    <w:tmpl w:val="0664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B80501"/>
    <w:multiLevelType w:val="multilevel"/>
    <w:tmpl w:val="2E04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CC172A"/>
    <w:multiLevelType w:val="multilevel"/>
    <w:tmpl w:val="CD0E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7C28D6"/>
    <w:multiLevelType w:val="multilevel"/>
    <w:tmpl w:val="C866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3E6052"/>
    <w:multiLevelType w:val="hybridMultilevel"/>
    <w:tmpl w:val="B4325D4C"/>
    <w:lvl w:ilvl="0" w:tplc="A36CFD2E">
      <w:start w:val="1"/>
      <w:numFmt w:val="decimal"/>
      <w:pStyle w:val="Heading1"/>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C2D1F51"/>
    <w:multiLevelType w:val="multilevel"/>
    <w:tmpl w:val="273A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2"/>
  </w:num>
  <w:num w:numId="3">
    <w:abstractNumId w:val="6"/>
  </w:num>
  <w:num w:numId="4">
    <w:abstractNumId w:val="10"/>
  </w:num>
  <w:num w:numId="5">
    <w:abstractNumId w:val="19"/>
  </w:num>
  <w:num w:numId="6">
    <w:abstractNumId w:val="12"/>
  </w:num>
  <w:num w:numId="7">
    <w:abstractNumId w:val="0"/>
  </w:num>
  <w:num w:numId="8">
    <w:abstractNumId w:val="27"/>
  </w:num>
  <w:num w:numId="9">
    <w:abstractNumId w:val="3"/>
  </w:num>
  <w:num w:numId="10">
    <w:abstractNumId w:val="8"/>
  </w:num>
  <w:num w:numId="11">
    <w:abstractNumId w:val="1"/>
  </w:num>
  <w:num w:numId="12">
    <w:abstractNumId w:val="2"/>
  </w:num>
  <w:num w:numId="13">
    <w:abstractNumId w:val="20"/>
  </w:num>
  <w:num w:numId="14">
    <w:abstractNumId w:val="16"/>
  </w:num>
  <w:num w:numId="15">
    <w:abstractNumId w:val="9"/>
  </w:num>
  <w:num w:numId="16">
    <w:abstractNumId w:val="5"/>
  </w:num>
  <w:num w:numId="17">
    <w:abstractNumId w:val="21"/>
  </w:num>
  <w:num w:numId="18">
    <w:abstractNumId w:val="18"/>
  </w:num>
  <w:num w:numId="19">
    <w:abstractNumId w:val="23"/>
  </w:num>
  <w:num w:numId="20">
    <w:abstractNumId w:val="25"/>
  </w:num>
  <w:num w:numId="21">
    <w:abstractNumId w:val="15"/>
  </w:num>
  <w:num w:numId="22">
    <w:abstractNumId w:val="17"/>
  </w:num>
  <w:num w:numId="23">
    <w:abstractNumId w:val="13"/>
  </w:num>
  <w:num w:numId="24">
    <w:abstractNumId w:val="14"/>
  </w:num>
  <w:num w:numId="25">
    <w:abstractNumId w:val="7"/>
  </w:num>
  <w:num w:numId="26">
    <w:abstractNumId w:val="26"/>
  </w:num>
  <w:num w:numId="27">
    <w:abstractNumId w:val="11"/>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E1"/>
    <w:rsid w:val="000B7F4C"/>
    <w:rsid w:val="00197F69"/>
    <w:rsid w:val="001C0003"/>
    <w:rsid w:val="001D2B7F"/>
    <w:rsid w:val="00233CDB"/>
    <w:rsid w:val="003C11E6"/>
    <w:rsid w:val="003F7A94"/>
    <w:rsid w:val="004D2C21"/>
    <w:rsid w:val="006A3F75"/>
    <w:rsid w:val="00817549"/>
    <w:rsid w:val="008C7DEF"/>
    <w:rsid w:val="009A4E26"/>
    <w:rsid w:val="00B540C6"/>
    <w:rsid w:val="00BA1F23"/>
    <w:rsid w:val="00C86BE8"/>
    <w:rsid w:val="00D47F7E"/>
    <w:rsid w:val="00D63CE1"/>
    <w:rsid w:val="00E72E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CA60E8-23FF-41DB-B234-149004C9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9A4E26"/>
    <w:pPr>
      <w:keepNext/>
      <w:keepLines/>
      <w:numPr>
        <w:numId w:val="26"/>
      </w:numPr>
      <w:shd w:val="clear" w:color="auto" w:fill="70AD47" w:themeFill="accent6"/>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autoRedefine/>
    <w:uiPriority w:val="9"/>
    <w:unhideWhenUsed/>
    <w:qFormat/>
    <w:rsid w:val="009A4E26"/>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autoRedefine/>
    <w:uiPriority w:val="9"/>
    <w:unhideWhenUsed/>
    <w:qFormat/>
    <w:rsid w:val="009A4E26"/>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3CE1"/>
    <w:rPr>
      <w:color w:val="0563C1" w:themeColor="hyperlink"/>
      <w:u w:val="single"/>
    </w:rPr>
  </w:style>
  <w:style w:type="paragraph" w:styleId="NoSpacing">
    <w:name w:val="No Spacing"/>
    <w:link w:val="NoSpacingChar"/>
    <w:uiPriority w:val="1"/>
    <w:qFormat/>
    <w:rsid w:val="00233C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3CDB"/>
    <w:rPr>
      <w:rFonts w:eastAsiaTheme="minorEastAsia"/>
      <w:lang w:val="en-US"/>
    </w:rPr>
  </w:style>
  <w:style w:type="character" w:customStyle="1" w:styleId="Heading1Char">
    <w:name w:val="Heading 1 Char"/>
    <w:basedOn w:val="DefaultParagraphFont"/>
    <w:link w:val="Heading1"/>
    <w:uiPriority w:val="9"/>
    <w:rsid w:val="009A4E26"/>
    <w:rPr>
      <w:rFonts w:asciiTheme="majorHAnsi" w:eastAsiaTheme="majorEastAsia" w:hAnsiTheme="majorHAnsi" w:cstheme="majorBidi"/>
      <w:b/>
      <w:color w:val="2E74B5" w:themeColor="accent1" w:themeShade="BF"/>
      <w:sz w:val="32"/>
      <w:szCs w:val="32"/>
      <w:shd w:val="clear" w:color="auto" w:fill="70AD47" w:themeFill="accent6"/>
    </w:rPr>
  </w:style>
  <w:style w:type="character" w:customStyle="1" w:styleId="Heading2Char">
    <w:name w:val="Heading 2 Char"/>
    <w:basedOn w:val="DefaultParagraphFont"/>
    <w:link w:val="Heading2"/>
    <w:uiPriority w:val="9"/>
    <w:rsid w:val="009A4E26"/>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9A4E26"/>
    <w:rPr>
      <w:rFonts w:asciiTheme="majorHAnsi" w:eastAsiaTheme="majorEastAsia" w:hAnsiTheme="majorHAnsi" w:cstheme="majorBidi"/>
      <w:b/>
      <w:color w:val="1F4D78" w:themeColor="accent1" w:themeShade="7F"/>
      <w:sz w:val="24"/>
      <w:szCs w:val="24"/>
    </w:rPr>
  </w:style>
  <w:style w:type="table" w:styleId="TableGrid">
    <w:name w:val="Table Grid"/>
    <w:basedOn w:val="TableNormal"/>
    <w:uiPriority w:val="39"/>
    <w:rsid w:val="009A4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B7F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19150">
      <w:bodyDiv w:val="1"/>
      <w:marLeft w:val="0"/>
      <w:marRight w:val="0"/>
      <w:marTop w:val="0"/>
      <w:marBottom w:val="0"/>
      <w:divBdr>
        <w:top w:val="none" w:sz="0" w:space="0" w:color="auto"/>
        <w:left w:val="none" w:sz="0" w:space="0" w:color="auto"/>
        <w:bottom w:val="none" w:sz="0" w:space="0" w:color="auto"/>
        <w:right w:val="none" w:sz="0" w:space="0" w:color="auto"/>
      </w:divBdr>
    </w:div>
    <w:div w:id="874196323">
      <w:bodyDiv w:val="1"/>
      <w:marLeft w:val="0"/>
      <w:marRight w:val="0"/>
      <w:marTop w:val="0"/>
      <w:marBottom w:val="0"/>
      <w:divBdr>
        <w:top w:val="none" w:sz="0" w:space="0" w:color="auto"/>
        <w:left w:val="none" w:sz="0" w:space="0" w:color="auto"/>
        <w:bottom w:val="none" w:sz="0" w:space="0" w:color="auto"/>
        <w:right w:val="none" w:sz="0" w:space="0" w:color="auto"/>
      </w:divBdr>
    </w:div>
    <w:div w:id="966621941">
      <w:bodyDiv w:val="1"/>
      <w:marLeft w:val="0"/>
      <w:marRight w:val="0"/>
      <w:marTop w:val="0"/>
      <w:marBottom w:val="0"/>
      <w:divBdr>
        <w:top w:val="none" w:sz="0" w:space="0" w:color="auto"/>
        <w:left w:val="none" w:sz="0" w:space="0" w:color="auto"/>
        <w:bottom w:val="none" w:sz="0" w:space="0" w:color="auto"/>
        <w:right w:val="none" w:sz="0" w:space="0" w:color="auto"/>
      </w:divBdr>
    </w:div>
    <w:div w:id="1063865884">
      <w:bodyDiv w:val="1"/>
      <w:marLeft w:val="0"/>
      <w:marRight w:val="0"/>
      <w:marTop w:val="0"/>
      <w:marBottom w:val="0"/>
      <w:divBdr>
        <w:top w:val="none" w:sz="0" w:space="0" w:color="auto"/>
        <w:left w:val="none" w:sz="0" w:space="0" w:color="auto"/>
        <w:bottom w:val="none" w:sz="0" w:space="0" w:color="auto"/>
        <w:right w:val="none" w:sz="0" w:space="0" w:color="auto"/>
      </w:divBdr>
    </w:div>
    <w:div w:id="1078404773">
      <w:bodyDiv w:val="1"/>
      <w:marLeft w:val="0"/>
      <w:marRight w:val="0"/>
      <w:marTop w:val="0"/>
      <w:marBottom w:val="0"/>
      <w:divBdr>
        <w:top w:val="none" w:sz="0" w:space="0" w:color="auto"/>
        <w:left w:val="none" w:sz="0" w:space="0" w:color="auto"/>
        <w:bottom w:val="none" w:sz="0" w:space="0" w:color="auto"/>
        <w:right w:val="none" w:sz="0" w:space="0" w:color="auto"/>
      </w:divBdr>
    </w:div>
    <w:div w:id="1098329752">
      <w:bodyDiv w:val="1"/>
      <w:marLeft w:val="0"/>
      <w:marRight w:val="0"/>
      <w:marTop w:val="0"/>
      <w:marBottom w:val="0"/>
      <w:divBdr>
        <w:top w:val="none" w:sz="0" w:space="0" w:color="auto"/>
        <w:left w:val="none" w:sz="0" w:space="0" w:color="auto"/>
        <w:bottom w:val="none" w:sz="0" w:space="0" w:color="auto"/>
        <w:right w:val="none" w:sz="0" w:space="0" w:color="auto"/>
      </w:divBdr>
    </w:div>
    <w:div w:id="1504276545">
      <w:bodyDiv w:val="1"/>
      <w:marLeft w:val="0"/>
      <w:marRight w:val="0"/>
      <w:marTop w:val="0"/>
      <w:marBottom w:val="0"/>
      <w:divBdr>
        <w:top w:val="none" w:sz="0" w:space="0" w:color="auto"/>
        <w:left w:val="none" w:sz="0" w:space="0" w:color="auto"/>
        <w:bottom w:val="none" w:sz="0" w:space="0" w:color="auto"/>
        <w:right w:val="none" w:sz="0" w:space="0" w:color="auto"/>
      </w:divBdr>
    </w:div>
    <w:div w:id="198084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hamuzihi2007@yahoo.fr" TargetMode="External"/><Relationship Id="rId3" Type="http://schemas.openxmlformats.org/officeDocument/2006/relationships/settings" Target="settings.xml"/><Relationship Id="rId7" Type="http://schemas.openxmlformats.org/officeDocument/2006/relationships/hyperlink" Target="mailto:ywamdrcong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nni05@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8</Pages>
  <Words>2552</Words>
  <Characters>14036</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dc:creator>
  <cp:keywords/>
  <dc:description/>
  <cp:lastModifiedBy>Jules</cp:lastModifiedBy>
  <cp:revision>5</cp:revision>
  <dcterms:created xsi:type="dcterms:W3CDTF">2026-02-18T14:35:00Z</dcterms:created>
  <dcterms:modified xsi:type="dcterms:W3CDTF">2026-02-19T09:30:00Z</dcterms:modified>
</cp:coreProperties>
</file>