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F7CE8" w14:textId="6528A551" w:rsidR="006748A6" w:rsidRPr="009E58E9" w:rsidRDefault="006748A6" w:rsidP="00482EBA">
      <w:pPr>
        <w:spacing w:before="100" w:beforeAutospacing="1" w:after="100" w:afterAutospacing="1" w:line="240" w:lineRule="auto"/>
        <w:outlineLvl w:val="0"/>
        <w:rPr>
          <w:rFonts w:eastAsia="Times New Roman" w:cs="Times New Roman"/>
          <w:b/>
          <w:bCs/>
          <w:kern w:val="36"/>
          <w:sz w:val="48"/>
          <w:szCs w:val="48"/>
          <w:rtl/>
          <w14:ligatures w14:val="none"/>
        </w:rPr>
      </w:pPr>
      <w:r w:rsidRPr="006748A6">
        <w:rPr>
          <w:rFonts w:eastAsia="Times New Roman" w:cs="Times New Roman"/>
          <w:b/>
          <w:bCs/>
          <w:kern w:val="36"/>
          <w:sz w:val="48"/>
          <w:szCs w:val="48"/>
          <w14:ligatures w14:val="none"/>
        </w:rPr>
        <w:t xml:space="preserve">Concept Note: </w:t>
      </w:r>
    </w:p>
    <w:p w14:paraId="47D4B25C" w14:textId="72B339AD" w:rsidR="001560CA" w:rsidRDefault="00F211DF" w:rsidP="001560CA">
      <w:pPr>
        <w:pStyle w:val="Heading2"/>
      </w:pPr>
      <w:r w:rsidRPr="001560CA">
        <w:t xml:space="preserve">Work </w:t>
      </w:r>
      <w:r w:rsidR="0048061F">
        <w:rPr>
          <w:lang w:val="en-GB"/>
        </w:rPr>
        <w:t xml:space="preserve">to </w:t>
      </w:r>
      <w:r w:rsidR="001560CA" w:rsidRPr="001560CA">
        <w:t xml:space="preserve">Heal: Enhancing Women’s Mental Wellbeing via Cash-for-Work </w:t>
      </w:r>
      <w:r w:rsidR="0048061F">
        <w:t xml:space="preserve">opportunities </w:t>
      </w:r>
      <w:r w:rsidR="001560CA" w:rsidRPr="001560CA">
        <w:t>in Gaza</w:t>
      </w:r>
    </w:p>
    <w:p w14:paraId="0CDF9740" w14:textId="77777777" w:rsidR="005E1EA5" w:rsidRPr="005E1EA5" w:rsidRDefault="005E1EA5" w:rsidP="005E1EA5">
      <w:pPr>
        <w:rPr>
          <w:rtl/>
        </w:rPr>
      </w:pPr>
    </w:p>
    <w:p w14:paraId="113E9CA0" w14:textId="018BFC9B" w:rsidR="005E1EA5" w:rsidRPr="005E1EA5" w:rsidRDefault="005E1EA5" w:rsidP="005E1EA5">
      <w:pPr>
        <w:pStyle w:val="Heading2"/>
      </w:pPr>
      <w:r w:rsidRPr="005E1EA5">
        <w:t xml:space="preserve">AISHA </w:t>
      </w:r>
      <w:r w:rsidR="0075020F">
        <w:t>Association for women and Child protection.</w:t>
      </w:r>
    </w:p>
    <w:p w14:paraId="2A0B6F1C" w14:textId="1E079FDB" w:rsidR="005E1EA5" w:rsidRDefault="005E1EA5" w:rsidP="005E1EA5">
      <w:pPr>
        <w:pStyle w:val="NormalWeb"/>
      </w:pPr>
      <w:r w:rsidRPr="005B06FF">
        <w:t xml:space="preserve">AISHA is an independent non-profit Palestinian woman NGO that seeks to protect, support and empower vulnerable women and </w:t>
      </w:r>
      <w:r w:rsidR="00C04857" w:rsidRPr="005B06FF">
        <w:t>children’s</w:t>
      </w:r>
      <w:r w:rsidRPr="005B06FF">
        <w:t xml:space="preserve"> victims of violence psychosocially, legally and economically through facilitating access to protection and support services. Prior to 2009 and since 1996, AISHA used to operate under the name "Women Empowerment Program (WEP)" as the women department within the Gaza Community Mental Health Program (GCHMP). AISHA got registration from the ministry of interior no. 8136 in September 2009 and officially started to work under the name of AISHA as woman organization in 2011.</w:t>
      </w:r>
    </w:p>
    <w:p w14:paraId="2227803F" w14:textId="764BBFAA" w:rsidR="005E1EA5" w:rsidRDefault="00022CCA" w:rsidP="005E1EA5">
      <w:pPr>
        <w:pStyle w:val="NormalWeb"/>
      </w:pPr>
      <w:r>
        <w:t xml:space="preserve">Vision: </w:t>
      </w:r>
      <w:r w:rsidR="005E1EA5" w:rsidRPr="005B06FF">
        <w:t>AISHA aspires to play a leading role in protecting and empowering vulnerable women, children, and adolescent survivors of GBV, addicted and those with disabilities to enable them to be active participants and contributors in sustainable community development</w:t>
      </w:r>
      <w:r w:rsidR="005E1EA5" w:rsidRPr="005B06FF">
        <w:rPr>
          <w:rtl/>
        </w:rPr>
        <w:t>.</w:t>
      </w:r>
    </w:p>
    <w:p w14:paraId="4AF5D701" w14:textId="77777777" w:rsidR="005D2C89" w:rsidRDefault="005D2C89" w:rsidP="005D2C89">
      <w:pPr>
        <w:pStyle w:val="NormalWeb"/>
      </w:pPr>
      <w:r>
        <w:t>The following strategic objectives orient all AISHA activities:</w:t>
      </w:r>
    </w:p>
    <w:p w14:paraId="54463188" w14:textId="77777777" w:rsidR="005D2C89" w:rsidRDefault="005D2C89" w:rsidP="005D2C89">
      <w:pPr>
        <w:pStyle w:val="NormalWeb"/>
      </w:pPr>
      <w:r>
        <w:t xml:space="preserve">Strategic Goal # 1: Vulnerable women and girls’ survivors of GBV protected through coordinated, multi-sectorial and gender responsive services including case management, psychosocial support, legal counseling, court representation, economic opportunities, and referral services. </w:t>
      </w:r>
    </w:p>
    <w:p w14:paraId="23E70507" w14:textId="77777777" w:rsidR="005D2C89" w:rsidRDefault="005D2C89" w:rsidP="005D2C89">
      <w:pPr>
        <w:pStyle w:val="NormalWeb"/>
      </w:pPr>
      <w:r>
        <w:t>Strategic Goal # 2: Family strengthened and child/adolescent protected through caregivers’ support, service delivery to children including psychological support, legal aid, remedial education, and medication; spreading the culture of positive discipline; and enhancing knowledge on SRHR.</w:t>
      </w:r>
    </w:p>
    <w:p w14:paraId="64156C4C" w14:textId="70B8901E" w:rsidR="005D2C89" w:rsidRDefault="005D2C89" w:rsidP="005D2C89">
      <w:pPr>
        <w:pStyle w:val="NormalWeb"/>
      </w:pPr>
      <w:r>
        <w:t>Strategic Goals # 3: Addicted women and girls in the Gaza Strip, benefit from the delivery of integrated, quality, and evidence based mental health and substance abuse prevention and treatment services through developed AISHA Community Center.</w:t>
      </w:r>
    </w:p>
    <w:p w14:paraId="76B10E7A" w14:textId="2FA14606" w:rsidR="0026600D" w:rsidRDefault="0026600D" w:rsidP="00FC276D">
      <w:pPr>
        <w:pStyle w:val="Heading2"/>
      </w:pPr>
      <w:r>
        <w:t>Project summary:</w:t>
      </w:r>
    </w:p>
    <w:p w14:paraId="3E3FC883" w14:textId="76CA05D2" w:rsidR="0026600D" w:rsidRDefault="0026600D" w:rsidP="0026600D">
      <w:pPr>
        <w:pStyle w:val="NormalWeb"/>
      </w:pPr>
      <w:r>
        <w:t>Below is a shortened project summary (≈430–480 words) that keeps the therapeutic framing, reflects 50 cases, and aligns with minimum wage compliance, while remaining clear and donor-ready:</w:t>
      </w:r>
    </w:p>
    <w:p w14:paraId="2FFC29F3" w14:textId="77777777" w:rsidR="0026600D" w:rsidRDefault="0026600D" w:rsidP="0026600D">
      <w:pPr>
        <w:pStyle w:val="NormalWeb"/>
      </w:pPr>
    </w:p>
    <w:p w14:paraId="1C6F2B81" w14:textId="735E52AB" w:rsidR="0026600D" w:rsidRDefault="0026600D" w:rsidP="00FC276D">
      <w:pPr>
        <w:pStyle w:val="NormalWeb"/>
      </w:pPr>
      <w:r>
        <w:lastRenderedPageBreak/>
        <w:t>Work to Heal: Enhancing Women’s Mental Wellbeing via Cash-for-Work Opportunities in Gaza is a six-month integrated mental health and economic stabilization project targeting 50 crisis-affected women</w:t>
      </w:r>
      <w:r w:rsidR="00FC276D">
        <w:t xml:space="preserve"> </w:t>
      </w:r>
      <w:r>
        <w:t>in Gaza who have previously received psychological and psychosocial support through AISHA’s mental health clinic. The project responds to the prolonged humanitarian crisis, which has severely affected women’s mental health due to displacement, loss of livelihoods, bereavement, and ongoing insecurity, leading to high levels of trauma, anxiety, depression, and emotional distress—particularly among female heads of households, widows, displaced women, and survivors of gender-based violence.</w:t>
      </w:r>
    </w:p>
    <w:p w14:paraId="32985EE8" w14:textId="10743B95" w:rsidR="0026600D" w:rsidRDefault="0026600D" w:rsidP="0026600D">
      <w:pPr>
        <w:pStyle w:val="NormalWeb"/>
      </w:pPr>
      <w:r>
        <w:t>AISHA’s experience during the war demonstrated that while structured psychological interventions are essential, a significant number of women continue to experience distress closely linked to economic insecurity, loss of purpose, and prolonged dependency. Evidence from AISHA’s programming shows that women who engaged in short-term employment alongside psychological support achieved noticeably better outcomes in emotional stability, self-esteem, motivation, and overall mental well-being. Building on this evidence, the project positions Cash for Work (CFW) as a therapeutic mechanism designed to reinforce and complete the psychological recovery process.</w:t>
      </w:r>
    </w:p>
    <w:p w14:paraId="651633BA" w14:textId="468FAC15" w:rsidR="0026600D" w:rsidRDefault="0026600D" w:rsidP="0026600D">
      <w:pPr>
        <w:pStyle w:val="NormalWeb"/>
      </w:pPr>
      <w:r>
        <w:t>The project will provide dignified, skill-matched Cash-for-Work opportunities for 50 women over a three-month period, with remuneration aligned with the Palestinian minimum wage (USD 650 per month). Participants will be selected exclusively from women who have already received mental health support through AISHA’s clinic and whose clinical assessments indicate that economic participation is a necessary component of their treatment and recovery plan. Selection will prioritize women facing acute economic vulnerability, including displaced women, female-headed households, widows, and GBV survivors.</w:t>
      </w:r>
    </w:p>
    <w:p w14:paraId="5521FA6B" w14:textId="2935044F" w:rsidR="0026600D" w:rsidRDefault="0026600D" w:rsidP="0026600D">
      <w:pPr>
        <w:pStyle w:val="NormalWeb"/>
      </w:pPr>
      <w:r>
        <w:t>Cash-for-Work activities will be adapted to each participant’s skills, capacity, and psychological condition, ensuring safe, supportive, and non-exploitative working environments. Throughout the employment period, women’s psychological well-being will be continuously monitored through case management, clinical follow-up, and psychosocial support, allowing for early identification of risks and adjustment of interventions as needed. This integrated approach ensures that economic engagement directly contributes to improved coping mechanisms, emotional regulation, and resilience.</w:t>
      </w:r>
    </w:p>
    <w:p w14:paraId="1390AFEB" w14:textId="3C675407" w:rsidR="0026600D" w:rsidRDefault="0026600D" w:rsidP="0026600D">
      <w:pPr>
        <w:pStyle w:val="NormalWeb"/>
      </w:pPr>
      <w:r>
        <w:t>By addressing the intersection between trauma and poverty, the project aims to reduce psychological distress associated with financial insecurity, strengthen women’s sense of autonomy and purpose, and promote sustained psychosocial resilience during Gaza’s early recovery phase. The project demonstrates an innovative, rights-based model that integrates mental health care with economic participation, ensuring that Cash for Work is implemented not as a standalone livelihood activity, but as a structured therapeutic extension of mental health support for women affected by crisis.</w:t>
      </w:r>
    </w:p>
    <w:p w14:paraId="30B98411" w14:textId="77777777" w:rsidR="0026600D" w:rsidRDefault="0026600D" w:rsidP="0026600D">
      <w:pPr>
        <w:pStyle w:val="NormalWeb"/>
      </w:pPr>
    </w:p>
    <w:p w14:paraId="3323DB33" w14:textId="07EA394A" w:rsidR="000824D6" w:rsidRPr="00D67245" w:rsidRDefault="00EE1E59" w:rsidP="005E1EA5">
      <w:pPr>
        <w:pStyle w:val="Heading2"/>
      </w:pPr>
      <w:r>
        <w:lastRenderedPageBreak/>
        <w:t>Justification</w:t>
      </w:r>
    </w:p>
    <w:p w14:paraId="568E95AC" w14:textId="77777777" w:rsidR="007F6258" w:rsidRDefault="007F6258" w:rsidP="007F6258">
      <w:pPr>
        <w:pStyle w:val="NormalWeb"/>
      </w:pPr>
      <w:r>
        <w:t>The prolonged humanitarian crisis in Gaza continues to have severe and compounding effects on women’s mental health and economic stability. Displacement, loss of family members, destruction of livelihoods, and prolonged uncertainty have significantly increased rates of psychological trauma, anxiety, depression, and emotional distress among women, particularly female heads of households, widows, survivors of gender-based violence (GBV), and displaced women.</w:t>
      </w:r>
    </w:p>
    <w:p w14:paraId="3710BF87" w14:textId="77777777" w:rsidR="007F6258" w:rsidRDefault="007F6258" w:rsidP="007F6258">
      <w:pPr>
        <w:pStyle w:val="NormalWeb"/>
      </w:pPr>
      <w:r>
        <w:t>AISHA operates a specialized mental health clinic providing structured psychological and psychosocial support services for women affected by conflict-related trauma. Experience during the war revealed that while psychological interventions benefit many women, a number of cases continue to experience distress closely linked to economic insecurity, loss of purpose, and prolonged dependency.</w:t>
      </w:r>
    </w:p>
    <w:p w14:paraId="189061EE" w14:textId="1C1AFD92" w:rsidR="007F6258" w:rsidRDefault="000C7A3F" w:rsidP="007F6258">
      <w:pPr>
        <w:pStyle w:val="NormalWeb"/>
      </w:pPr>
      <w:r>
        <w:t xml:space="preserve">Success stories from Aisha projects conducted during the war </w:t>
      </w:r>
      <w:r w:rsidR="007F6258">
        <w:t>demonstrated that women who engage in short-term employment alongside psychological support show noticeably better outcomes in emotional stability, self-esteem, motivation, and overall mental well-being. Employment proved to be a critical complementary component in completing the psychological recovery process.</w:t>
      </w:r>
    </w:p>
    <w:p w14:paraId="7609B0AA" w14:textId="181554BB" w:rsidR="007F6258" w:rsidRDefault="007F6258" w:rsidP="007F6258">
      <w:pPr>
        <w:pStyle w:val="NormalWeb"/>
      </w:pPr>
      <w:r w:rsidRPr="002422EE">
        <w:rPr>
          <w:rFonts w:asciiTheme="majorHAnsi" w:eastAsiaTheme="majorEastAsia" w:hAnsiTheme="majorHAnsi" w:cstheme="majorBidi"/>
          <w:color w:val="0F4761" w:themeColor="accent1" w:themeShade="BF"/>
          <w:kern w:val="2"/>
          <w:sz w:val="32"/>
          <w:szCs w:val="32"/>
          <w14:ligatures w14:val="standardContextual"/>
        </w:rPr>
        <w:t>Beneficiary Selection:</w:t>
      </w:r>
      <w:r w:rsidRPr="00EE1E59">
        <w:rPr>
          <w:rFonts w:asciiTheme="majorHAnsi" w:eastAsiaTheme="majorEastAsia" w:hAnsiTheme="majorHAnsi" w:cstheme="majorBidi"/>
          <w:color w:val="0F4761" w:themeColor="accent1" w:themeShade="BF"/>
          <w:kern w:val="2"/>
          <w:sz w:val="32"/>
          <w:szCs w:val="32"/>
          <w14:ligatures w14:val="standardContextual"/>
        </w:rPr>
        <w:br/>
      </w:r>
      <w:r>
        <w:t>Women selected for this project will be those who have previously received psychological support from AISHA</w:t>
      </w:r>
      <w:r w:rsidR="00691516">
        <w:t xml:space="preserve"> </w:t>
      </w:r>
      <w:r>
        <w:t>mental health clinic. Selection will be based on a comprehensive needs assessment indicating economic vulnerability, as well as a treatment plan showing that engagement in structured work can improve mental health outcomes. Many women experience psychological distress driven not only by trauma but also by the pressures of poverty, overcrowding, and daily life stressors. Participation in Cash for Work activities is expected to alleviate financial pressures, improve mood, and enhance self-confidence, thereby reinforcing the benefits of prior psychological support.</w:t>
      </w:r>
    </w:p>
    <w:p w14:paraId="4F96579A" w14:textId="7E91A2E2" w:rsidR="007F6258" w:rsidRDefault="007F6258" w:rsidP="00EE1E59">
      <w:pPr>
        <w:pStyle w:val="NormalWeb"/>
      </w:pPr>
      <w:r>
        <w:t xml:space="preserve">Based on this evidence-based learning, this project positions Cash for Work (CFW) as a </w:t>
      </w:r>
      <w:r w:rsidR="0089715A">
        <w:t xml:space="preserve">MHPSS </w:t>
      </w:r>
      <w:r>
        <w:t>therapeutic intervention designed to support and reinforce psychological recovery for women who have already received mental health support and require economic stabilization as a core component of their treatment outcomes.</w:t>
      </w:r>
    </w:p>
    <w:p w14:paraId="55AB9D2A" w14:textId="77777777" w:rsidR="007F6258" w:rsidRPr="002422EE" w:rsidRDefault="007F6258" w:rsidP="007F6258">
      <w:pPr>
        <w:pStyle w:val="Heading2"/>
      </w:pPr>
      <w:r w:rsidRPr="002422EE">
        <w:t>Overall Objective</w:t>
      </w:r>
    </w:p>
    <w:p w14:paraId="6346D9F3" w14:textId="17D3E0D4" w:rsidR="007F6258" w:rsidRDefault="007F6258" w:rsidP="008A0316">
      <w:pPr>
        <w:pStyle w:val="NormalWeb"/>
      </w:pPr>
      <w:r>
        <w:t>To improve the psychological well-being of crisis-affected women by implementing Cash for Work opportunities as a therapeutic mechanism supporting mental health outcomes.</w:t>
      </w:r>
    </w:p>
    <w:p w14:paraId="302426AE" w14:textId="77777777" w:rsidR="007F6258" w:rsidRDefault="007F6258" w:rsidP="007F6258">
      <w:pPr>
        <w:pStyle w:val="Heading2"/>
      </w:pPr>
      <w:r>
        <w:lastRenderedPageBreak/>
        <w:t>Specific Objectives</w:t>
      </w:r>
    </w:p>
    <w:p w14:paraId="75ECAE29" w14:textId="77777777" w:rsidR="007F6258" w:rsidRDefault="007F6258" w:rsidP="007F6258">
      <w:pPr>
        <w:pStyle w:val="NormalWeb"/>
        <w:numPr>
          <w:ilvl w:val="0"/>
          <w:numId w:val="7"/>
        </w:numPr>
      </w:pPr>
      <w:r>
        <w:t>Support psychological recovery among women affected by trauma through structured and dignified Cash for Work opportunities.</w:t>
      </w:r>
    </w:p>
    <w:p w14:paraId="13E249A4" w14:textId="77777777" w:rsidR="007F6258" w:rsidRDefault="007F6258" w:rsidP="007F6258">
      <w:pPr>
        <w:pStyle w:val="NormalWeb"/>
        <w:numPr>
          <w:ilvl w:val="0"/>
          <w:numId w:val="7"/>
        </w:numPr>
      </w:pPr>
      <w:r>
        <w:t>Strengthen women’s self-esteem, sense of purpose, and emotional stability through productive economic engagement.</w:t>
      </w:r>
    </w:p>
    <w:p w14:paraId="6B2FDE09" w14:textId="77777777" w:rsidR="007F6258" w:rsidRDefault="007F6258" w:rsidP="007F6258">
      <w:pPr>
        <w:pStyle w:val="NormalWeb"/>
        <w:numPr>
          <w:ilvl w:val="0"/>
          <w:numId w:val="7"/>
        </w:numPr>
      </w:pPr>
      <w:r>
        <w:t>Reduce psychological distress associated with economic insecurity and dependency.</w:t>
      </w:r>
    </w:p>
    <w:p w14:paraId="2665E7B9" w14:textId="77777777" w:rsidR="007F6258" w:rsidRDefault="007F6258" w:rsidP="007F6258">
      <w:pPr>
        <w:pStyle w:val="NormalWeb"/>
        <w:numPr>
          <w:ilvl w:val="0"/>
          <w:numId w:val="7"/>
        </w:numPr>
      </w:pPr>
      <w:r>
        <w:t>Contribute to sustained psychosocial resilience through improved economic participation.</w:t>
      </w:r>
    </w:p>
    <w:p w14:paraId="34A21848" w14:textId="77777777" w:rsidR="007F6258" w:rsidRDefault="007F6258" w:rsidP="007F6258">
      <w:pPr>
        <w:pStyle w:val="Heading2"/>
      </w:pPr>
      <w:r>
        <w:t>Target Group</w:t>
      </w:r>
    </w:p>
    <w:p w14:paraId="498A4478" w14:textId="3EA53C66" w:rsidR="007F6258" w:rsidRDefault="007F6258" w:rsidP="007F6258">
      <w:pPr>
        <w:pStyle w:val="NormalWeb"/>
      </w:pPr>
      <w:r>
        <w:t>The project will target</w:t>
      </w:r>
      <w:r w:rsidR="00E819AD">
        <w:rPr>
          <w:b/>
          <w:bCs/>
        </w:rPr>
        <w:t xml:space="preserve"> </w:t>
      </w:r>
      <w:r w:rsidR="00D870A5">
        <w:rPr>
          <w:b/>
          <w:bCs/>
        </w:rPr>
        <w:t>50</w:t>
      </w:r>
      <w:r>
        <w:rPr>
          <w:rStyle w:val="Strong"/>
          <w:rFonts w:eastAsiaTheme="majorEastAsia"/>
        </w:rPr>
        <w:t xml:space="preserve"> crisis-affected women</w:t>
      </w:r>
      <w:r>
        <w:t xml:space="preserve"> who have previously received psychological support through AISHA’s mental health clinic and whose recovery process indicates the need for an economic intervention to complement and complete their psychological healing.</w:t>
      </w:r>
    </w:p>
    <w:p w14:paraId="58717FEA" w14:textId="38BEE63B" w:rsidR="007F6258" w:rsidRDefault="007F6258" w:rsidP="007F6258">
      <w:pPr>
        <w:pStyle w:val="NormalWeb"/>
      </w:pPr>
      <w:r>
        <w:t>Selection will be based on clinical assessment and case review conducted by AISHA</w:t>
      </w:r>
      <w:r w:rsidR="008F4C89">
        <w:t xml:space="preserve"> </w:t>
      </w:r>
      <w:r>
        <w:t>mental health team to ensure readiness and appropriateness for participation in Cash for Work activities.</w:t>
      </w:r>
    </w:p>
    <w:p w14:paraId="1545296C" w14:textId="77777777" w:rsidR="007F6258" w:rsidRDefault="007F6258" w:rsidP="007F6258">
      <w:pPr>
        <w:pStyle w:val="NormalWeb"/>
      </w:pPr>
      <w:r>
        <w:t>The target group includes displaced women, female heads of households, widows, and women survivors of GBV experiencing ongoing psychological distress linked to economic vulnerability.</w:t>
      </w:r>
    </w:p>
    <w:p w14:paraId="1B64D905" w14:textId="77777777" w:rsidR="007F6258" w:rsidRDefault="007F6258" w:rsidP="007F6258">
      <w:pPr>
        <w:pStyle w:val="Heading2"/>
      </w:pPr>
      <w:r>
        <w:t>Expected Results</w:t>
      </w:r>
    </w:p>
    <w:p w14:paraId="06E65376" w14:textId="20A546EE" w:rsidR="007F6258" w:rsidRDefault="007F6258" w:rsidP="007F6258">
      <w:pPr>
        <w:pStyle w:val="NormalWeb"/>
        <w:numPr>
          <w:ilvl w:val="0"/>
          <w:numId w:val="8"/>
        </w:numPr>
      </w:pPr>
      <w:r>
        <w:t xml:space="preserve">Improved psychological well-being and emotional stability among </w:t>
      </w:r>
      <w:r w:rsidR="00D870A5">
        <w:t>50</w:t>
      </w:r>
      <w:r w:rsidR="008F4C89">
        <w:t xml:space="preserve"> </w:t>
      </w:r>
      <w:r>
        <w:t>women through engagement in Cash for Work activities.</w:t>
      </w:r>
    </w:p>
    <w:p w14:paraId="4D1C83A6" w14:textId="77777777" w:rsidR="007F6258" w:rsidRDefault="007F6258" w:rsidP="007F6258">
      <w:pPr>
        <w:pStyle w:val="NormalWeb"/>
        <w:numPr>
          <w:ilvl w:val="0"/>
          <w:numId w:val="8"/>
        </w:numPr>
      </w:pPr>
      <w:r>
        <w:t>Reduced trauma-related stress, anxiety, and emotional distress associated with economic insecurity.</w:t>
      </w:r>
    </w:p>
    <w:p w14:paraId="59F35078" w14:textId="77777777" w:rsidR="007F6258" w:rsidRDefault="007F6258" w:rsidP="007F6258">
      <w:pPr>
        <w:pStyle w:val="NormalWeb"/>
        <w:numPr>
          <w:ilvl w:val="0"/>
          <w:numId w:val="8"/>
        </w:numPr>
      </w:pPr>
      <w:r>
        <w:t>Increased self-confidence, autonomy, and sense of purpose among participating women.</w:t>
      </w:r>
    </w:p>
    <w:p w14:paraId="6662EB46" w14:textId="77777777" w:rsidR="007F6258" w:rsidRDefault="007F6258" w:rsidP="007F6258">
      <w:pPr>
        <w:pStyle w:val="NormalWeb"/>
        <w:numPr>
          <w:ilvl w:val="0"/>
          <w:numId w:val="8"/>
        </w:numPr>
      </w:pPr>
      <w:r>
        <w:t>Enhanced coping mechanisms and psychosocial resilience supported through continued monitoring and follow-up.</w:t>
      </w:r>
    </w:p>
    <w:p w14:paraId="2F22E780" w14:textId="77777777" w:rsidR="007F6258" w:rsidRDefault="007F6258" w:rsidP="007F6258">
      <w:pPr>
        <w:pStyle w:val="Heading2"/>
      </w:pPr>
      <w:r>
        <w:t>Proposed Activities</w:t>
      </w:r>
    </w:p>
    <w:p w14:paraId="6917DEA8" w14:textId="77777777" w:rsidR="007F6258" w:rsidRDefault="007F6258" w:rsidP="007F6258">
      <w:pPr>
        <w:pStyle w:val="Heading3"/>
      </w:pPr>
      <w:r>
        <w:t>Therapeutic Cash for Work Intervention</w:t>
      </w:r>
    </w:p>
    <w:p w14:paraId="53C5C5F8" w14:textId="0656807A" w:rsidR="007F6258" w:rsidRDefault="007F6258" w:rsidP="007F6258">
      <w:pPr>
        <w:pStyle w:val="NormalWeb"/>
      </w:pPr>
      <w:r>
        <w:t xml:space="preserve">The project will implement Cash for Work (CFW) designed and delivered as a </w:t>
      </w:r>
      <w:r>
        <w:rPr>
          <w:rStyle w:val="Strong"/>
          <w:rFonts w:eastAsiaTheme="majorEastAsia"/>
        </w:rPr>
        <w:t>therapeutic tool</w:t>
      </w:r>
      <w:r>
        <w:t xml:space="preserve"> to support the psychological recovery of women affected by conflict-related trauma.</w:t>
      </w:r>
    </w:p>
    <w:p w14:paraId="6548AD5C" w14:textId="41A3CC14" w:rsidR="007F6258" w:rsidRDefault="007F6258" w:rsidP="007F6258">
      <w:pPr>
        <w:pStyle w:val="NormalWeb"/>
      </w:pPr>
      <w:r>
        <w:t xml:space="preserve"> (</w:t>
      </w:r>
      <w:r w:rsidR="00694729">
        <w:t>50</w:t>
      </w:r>
      <w:r>
        <w:t>) women will be selected from cases that have already received psychological support through AISHA</w:t>
      </w:r>
      <w:r w:rsidR="0095530C">
        <w:t xml:space="preserve"> </w:t>
      </w:r>
      <w:r>
        <w:t>mental health clinic and whose clinical assessments indicate that economic participation is necessary to complete their recovery process.</w:t>
      </w:r>
    </w:p>
    <w:p w14:paraId="302F7C56" w14:textId="15DD8D03" w:rsidR="007F6258" w:rsidRDefault="007F6258" w:rsidP="007F6258">
      <w:pPr>
        <w:pStyle w:val="NormalWeb"/>
      </w:pPr>
      <w:r>
        <w:lastRenderedPageBreak/>
        <w:t xml:space="preserve">Each selected woman will be engaged in skill-matched, dignified Cash for Work opportunities for a period of </w:t>
      </w:r>
      <w:r>
        <w:rPr>
          <w:rStyle w:val="Strong"/>
          <w:rFonts w:eastAsiaTheme="majorEastAsia"/>
        </w:rPr>
        <w:t>three months</w:t>
      </w:r>
      <w:r w:rsidR="0095530C">
        <w:t>.</w:t>
      </w:r>
      <w:r w:rsidR="009A4C79">
        <w:t xml:space="preserve"> </w:t>
      </w:r>
      <w:r>
        <w:t>The type of work will be adapted to each woman’s skills, capacity, and psychological condition, ensuring a safe and supportive working environment.</w:t>
      </w:r>
    </w:p>
    <w:p w14:paraId="28C1C7E2" w14:textId="77777777" w:rsidR="007F6258" w:rsidRDefault="007F6258" w:rsidP="007F6258">
      <w:pPr>
        <w:pStyle w:val="NormalWeb"/>
      </w:pPr>
      <w:r>
        <w:t>Throughout the employment period, participants’ psychological well-being will be continuously monitored through case management and clinical follow-up, ensuring that Cash for Work contributes positively to emotional stability, self-esteem, coping capacity, and overall mental health recovery.</w:t>
      </w:r>
    </w:p>
    <w:p w14:paraId="2D1DFE5F" w14:textId="77777777" w:rsidR="007F6258" w:rsidRDefault="007F6258" w:rsidP="007F6258">
      <w:pPr>
        <w:pStyle w:val="NormalWeb"/>
      </w:pPr>
      <w:r>
        <w:t xml:space="preserve">This approach ensures that Cash for Work is implemented </w:t>
      </w:r>
      <w:r>
        <w:rPr>
          <w:rStyle w:val="Strong"/>
          <w:rFonts w:eastAsiaTheme="majorEastAsia"/>
        </w:rPr>
        <w:t>not as a standalone livelihood intervention</w:t>
      </w:r>
      <w:r>
        <w:t xml:space="preserve">, but as a structured </w:t>
      </w:r>
      <w:r>
        <w:rPr>
          <w:rStyle w:val="Strong"/>
          <w:rFonts w:eastAsiaTheme="majorEastAsia"/>
        </w:rPr>
        <w:t>therapeutic mechanism</w:t>
      </w:r>
      <w:r>
        <w:t xml:space="preserve"> reinforcing prior psychological support and promoting sustained psychosocial resilience.</w:t>
      </w:r>
    </w:p>
    <w:p w14:paraId="3E44D3DA" w14:textId="77777777" w:rsidR="00DA6CBC" w:rsidRDefault="00DA6CBC" w:rsidP="00215EC5">
      <w:pPr>
        <w:spacing w:before="100" w:beforeAutospacing="1" w:after="100" w:afterAutospacing="1" w:line="240" w:lineRule="auto"/>
        <w:outlineLvl w:val="1"/>
        <w:rPr>
          <w:rFonts w:eastAsia="Times New Roman" w:cs="Times New Roman"/>
          <w:kern w:val="0"/>
          <w:lang w:val="en-CA"/>
          <w14:ligatures w14:val="none"/>
        </w:rPr>
      </w:pPr>
    </w:p>
    <w:p w14:paraId="5D6EC95D" w14:textId="7A35B96D" w:rsidR="006748A6" w:rsidRPr="008A0316" w:rsidRDefault="006748A6" w:rsidP="008A0316">
      <w:pPr>
        <w:pStyle w:val="Heading2"/>
      </w:pPr>
      <w:r w:rsidRPr="008A0316">
        <w:t>Implementation Timeline (</w:t>
      </w:r>
      <w:r w:rsidR="0095530C" w:rsidRPr="008A0316">
        <w:t>6</w:t>
      </w:r>
      <w:r w:rsidRPr="008A0316">
        <w:t xml:space="preserve"> Months)</w:t>
      </w:r>
      <w:r w:rsidR="005D13EE" w:rsidRPr="008A0316">
        <w:t xml:space="preserve"> </w:t>
      </w:r>
      <w:r w:rsidR="005D13EE" w:rsidRPr="00F13FED">
        <w:rPr>
          <w:i/>
          <w:iCs/>
          <w:sz w:val="24"/>
          <w:szCs w:val="24"/>
        </w:rPr>
        <w:t>Februar</w:t>
      </w:r>
      <w:r w:rsidR="00F13FED" w:rsidRPr="00F13FED">
        <w:rPr>
          <w:i/>
          <w:iCs/>
          <w:sz w:val="24"/>
          <w:szCs w:val="24"/>
        </w:rPr>
        <w:t>y</w:t>
      </w:r>
      <w:r w:rsidR="005D13EE" w:rsidRPr="00F13FED">
        <w:rPr>
          <w:i/>
          <w:iCs/>
          <w:sz w:val="24"/>
          <w:szCs w:val="24"/>
        </w:rPr>
        <w:t xml:space="preserve">- </w:t>
      </w:r>
      <w:r w:rsidR="0095530C" w:rsidRPr="00F13FED">
        <w:rPr>
          <w:i/>
          <w:iCs/>
          <w:sz w:val="24"/>
          <w:szCs w:val="24"/>
        </w:rPr>
        <w:t xml:space="preserve">July </w:t>
      </w:r>
      <w:r w:rsidR="005D13EE" w:rsidRPr="00F13FED">
        <w:rPr>
          <w:i/>
          <w:iCs/>
          <w:sz w:val="24"/>
          <w:szCs w:val="24"/>
        </w:rPr>
        <w:t>2026</w:t>
      </w:r>
    </w:p>
    <w:tbl>
      <w:tblPr>
        <w:tblW w:w="10027" w:type="dxa"/>
        <w:tblCellSpacing w:w="15" w:type="dxa"/>
        <w:tblCellMar>
          <w:top w:w="15" w:type="dxa"/>
          <w:left w:w="15" w:type="dxa"/>
          <w:bottom w:w="15" w:type="dxa"/>
          <w:right w:w="15" w:type="dxa"/>
        </w:tblCellMar>
        <w:tblLook w:val="04A0" w:firstRow="1" w:lastRow="0" w:firstColumn="1" w:lastColumn="0" w:noHBand="0" w:noVBand="1"/>
      </w:tblPr>
      <w:tblGrid>
        <w:gridCol w:w="426"/>
        <w:gridCol w:w="5528"/>
        <w:gridCol w:w="505"/>
        <w:gridCol w:w="487"/>
        <w:gridCol w:w="289"/>
        <w:gridCol w:w="388"/>
        <w:gridCol w:w="388"/>
        <w:gridCol w:w="403"/>
        <w:gridCol w:w="403"/>
        <w:gridCol w:w="403"/>
        <w:gridCol w:w="403"/>
        <w:gridCol w:w="140"/>
        <w:gridCol w:w="264"/>
      </w:tblGrid>
      <w:tr w:rsidR="005D13EE" w:rsidRPr="009E58E9" w14:paraId="52BEB799" w14:textId="3D666074" w:rsidTr="005D13EE">
        <w:trPr>
          <w:gridAfter w:val="1"/>
          <w:wAfter w:w="219" w:type="dxa"/>
          <w:tblHeader/>
          <w:tblCellSpacing w:w="15" w:type="dxa"/>
        </w:trPr>
        <w:tc>
          <w:tcPr>
            <w:tcW w:w="381" w:type="dxa"/>
            <w:shd w:val="clear" w:color="auto" w:fill="D9D9D9" w:themeFill="background1" w:themeFillShade="D9"/>
            <w:vAlign w:val="center"/>
            <w:hideMark/>
          </w:tcPr>
          <w:p w14:paraId="7E2FD776" w14:textId="4AC17310" w:rsidR="005D13EE" w:rsidRPr="006748A6" w:rsidRDefault="005D13EE" w:rsidP="006748A6">
            <w:pPr>
              <w:spacing w:after="0" w:line="240" w:lineRule="auto"/>
              <w:jc w:val="center"/>
              <w:rPr>
                <w:rFonts w:eastAsia="Times New Roman" w:cs="Times New Roman"/>
                <w:b/>
                <w:bCs/>
                <w:kern w:val="0"/>
                <w14:ligatures w14:val="none"/>
              </w:rPr>
            </w:pPr>
            <w:r w:rsidRPr="009E58E9">
              <w:rPr>
                <w:rFonts w:eastAsia="Times New Roman" w:cs="Times New Roman"/>
                <w:b/>
                <w:bCs/>
                <w:kern w:val="0"/>
                <w14:ligatures w14:val="none"/>
              </w:rPr>
              <w:t>ID</w:t>
            </w:r>
          </w:p>
        </w:tc>
        <w:tc>
          <w:tcPr>
            <w:tcW w:w="5498" w:type="dxa"/>
            <w:shd w:val="clear" w:color="auto" w:fill="D9D9D9" w:themeFill="background1" w:themeFillShade="D9"/>
            <w:vAlign w:val="center"/>
            <w:hideMark/>
          </w:tcPr>
          <w:p w14:paraId="0C69D28A" w14:textId="77777777" w:rsidR="005D13EE" w:rsidRPr="006748A6" w:rsidRDefault="005D13EE" w:rsidP="006748A6">
            <w:pPr>
              <w:spacing w:after="0" w:line="240" w:lineRule="auto"/>
              <w:jc w:val="center"/>
              <w:rPr>
                <w:rFonts w:eastAsia="Times New Roman" w:cs="Times New Roman"/>
                <w:b/>
                <w:bCs/>
                <w:kern w:val="0"/>
                <w14:ligatures w14:val="none"/>
              </w:rPr>
            </w:pPr>
            <w:r w:rsidRPr="006748A6">
              <w:rPr>
                <w:rFonts w:eastAsia="Times New Roman" w:cs="Times New Roman"/>
                <w:b/>
                <w:bCs/>
                <w:kern w:val="0"/>
                <w14:ligatures w14:val="none"/>
              </w:rPr>
              <w:t>Activity</w:t>
            </w:r>
          </w:p>
        </w:tc>
        <w:tc>
          <w:tcPr>
            <w:tcW w:w="3779" w:type="dxa"/>
            <w:gridSpan w:val="10"/>
            <w:shd w:val="clear" w:color="auto" w:fill="D9D9D9" w:themeFill="background1" w:themeFillShade="D9"/>
          </w:tcPr>
          <w:p w14:paraId="1B8F0906" w14:textId="744C439A" w:rsidR="005D13EE" w:rsidRPr="009E58E9" w:rsidRDefault="005D13EE" w:rsidP="002327CC">
            <w:pPr>
              <w:spacing w:after="0" w:line="240" w:lineRule="auto"/>
              <w:ind w:hanging="803"/>
              <w:jc w:val="center"/>
              <w:rPr>
                <w:rFonts w:eastAsia="Times New Roman" w:cs="Times New Roman"/>
                <w:kern w:val="0"/>
                <w14:ligatures w14:val="none"/>
              </w:rPr>
            </w:pPr>
            <w:r w:rsidRPr="006748A6">
              <w:rPr>
                <w:rFonts w:eastAsia="Times New Roman" w:cs="Times New Roman"/>
                <w:b/>
                <w:bCs/>
                <w:kern w:val="0"/>
                <w14:ligatures w14:val="none"/>
              </w:rPr>
              <w:t>Month</w:t>
            </w:r>
          </w:p>
        </w:tc>
      </w:tr>
      <w:tr w:rsidR="005D13EE" w:rsidRPr="009E58E9" w14:paraId="3B3E962A" w14:textId="3F4A9C34" w:rsidTr="00C22379">
        <w:trPr>
          <w:tblCellSpacing w:w="15" w:type="dxa"/>
        </w:trPr>
        <w:tc>
          <w:tcPr>
            <w:tcW w:w="381" w:type="dxa"/>
            <w:vAlign w:val="center"/>
            <w:hideMark/>
          </w:tcPr>
          <w:p w14:paraId="79963CA6" w14:textId="55F24F87" w:rsidR="005D13EE" w:rsidRPr="006748A6" w:rsidRDefault="005D13EE" w:rsidP="006748A6">
            <w:pPr>
              <w:spacing w:after="0" w:line="240" w:lineRule="auto"/>
              <w:rPr>
                <w:rFonts w:eastAsia="Times New Roman" w:cs="Times New Roman"/>
                <w:kern w:val="0"/>
                <w14:ligatures w14:val="none"/>
              </w:rPr>
            </w:pPr>
            <w:r w:rsidRPr="006748A6">
              <w:rPr>
                <w:rFonts w:eastAsia="Times New Roman" w:cs="Times New Roman"/>
                <w:kern w:val="0"/>
                <w14:ligatures w14:val="none"/>
              </w:rPr>
              <w:t>1</w:t>
            </w:r>
          </w:p>
        </w:tc>
        <w:tc>
          <w:tcPr>
            <w:tcW w:w="5498" w:type="dxa"/>
            <w:vAlign w:val="center"/>
            <w:hideMark/>
          </w:tcPr>
          <w:p w14:paraId="13A1A4DE" w14:textId="77777777" w:rsidR="005D13EE" w:rsidRPr="006748A6" w:rsidRDefault="005D13EE" w:rsidP="006748A6">
            <w:pPr>
              <w:spacing w:after="0" w:line="240" w:lineRule="auto"/>
              <w:rPr>
                <w:rFonts w:eastAsia="Times New Roman" w:cs="Times New Roman"/>
                <w:kern w:val="0"/>
                <w14:ligatures w14:val="none"/>
              </w:rPr>
            </w:pPr>
            <w:r w:rsidRPr="006748A6">
              <w:rPr>
                <w:rFonts w:eastAsia="Times New Roman" w:cs="Times New Roman"/>
                <w:kern w:val="0"/>
                <w14:ligatures w14:val="none"/>
              </w:rPr>
              <w:t>Outreach, beneficiary identification, and preparation</w:t>
            </w:r>
          </w:p>
        </w:tc>
        <w:tc>
          <w:tcPr>
            <w:tcW w:w="475" w:type="dxa"/>
            <w:shd w:val="clear" w:color="auto" w:fill="FFC000"/>
          </w:tcPr>
          <w:p w14:paraId="32ABF3E6" w14:textId="77777777" w:rsidR="005D13EE" w:rsidRPr="009E58E9" w:rsidRDefault="005D13EE" w:rsidP="00D556AD">
            <w:pPr>
              <w:bidi/>
              <w:spacing w:after="0" w:line="240" w:lineRule="auto"/>
              <w:ind w:hanging="803"/>
              <w:rPr>
                <w:rFonts w:eastAsia="Times New Roman" w:cs="Times New Roman"/>
                <w:kern w:val="0"/>
                <w:rtl/>
                <w14:ligatures w14:val="none"/>
              </w:rPr>
            </w:pPr>
          </w:p>
        </w:tc>
        <w:tc>
          <w:tcPr>
            <w:tcW w:w="457" w:type="dxa"/>
            <w:shd w:val="clear" w:color="auto" w:fill="FFC000"/>
          </w:tcPr>
          <w:p w14:paraId="09B89E77" w14:textId="77777777" w:rsidR="005D13EE" w:rsidRPr="009E58E9" w:rsidRDefault="005D13EE" w:rsidP="002327CC">
            <w:pPr>
              <w:spacing w:after="0" w:line="240" w:lineRule="auto"/>
              <w:ind w:hanging="803"/>
              <w:rPr>
                <w:rFonts w:eastAsia="Times New Roman" w:cs="Times New Roman"/>
                <w:kern w:val="0"/>
                <w14:ligatures w14:val="none"/>
              </w:rPr>
            </w:pPr>
          </w:p>
        </w:tc>
        <w:tc>
          <w:tcPr>
            <w:tcW w:w="259" w:type="dxa"/>
          </w:tcPr>
          <w:p w14:paraId="0AA401E4" w14:textId="77777777" w:rsidR="005D13EE" w:rsidRPr="009E58E9" w:rsidRDefault="005D13EE" w:rsidP="002327CC">
            <w:pPr>
              <w:spacing w:after="0" w:line="240" w:lineRule="auto"/>
              <w:ind w:hanging="803"/>
              <w:rPr>
                <w:rFonts w:eastAsia="Times New Roman" w:cs="Times New Roman"/>
                <w:kern w:val="0"/>
                <w14:ligatures w14:val="none"/>
              </w:rPr>
            </w:pPr>
          </w:p>
        </w:tc>
        <w:tc>
          <w:tcPr>
            <w:tcW w:w="358" w:type="dxa"/>
          </w:tcPr>
          <w:p w14:paraId="50E94651" w14:textId="77777777" w:rsidR="005D13EE" w:rsidRPr="009E58E9" w:rsidRDefault="005D13EE" w:rsidP="002327CC">
            <w:pPr>
              <w:spacing w:after="0" w:line="240" w:lineRule="auto"/>
              <w:ind w:hanging="803"/>
              <w:rPr>
                <w:rFonts w:eastAsia="Times New Roman" w:cs="Times New Roman"/>
                <w:kern w:val="0"/>
                <w14:ligatures w14:val="none"/>
              </w:rPr>
            </w:pPr>
          </w:p>
        </w:tc>
        <w:tc>
          <w:tcPr>
            <w:tcW w:w="358" w:type="dxa"/>
          </w:tcPr>
          <w:p w14:paraId="1153802F" w14:textId="5212B4B9" w:rsidR="005D13EE" w:rsidRPr="009E58E9" w:rsidRDefault="005D13EE" w:rsidP="002327CC">
            <w:pPr>
              <w:spacing w:after="0" w:line="240" w:lineRule="auto"/>
              <w:ind w:hanging="803"/>
              <w:rPr>
                <w:rFonts w:eastAsia="Times New Roman" w:cs="Times New Roman"/>
                <w:kern w:val="0"/>
                <w14:ligatures w14:val="none"/>
              </w:rPr>
            </w:pPr>
          </w:p>
        </w:tc>
        <w:tc>
          <w:tcPr>
            <w:tcW w:w="373" w:type="dxa"/>
          </w:tcPr>
          <w:p w14:paraId="59D1A250" w14:textId="77777777" w:rsidR="005D13EE" w:rsidRPr="009E58E9" w:rsidRDefault="005D13EE" w:rsidP="002327CC">
            <w:pPr>
              <w:spacing w:after="0" w:line="240" w:lineRule="auto"/>
              <w:ind w:hanging="803"/>
              <w:rPr>
                <w:rFonts w:eastAsia="Times New Roman" w:cs="Times New Roman"/>
                <w:kern w:val="0"/>
                <w14:ligatures w14:val="none"/>
              </w:rPr>
            </w:pPr>
          </w:p>
        </w:tc>
        <w:tc>
          <w:tcPr>
            <w:tcW w:w="373" w:type="dxa"/>
          </w:tcPr>
          <w:p w14:paraId="4EAD752A" w14:textId="77777777" w:rsidR="005D13EE" w:rsidRPr="009E58E9" w:rsidRDefault="005D13EE" w:rsidP="002327CC">
            <w:pPr>
              <w:spacing w:after="0" w:line="240" w:lineRule="auto"/>
              <w:ind w:hanging="803"/>
              <w:rPr>
                <w:rFonts w:eastAsia="Times New Roman" w:cs="Times New Roman"/>
                <w:kern w:val="0"/>
                <w14:ligatures w14:val="none"/>
              </w:rPr>
            </w:pPr>
          </w:p>
        </w:tc>
        <w:tc>
          <w:tcPr>
            <w:tcW w:w="373" w:type="dxa"/>
          </w:tcPr>
          <w:p w14:paraId="2930A34A" w14:textId="77777777" w:rsidR="005D13EE" w:rsidRPr="009E58E9" w:rsidRDefault="005D13EE" w:rsidP="002327CC">
            <w:pPr>
              <w:spacing w:after="0" w:line="240" w:lineRule="auto"/>
              <w:ind w:hanging="803"/>
              <w:rPr>
                <w:rFonts w:eastAsia="Times New Roman" w:cs="Times New Roman"/>
                <w:kern w:val="0"/>
                <w14:ligatures w14:val="none"/>
              </w:rPr>
            </w:pPr>
          </w:p>
        </w:tc>
        <w:tc>
          <w:tcPr>
            <w:tcW w:w="373" w:type="dxa"/>
          </w:tcPr>
          <w:p w14:paraId="550B4105" w14:textId="6BEAC912" w:rsidR="005D13EE" w:rsidRPr="009E58E9" w:rsidRDefault="005D13EE" w:rsidP="002327CC">
            <w:pPr>
              <w:spacing w:after="0" w:line="240" w:lineRule="auto"/>
              <w:ind w:hanging="803"/>
              <w:rPr>
                <w:rFonts w:eastAsia="Times New Roman" w:cs="Times New Roman"/>
                <w:kern w:val="0"/>
                <w14:ligatures w14:val="none"/>
              </w:rPr>
            </w:pPr>
          </w:p>
        </w:tc>
        <w:tc>
          <w:tcPr>
            <w:tcW w:w="359" w:type="dxa"/>
            <w:gridSpan w:val="2"/>
          </w:tcPr>
          <w:p w14:paraId="2C574B56" w14:textId="0BF51AA1" w:rsidR="005D13EE" w:rsidRPr="009E58E9" w:rsidRDefault="005D13EE" w:rsidP="002327CC">
            <w:pPr>
              <w:spacing w:after="0" w:line="240" w:lineRule="auto"/>
              <w:ind w:hanging="803"/>
              <w:rPr>
                <w:rFonts w:eastAsia="Times New Roman" w:cs="Times New Roman"/>
                <w:kern w:val="0"/>
                <w14:ligatures w14:val="none"/>
              </w:rPr>
            </w:pPr>
          </w:p>
        </w:tc>
      </w:tr>
      <w:tr w:rsidR="00D870A5" w:rsidRPr="009E58E9" w14:paraId="14A4E011" w14:textId="77777777" w:rsidTr="00D870A5">
        <w:trPr>
          <w:tblCellSpacing w:w="15" w:type="dxa"/>
        </w:trPr>
        <w:tc>
          <w:tcPr>
            <w:tcW w:w="381" w:type="dxa"/>
            <w:vAlign w:val="center"/>
          </w:tcPr>
          <w:p w14:paraId="183D8E8B" w14:textId="21022D5E" w:rsidR="00D870A5" w:rsidRPr="006748A6" w:rsidRDefault="00D870A5" w:rsidP="006748A6">
            <w:pPr>
              <w:spacing w:after="0" w:line="240" w:lineRule="auto"/>
              <w:rPr>
                <w:rFonts w:eastAsia="Times New Roman" w:cs="Times New Roman"/>
                <w:kern w:val="0"/>
                <w14:ligatures w14:val="none"/>
              </w:rPr>
            </w:pPr>
            <w:r>
              <w:rPr>
                <w:rFonts w:eastAsia="Times New Roman" w:cs="Times New Roman"/>
                <w:kern w:val="0"/>
                <w14:ligatures w14:val="none"/>
              </w:rPr>
              <w:t>2</w:t>
            </w:r>
          </w:p>
        </w:tc>
        <w:tc>
          <w:tcPr>
            <w:tcW w:w="5498" w:type="dxa"/>
            <w:vAlign w:val="center"/>
          </w:tcPr>
          <w:p w14:paraId="0C922D43" w14:textId="30AF4E98" w:rsidR="00D870A5" w:rsidRPr="006748A6" w:rsidRDefault="00D870A5" w:rsidP="006748A6">
            <w:pPr>
              <w:spacing w:after="0" w:line="240" w:lineRule="auto"/>
              <w:rPr>
                <w:rFonts w:eastAsia="Times New Roman" w:cs="Times New Roman"/>
                <w:kern w:val="0"/>
                <w14:ligatures w14:val="none"/>
              </w:rPr>
            </w:pPr>
            <w:r>
              <w:rPr>
                <w:rFonts w:eastAsia="Times New Roman" w:cs="Times New Roman"/>
                <w:kern w:val="0"/>
                <w14:ligatures w14:val="none"/>
              </w:rPr>
              <w:t>Wellbeing and MHPSS interventions for targeted women</w:t>
            </w:r>
          </w:p>
        </w:tc>
        <w:tc>
          <w:tcPr>
            <w:tcW w:w="475" w:type="dxa"/>
            <w:shd w:val="clear" w:color="auto" w:fill="FFC000"/>
          </w:tcPr>
          <w:p w14:paraId="5EDF10BF" w14:textId="77777777" w:rsidR="00D870A5" w:rsidRPr="009E58E9" w:rsidRDefault="00D870A5" w:rsidP="00D556AD">
            <w:pPr>
              <w:bidi/>
              <w:spacing w:after="0" w:line="240" w:lineRule="auto"/>
              <w:ind w:hanging="803"/>
              <w:rPr>
                <w:rFonts w:eastAsia="Times New Roman" w:cs="Times New Roman"/>
                <w:kern w:val="0"/>
                <w:rtl/>
                <w14:ligatures w14:val="none"/>
              </w:rPr>
            </w:pPr>
          </w:p>
        </w:tc>
        <w:tc>
          <w:tcPr>
            <w:tcW w:w="457" w:type="dxa"/>
            <w:shd w:val="clear" w:color="auto" w:fill="FFC000"/>
          </w:tcPr>
          <w:p w14:paraId="2E924C13" w14:textId="77777777" w:rsidR="00D870A5" w:rsidRPr="009E58E9" w:rsidRDefault="00D870A5" w:rsidP="002327CC">
            <w:pPr>
              <w:spacing w:after="0" w:line="240" w:lineRule="auto"/>
              <w:ind w:hanging="803"/>
              <w:rPr>
                <w:rFonts w:eastAsia="Times New Roman" w:cs="Times New Roman"/>
                <w:kern w:val="0"/>
                <w14:ligatures w14:val="none"/>
              </w:rPr>
            </w:pPr>
          </w:p>
        </w:tc>
        <w:tc>
          <w:tcPr>
            <w:tcW w:w="259" w:type="dxa"/>
            <w:shd w:val="clear" w:color="auto" w:fill="FFC000"/>
          </w:tcPr>
          <w:p w14:paraId="3D7D42D4" w14:textId="77777777" w:rsidR="00D870A5" w:rsidRPr="009E58E9" w:rsidRDefault="00D870A5" w:rsidP="002327CC">
            <w:pPr>
              <w:spacing w:after="0" w:line="240" w:lineRule="auto"/>
              <w:ind w:hanging="803"/>
              <w:rPr>
                <w:rFonts w:eastAsia="Times New Roman" w:cs="Times New Roman"/>
                <w:kern w:val="0"/>
                <w14:ligatures w14:val="none"/>
              </w:rPr>
            </w:pPr>
          </w:p>
        </w:tc>
        <w:tc>
          <w:tcPr>
            <w:tcW w:w="358" w:type="dxa"/>
            <w:shd w:val="clear" w:color="auto" w:fill="FFC000"/>
          </w:tcPr>
          <w:p w14:paraId="09799543" w14:textId="77777777" w:rsidR="00D870A5" w:rsidRPr="009E58E9" w:rsidRDefault="00D870A5" w:rsidP="002327CC">
            <w:pPr>
              <w:spacing w:after="0" w:line="240" w:lineRule="auto"/>
              <w:ind w:hanging="803"/>
              <w:rPr>
                <w:rFonts w:eastAsia="Times New Roman" w:cs="Times New Roman"/>
                <w:kern w:val="0"/>
                <w14:ligatures w14:val="none"/>
              </w:rPr>
            </w:pPr>
          </w:p>
        </w:tc>
        <w:tc>
          <w:tcPr>
            <w:tcW w:w="358" w:type="dxa"/>
            <w:shd w:val="clear" w:color="auto" w:fill="FFC000"/>
          </w:tcPr>
          <w:p w14:paraId="185FE171" w14:textId="77777777" w:rsidR="00D870A5" w:rsidRPr="009E58E9" w:rsidRDefault="00D870A5" w:rsidP="002327CC">
            <w:pPr>
              <w:spacing w:after="0" w:line="240" w:lineRule="auto"/>
              <w:ind w:hanging="803"/>
              <w:rPr>
                <w:rFonts w:eastAsia="Times New Roman" w:cs="Times New Roman"/>
                <w:kern w:val="0"/>
                <w14:ligatures w14:val="none"/>
              </w:rPr>
            </w:pPr>
          </w:p>
        </w:tc>
        <w:tc>
          <w:tcPr>
            <w:tcW w:w="373" w:type="dxa"/>
            <w:shd w:val="clear" w:color="auto" w:fill="FFC000"/>
          </w:tcPr>
          <w:p w14:paraId="31586513" w14:textId="77777777" w:rsidR="00D870A5" w:rsidRPr="009E58E9" w:rsidRDefault="00D870A5" w:rsidP="002327CC">
            <w:pPr>
              <w:spacing w:after="0" w:line="240" w:lineRule="auto"/>
              <w:ind w:hanging="803"/>
              <w:rPr>
                <w:rFonts w:eastAsia="Times New Roman" w:cs="Times New Roman"/>
                <w:kern w:val="0"/>
                <w14:ligatures w14:val="none"/>
              </w:rPr>
            </w:pPr>
          </w:p>
        </w:tc>
        <w:tc>
          <w:tcPr>
            <w:tcW w:w="373" w:type="dxa"/>
          </w:tcPr>
          <w:p w14:paraId="272A4626" w14:textId="77777777" w:rsidR="00D870A5" w:rsidRPr="009E58E9" w:rsidRDefault="00D870A5" w:rsidP="002327CC">
            <w:pPr>
              <w:spacing w:after="0" w:line="240" w:lineRule="auto"/>
              <w:ind w:hanging="803"/>
              <w:rPr>
                <w:rFonts w:eastAsia="Times New Roman" w:cs="Times New Roman"/>
                <w:kern w:val="0"/>
                <w14:ligatures w14:val="none"/>
              </w:rPr>
            </w:pPr>
          </w:p>
        </w:tc>
        <w:tc>
          <w:tcPr>
            <w:tcW w:w="373" w:type="dxa"/>
          </w:tcPr>
          <w:p w14:paraId="1BD1D4C8" w14:textId="77777777" w:rsidR="00D870A5" w:rsidRPr="009E58E9" w:rsidRDefault="00D870A5" w:rsidP="002327CC">
            <w:pPr>
              <w:spacing w:after="0" w:line="240" w:lineRule="auto"/>
              <w:ind w:hanging="803"/>
              <w:rPr>
                <w:rFonts w:eastAsia="Times New Roman" w:cs="Times New Roman"/>
                <w:kern w:val="0"/>
                <w14:ligatures w14:val="none"/>
              </w:rPr>
            </w:pPr>
          </w:p>
        </w:tc>
        <w:tc>
          <w:tcPr>
            <w:tcW w:w="373" w:type="dxa"/>
          </w:tcPr>
          <w:p w14:paraId="5BDCC03D" w14:textId="77777777" w:rsidR="00D870A5" w:rsidRPr="009E58E9" w:rsidRDefault="00D870A5" w:rsidP="002327CC">
            <w:pPr>
              <w:spacing w:after="0" w:line="240" w:lineRule="auto"/>
              <w:ind w:hanging="803"/>
              <w:rPr>
                <w:rFonts w:eastAsia="Times New Roman" w:cs="Times New Roman"/>
                <w:kern w:val="0"/>
                <w14:ligatures w14:val="none"/>
              </w:rPr>
            </w:pPr>
          </w:p>
        </w:tc>
        <w:tc>
          <w:tcPr>
            <w:tcW w:w="359" w:type="dxa"/>
            <w:gridSpan w:val="2"/>
          </w:tcPr>
          <w:p w14:paraId="3EC7DE38" w14:textId="77777777" w:rsidR="00D870A5" w:rsidRPr="009E58E9" w:rsidRDefault="00D870A5" w:rsidP="002327CC">
            <w:pPr>
              <w:spacing w:after="0" w:line="240" w:lineRule="auto"/>
              <w:ind w:hanging="803"/>
              <w:rPr>
                <w:rFonts w:eastAsia="Times New Roman" w:cs="Times New Roman"/>
                <w:kern w:val="0"/>
                <w14:ligatures w14:val="none"/>
              </w:rPr>
            </w:pPr>
          </w:p>
        </w:tc>
      </w:tr>
      <w:tr w:rsidR="00643F6D" w:rsidRPr="009E58E9" w14:paraId="25CA768B" w14:textId="77777777" w:rsidTr="00C22379">
        <w:trPr>
          <w:tblCellSpacing w:w="15" w:type="dxa"/>
        </w:trPr>
        <w:tc>
          <w:tcPr>
            <w:tcW w:w="381" w:type="dxa"/>
            <w:vAlign w:val="center"/>
          </w:tcPr>
          <w:p w14:paraId="1240629E" w14:textId="5A51F3BB" w:rsidR="00643F6D" w:rsidRDefault="0095530C" w:rsidP="006748A6">
            <w:pPr>
              <w:spacing w:after="0" w:line="240" w:lineRule="auto"/>
              <w:rPr>
                <w:rFonts w:eastAsia="Times New Roman" w:cs="Times New Roman"/>
                <w:kern w:val="0"/>
                <w:rtl/>
                <w14:ligatures w14:val="none"/>
              </w:rPr>
            </w:pPr>
            <w:r>
              <w:rPr>
                <w:rFonts w:eastAsia="Times New Roman" w:cs="Times New Roman"/>
                <w:kern w:val="0"/>
                <w14:ligatures w14:val="none"/>
              </w:rPr>
              <w:t>2</w:t>
            </w:r>
          </w:p>
        </w:tc>
        <w:tc>
          <w:tcPr>
            <w:tcW w:w="5498" w:type="dxa"/>
            <w:vAlign w:val="center"/>
          </w:tcPr>
          <w:p w14:paraId="4B13F421" w14:textId="2A32EC05" w:rsidR="00643F6D" w:rsidRPr="006748A6" w:rsidRDefault="00643F6D" w:rsidP="00643F6D">
            <w:pPr>
              <w:spacing w:after="0" w:line="240" w:lineRule="auto"/>
              <w:rPr>
                <w:rFonts w:eastAsia="Times New Roman" w:cs="Times New Roman"/>
                <w:kern w:val="0"/>
                <w14:ligatures w14:val="none"/>
              </w:rPr>
            </w:pPr>
            <w:r>
              <w:rPr>
                <w:rFonts w:eastAsia="Times New Roman" w:cs="Times New Roman"/>
                <w:kern w:val="0"/>
                <w14:ligatures w14:val="none"/>
              </w:rPr>
              <w:t xml:space="preserve">Provide CFW opportunities for </w:t>
            </w:r>
            <w:r w:rsidR="00D870A5">
              <w:rPr>
                <w:rFonts w:eastAsia="Times New Roman" w:cs="Times New Roman"/>
                <w:kern w:val="0"/>
                <w14:ligatures w14:val="none"/>
              </w:rPr>
              <w:t>50</w:t>
            </w:r>
            <w:r>
              <w:rPr>
                <w:rFonts w:eastAsia="Times New Roman" w:cs="Times New Roman"/>
                <w:kern w:val="0"/>
                <w14:ligatures w14:val="none"/>
              </w:rPr>
              <w:t xml:space="preserve"> women for 3 months </w:t>
            </w:r>
            <w:r w:rsidR="00694729">
              <w:rPr>
                <w:rFonts w:eastAsia="Times New Roman" w:cs="Times New Roman"/>
                <w:kern w:val="0"/>
                <w14:ligatures w14:val="none"/>
              </w:rPr>
              <w:t>@650 USD/month/case</w:t>
            </w:r>
          </w:p>
        </w:tc>
        <w:tc>
          <w:tcPr>
            <w:tcW w:w="475" w:type="dxa"/>
          </w:tcPr>
          <w:p w14:paraId="578980AF" w14:textId="77777777" w:rsidR="00643F6D" w:rsidRPr="009E58E9" w:rsidRDefault="00643F6D" w:rsidP="002327CC">
            <w:pPr>
              <w:spacing w:after="0" w:line="240" w:lineRule="auto"/>
              <w:ind w:hanging="803"/>
              <w:rPr>
                <w:rFonts w:eastAsia="Times New Roman" w:cs="Times New Roman"/>
                <w:kern w:val="0"/>
                <w14:ligatures w14:val="none"/>
              </w:rPr>
            </w:pPr>
          </w:p>
        </w:tc>
        <w:tc>
          <w:tcPr>
            <w:tcW w:w="457" w:type="dxa"/>
            <w:shd w:val="clear" w:color="auto" w:fill="FFFFFF" w:themeFill="background1"/>
          </w:tcPr>
          <w:p w14:paraId="511AAC97" w14:textId="77777777" w:rsidR="00643F6D" w:rsidRPr="009E58E9" w:rsidRDefault="00643F6D" w:rsidP="00C22379">
            <w:pPr>
              <w:spacing w:after="0" w:line="240" w:lineRule="auto"/>
              <w:ind w:hanging="803"/>
              <w:jc w:val="center"/>
              <w:rPr>
                <w:rFonts w:eastAsia="Times New Roman" w:cs="Times New Roman"/>
                <w:kern w:val="0"/>
                <w14:ligatures w14:val="none"/>
              </w:rPr>
            </w:pPr>
          </w:p>
        </w:tc>
        <w:tc>
          <w:tcPr>
            <w:tcW w:w="259" w:type="dxa"/>
            <w:shd w:val="clear" w:color="auto" w:fill="FFC000"/>
          </w:tcPr>
          <w:p w14:paraId="075BEFBB" w14:textId="77777777" w:rsidR="00643F6D" w:rsidRDefault="00643F6D" w:rsidP="005D13EE">
            <w:pPr>
              <w:spacing w:after="0" w:line="240" w:lineRule="auto"/>
              <w:ind w:right="-455" w:hanging="803"/>
              <w:rPr>
                <w:rFonts w:eastAsia="Times New Roman" w:cs="Times New Roman"/>
                <w:kern w:val="0"/>
                <w14:ligatures w14:val="none"/>
              </w:rPr>
            </w:pPr>
          </w:p>
        </w:tc>
        <w:tc>
          <w:tcPr>
            <w:tcW w:w="358" w:type="dxa"/>
            <w:shd w:val="clear" w:color="auto" w:fill="FFC000"/>
          </w:tcPr>
          <w:p w14:paraId="6D08885C" w14:textId="77777777" w:rsidR="00643F6D" w:rsidRPr="009E58E9" w:rsidRDefault="00643F6D" w:rsidP="002327CC">
            <w:pPr>
              <w:spacing w:after="0" w:line="240" w:lineRule="auto"/>
              <w:ind w:hanging="803"/>
              <w:rPr>
                <w:rFonts w:eastAsia="Times New Roman" w:cs="Times New Roman"/>
                <w:kern w:val="0"/>
                <w14:ligatures w14:val="none"/>
              </w:rPr>
            </w:pPr>
          </w:p>
        </w:tc>
        <w:tc>
          <w:tcPr>
            <w:tcW w:w="358" w:type="dxa"/>
            <w:shd w:val="clear" w:color="auto" w:fill="FFC000"/>
          </w:tcPr>
          <w:p w14:paraId="7B6430CC" w14:textId="77777777" w:rsidR="00643F6D" w:rsidRPr="009E58E9" w:rsidRDefault="00643F6D" w:rsidP="002327CC">
            <w:pPr>
              <w:spacing w:after="0" w:line="240" w:lineRule="auto"/>
              <w:ind w:hanging="803"/>
              <w:rPr>
                <w:rFonts w:eastAsia="Times New Roman" w:cs="Times New Roman"/>
                <w:kern w:val="0"/>
                <w14:ligatures w14:val="none"/>
              </w:rPr>
            </w:pPr>
          </w:p>
        </w:tc>
        <w:tc>
          <w:tcPr>
            <w:tcW w:w="373" w:type="dxa"/>
            <w:shd w:val="clear" w:color="auto" w:fill="FFFFFF" w:themeFill="background1"/>
          </w:tcPr>
          <w:p w14:paraId="4DB0FA38" w14:textId="77777777" w:rsidR="00643F6D" w:rsidRPr="009E58E9" w:rsidRDefault="00643F6D" w:rsidP="002327CC">
            <w:pPr>
              <w:spacing w:after="0" w:line="240" w:lineRule="auto"/>
              <w:ind w:hanging="803"/>
              <w:rPr>
                <w:rFonts w:eastAsia="Times New Roman" w:cs="Times New Roman"/>
                <w:kern w:val="0"/>
                <w14:ligatures w14:val="none"/>
              </w:rPr>
            </w:pPr>
          </w:p>
        </w:tc>
        <w:tc>
          <w:tcPr>
            <w:tcW w:w="373" w:type="dxa"/>
            <w:shd w:val="clear" w:color="auto" w:fill="FFFFFF" w:themeFill="background1"/>
          </w:tcPr>
          <w:p w14:paraId="197C16C7" w14:textId="77777777" w:rsidR="00643F6D" w:rsidRPr="009E58E9" w:rsidRDefault="00643F6D" w:rsidP="002327CC">
            <w:pPr>
              <w:spacing w:after="0" w:line="240" w:lineRule="auto"/>
              <w:ind w:hanging="803"/>
              <w:rPr>
                <w:rFonts w:eastAsia="Times New Roman" w:cs="Times New Roman"/>
                <w:kern w:val="0"/>
                <w14:ligatures w14:val="none"/>
              </w:rPr>
            </w:pPr>
          </w:p>
        </w:tc>
        <w:tc>
          <w:tcPr>
            <w:tcW w:w="373" w:type="dxa"/>
            <w:shd w:val="clear" w:color="auto" w:fill="FFFFFF" w:themeFill="background1"/>
          </w:tcPr>
          <w:p w14:paraId="4882A15D" w14:textId="77777777" w:rsidR="00643F6D" w:rsidRPr="009E58E9" w:rsidRDefault="00643F6D" w:rsidP="002327CC">
            <w:pPr>
              <w:spacing w:after="0" w:line="240" w:lineRule="auto"/>
              <w:ind w:hanging="803"/>
              <w:rPr>
                <w:rFonts w:eastAsia="Times New Roman" w:cs="Times New Roman"/>
                <w:kern w:val="0"/>
                <w14:ligatures w14:val="none"/>
              </w:rPr>
            </w:pPr>
          </w:p>
        </w:tc>
        <w:tc>
          <w:tcPr>
            <w:tcW w:w="373" w:type="dxa"/>
          </w:tcPr>
          <w:p w14:paraId="56755B27" w14:textId="77777777" w:rsidR="00643F6D" w:rsidRPr="009E58E9" w:rsidRDefault="00643F6D" w:rsidP="002327CC">
            <w:pPr>
              <w:spacing w:after="0" w:line="240" w:lineRule="auto"/>
              <w:ind w:hanging="803"/>
              <w:rPr>
                <w:rFonts w:eastAsia="Times New Roman" w:cs="Times New Roman"/>
                <w:kern w:val="0"/>
                <w14:ligatures w14:val="none"/>
              </w:rPr>
            </w:pPr>
          </w:p>
        </w:tc>
        <w:tc>
          <w:tcPr>
            <w:tcW w:w="359" w:type="dxa"/>
            <w:gridSpan w:val="2"/>
          </w:tcPr>
          <w:p w14:paraId="6F36D65C" w14:textId="77777777" w:rsidR="00643F6D" w:rsidRPr="009E58E9" w:rsidRDefault="00643F6D" w:rsidP="002327CC">
            <w:pPr>
              <w:spacing w:after="0" w:line="240" w:lineRule="auto"/>
              <w:ind w:hanging="803"/>
              <w:rPr>
                <w:rFonts w:eastAsia="Times New Roman" w:cs="Times New Roman"/>
                <w:kern w:val="0"/>
                <w14:ligatures w14:val="none"/>
              </w:rPr>
            </w:pPr>
          </w:p>
        </w:tc>
      </w:tr>
      <w:tr w:rsidR="005D13EE" w:rsidRPr="009E58E9" w14:paraId="621748DC" w14:textId="7227715E" w:rsidTr="00C22379">
        <w:trPr>
          <w:tblCellSpacing w:w="15" w:type="dxa"/>
        </w:trPr>
        <w:tc>
          <w:tcPr>
            <w:tcW w:w="381" w:type="dxa"/>
            <w:vAlign w:val="center"/>
            <w:hideMark/>
          </w:tcPr>
          <w:p w14:paraId="665227DC" w14:textId="436EB97F" w:rsidR="005D13EE" w:rsidRPr="006748A6" w:rsidRDefault="0095530C" w:rsidP="006748A6">
            <w:pPr>
              <w:spacing w:after="0" w:line="240" w:lineRule="auto"/>
              <w:rPr>
                <w:rFonts w:eastAsia="Times New Roman" w:cs="Times New Roman"/>
                <w:kern w:val="0"/>
                <w14:ligatures w14:val="none"/>
              </w:rPr>
            </w:pPr>
            <w:r>
              <w:rPr>
                <w:rFonts w:eastAsia="Times New Roman" w:cs="Times New Roman"/>
                <w:kern w:val="0"/>
                <w14:ligatures w14:val="none"/>
              </w:rPr>
              <w:t>3</w:t>
            </w:r>
          </w:p>
        </w:tc>
        <w:tc>
          <w:tcPr>
            <w:tcW w:w="5498" w:type="dxa"/>
            <w:vAlign w:val="center"/>
            <w:hideMark/>
          </w:tcPr>
          <w:p w14:paraId="78D01735" w14:textId="77777777" w:rsidR="005D13EE" w:rsidRPr="006748A6" w:rsidRDefault="005D13EE" w:rsidP="006748A6">
            <w:pPr>
              <w:spacing w:after="0" w:line="240" w:lineRule="auto"/>
              <w:rPr>
                <w:rFonts w:eastAsia="Times New Roman" w:cs="Times New Roman"/>
                <w:kern w:val="0"/>
                <w14:ligatures w14:val="none"/>
              </w:rPr>
            </w:pPr>
            <w:r w:rsidRPr="006748A6">
              <w:rPr>
                <w:rFonts w:eastAsia="Times New Roman" w:cs="Times New Roman"/>
                <w:kern w:val="0"/>
                <w14:ligatures w14:val="none"/>
              </w:rPr>
              <w:t>Evaluation, follow-ups, and final reporting</w:t>
            </w:r>
          </w:p>
        </w:tc>
        <w:tc>
          <w:tcPr>
            <w:tcW w:w="475" w:type="dxa"/>
          </w:tcPr>
          <w:p w14:paraId="59D2A643" w14:textId="77777777" w:rsidR="005D13EE" w:rsidRPr="009E58E9" w:rsidRDefault="005D13EE" w:rsidP="002327CC">
            <w:pPr>
              <w:spacing w:after="0" w:line="240" w:lineRule="auto"/>
              <w:ind w:hanging="803"/>
              <w:rPr>
                <w:rFonts w:eastAsia="Times New Roman" w:cs="Times New Roman"/>
                <w:kern w:val="0"/>
                <w14:ligatures w14:val="none"/>
              </w:rPr>
            </w:pPr>
          </w:p>
        </w:tc>
        <w:tc>
          <w:tcPr>
            <w:tcW w:w="457" w:type="dxa"/>
          </w:tcPr>
          <w:p w14:paraId="014137CD" w14:textId="77777777" w:rsidR="005D13EE" w:rsidRPr="009E58E9" w:rsidRDefault="005D13EE" w:rsidP="002327CC">
            <w:pPr>
              <w:spacing w:after="0" w:line="240" w:lineRule="auto"/>
              <w:ind w:hanging="803"/>
              <w:rPr>
                <w:rFonts w:eastAsia="Times New Roman" w:cs="Times New Roman"/>
                <w:kern w:val="0"/>
                <w:rtl/>
                <w14:ligatures w14:val="none"/>
              </w:rPr>
            </w:pPr>
          </w:p>
        </w:tc>
        <w:tc>
          <w:tcPr>
            <w:tcW w:w="259" w:type="dxa"/>
          </w:tcPr>
          <w:p w14:paraId="3E0676AF" w14:textId="77777777" w:rsidR="005D13EE" w:rsidRPr="009E58E9" w:rsidRDefault="005D13EE" w:rsidP="002327CC">
            <w:pPr>
              <w:spacing w:after="0" w:line="240" w:lineRule="auto"/>
              <w:ind w:hanging="803"/>
              <w:rPr>
                <w:rFonts w:eastAsia="Times New Roman" w:cs="Times New Roman"/>
                <w:kern w:val="0"/>
                <w14:ligatures w14:val="none"/>
              </w:rPr>
            </w:pPr>
          </w:p>
        </w:tc>
        <w:tc>
          <w:tcPr>
            <w:tcW w:w="358" w:type="dxa"/>
          </w:tcPr>
          <w:p w14:paraId="1903EECB" w14:textId="77777777" w:rsidR="005D13EE" w:rsidRPr="009E58E9" w:rsidRDefault="005D13EE" w:rsidP="002327CC">
            <w:pPr>
              <w:spacing w:after="0" w:line="240" w:lineRule="auto"/>
              <w:ind w:hanging="803"/>
              <w:rPr>
                <w:rFonts w:eastAsia="Times New Roman" w:cs="Times New Roman"/>
                <w:kern w:val="0"/>
                <w14:ligatures w14:val="none"/>
              </w:rPr>
            </w:pPr>
          </w:p>
        </w:tc>
        <w:tc>
          <w:tcPr>
            <w:tcW w:w="358" w:type="dxa"/>
          </w:tcPr>
          <w:p w14:paraId="426EB980" w14:textId="49D70B20" w:rsidR="005D13EE" w:rsidRPr="009E58E9" w:rsidRDefault="005D13EE" w:rsidP="002327CC">
            <w:pPr>
              <w:spacing w:after="0" w:line="240" w:lineRule="auto"/>
              <w:ind w:hanging="803"/>
              <w:rPr>
                <w:rFonts w:eastAsia="Times New Roman" w:cs="Times New Roman"/>
                <w:kern w:val="0"/>
                <w14:ligatures w14:val="none"/>
              </w:rPr>
            </w:pPr>
          </w:p>
        </w:tc>
        <w:tc>
          <w:tcPr>
            <w:tcW w:w="373" w:type="dxa"/>
            <w:shd w:val="clear" w:color="auto" w:fill="FFC000"/>
          </w:tcPr>
          <w:p w14:paraId="25E89445" w14:textId="77777777" w:rsidR="005D13EE" w:rsidRPr="009E58E9" w:rsidRDefault="005D13EE" w:rsidP="002327CC">
            <w:pPr>
              <w:spacing w:after="0" w:line="240" w:lineRule="auto"/>
              <w:ind w:hanging="803"/>
              <w:rPr>
                <w:rFonts w:eastAsia="Times New Roman" w:cs="Times New Roman"/>
                <w:kern w:val="0"/>
                <w14:ligatures w14:val="none"/>
              </w:rPr>
            </w:pPr>
          </w:p>
        </w:tc>
        <w:tc>
          <w:tcPr>
            <w:tcW w:w="373" w:type="dxa"/>
          </w:tcPr>
          <w:p w14:paraId="122D2C69" w14:textId="77777777" w:rsidR="005D13EE" w:rsidRPr="009E58E9" w:rsidRDefault="005D13EE" w:rsidP="002327CC">
            <w:pPr>
              <w:spacing w:after="0" w:line="240" w:lineRule="auto"/>
              <w:ind w:hanging="803"/>
              <w:rPr>
                <w:rFonts w:eastAsia="Times New Roman" w:cs="Times New Roman"/>
                <w:kern w:val="0"/>
                <w14:ligatures w14:val="none"/>
              </w:rPr>
            </w:pPr>
          </w:p>
        </w:tc>
        <w:tc>
          <w:tcPr>
            <w:tcW w:w="373" w:type="dxa"/>
          </w:tcPr>
          <w:p w14:paraId="76DAB77B" w14:textId="77777777" w:rsidR="005D13EE" w:rsidRPr="009E58E9" w:rsidRDefault="005D13EE" w:rsidP="002327CC">
            <w:pPr>
              <w:spacing w:after="0" w:line="240" w:lineRule="auto"/>
              <w:ind w:hanging="803"/>
              <w:rPr>
                <w:rFonts w:eastAsia="Times New Roman" w:cs="Times New Roman"/>
                <w:kern w:val="0"/>
                <w14:ligatures w14:val="none"/>
              </w:rPr>
            </w:pPr>
          </w:p>
        </w:tc>
        <w:tc>
          <w:tcPr>
            <w:tcW w:w="373" w:type="dxa"/>
            <w:shd w:val="clear" w:color="auto" w:fill="FFFFFF" w:themeFill="background1"/>
          </w:tcPr>
          <w:p w14:paraId="0508090E" w14:textId="65728EBC" w:rsidR="005D13EE" w:rsidRPr="009E58E9" w:rsidRDefault="005D13EE" w:rsidP="002327CC">
            <w:pPr>
              <w:spacing w:after="0" w:line="240" w:lineRule="auto"/>
              <w:ind w:hanging="803"/>
              <w:rPr>
                <w:rFonts w:eastAsia="Times New Roman" w:cs="Times New Roman"/>
                <w:kern w:val="0"/>
                <w14:ligatures w14:val="none"/>
              </w:rPr>
            </w:pPr>
          </w:p>
        </w:tc>
        <w:tc>
          <w:tcPr>
            <w:tcW w:w="359" w:type="dxa"/>
            <w:gridSpan w:val="2"/>
          </w:tcPr>
          <w:p w14:paraId="6E35291E" w14:textId="090AF93B" w:rsidR="005D13EE" w:rsidRPr="009E58E9" w:rsidRDefault="005D13EE" w:rsidP="002327CC">
            <w:pPr>
              <w:spacing w:after="0" w:line="240" w:lineRule="auto"/>
              <w:ind w:hanging="803"/>
              <w:rPr>
                <w:rFonts w:eastAsia="Times New Roman" w:cs="Times New Roman"/>
                <w:kern w:val="0"/>
                <w14:ligatures w14:val="none"/>
              </w:rPr>
            </w:pPr>
          </w:p>
        </w:tc>
      </w:tr>
    </w:tbl>
    <w:p w14:paraId="5AF74E8E" w14:textId="77777777" w:rsidR="00C22379" w:rsidRDefault="00C22379" w:rsidP="006748A6">
      <w:pPr>
        <w:spacing w:before="100" w:beforeAutospacing="1" w:after="100" w:afterAutospacing="1" w:line="240" w:lineRule="auto"/>
        <w:outlineLvl w:val="1"/>
        <w:rPr>
          <w:rFonts w:eastAsia="Times New Roman" w:cs="Times New Roman"/>
          <w:b/>
          <w:bCs/>
          <w:kern w:val="0"/>
          <w:sz w:val="36"/>
          <w:szCs w:val="36"/>
          <w14:ligatures w14:val="none"/>
        </w:rPr>
      </w:pPr>
    </w:p>
    <w:p w14:paraId="3252FC76" w14:textId="65326FC9" w:rsidR="006748A6" w:rsidRPr="008A0316" w:rsidRDefault="006748A6" w:rsidP="008A0316">
      <w:pPr>
        <w:pStyle w:val="Heading2"/>
      </w:pPr>
      <w:r w:rsidRPr="008A0316">
        <w:t>Budget</w:t>
      </w:r>
    </w:p>
    <w:p w14:paraId="34ABFADB" w14:textId="1344C5A2" w:rsidR="006748A6" w:rsidRDefault="006748A6" w:rsidP="006748A6">
      <w:pPr>
        <w:spacing w:before="100" w:beforeAutospacing="1" w:after="100" w:afterAutospacing="1" w:line="240" w:lineRule="auto"/>
        <w:rPr>
          <w:rFonts w:eastAsia="Times New Roman" w:cs="Times New Roman"/>
          <w:kern w:val="0"/>
          <w14:ligatures w14:val="none"/>
        </w:rPr>
      </w:pPr>
      <w:r w:rsidRPr="006748A6">
        <w:rPr>
          <w:rFonts w:eastAsia="Times New Roman" w:cs="Times New Roman"/>
          <w:kern w:val="0"/>
          <w14:ligatures w14:val="none"/>
        </w:rPr>
        <w:t xml:space="preserve">A total of </w:t>
      </w:r>
      <w:r w:rsidRPr="006748A6">
        <w:rPr>
          <w:rFonts w:eastAsia="Times New Roman" w:cs="Times New Roman"/>
          <w:b/>
          <w:bCs/>
          <w:kern w:val="0"/>
          <w14:ligatures w14:val="none"/>
        </w:rPr>
        <w:t>$</w:t>
      </w:r>
      <w:r w:rsidR="00E5232D">
        <w:rPr>
          <w:rFonts w:eastAsia="Times New Roman" w:cs="Times New Roman"/>
          <w:b/>
          <w:bCs/>
          <w:kern w:val="0"/>
          <w14:ligatures w14:val="none"/>
        </w:rPr>
        <w:t>12</w:t>
      </w:r>
      <w:r w:rsidRPr="006748A6">
        <w:rPr>
          <w:rFonts w:eastAsia="Times New Roman" w:cs="Times New Roman"/>
          <w:b/>
          <w:bCs/>
          <w:kern w:val="0"/>
          <w14:ligatures w14:val="none"/>
        </w:rPr>
        <w:t>0,000</w:t>
      </w:r>
      <w:r w:rsidRPr="006748A6">
        <w:rPr>
          <w:rFonts w:eastAsia="Times New Roman" w:cs="Times New Roman"/>
          <w:kern w:val="0"/>
          <w14:ligatures w14:val="none"/>
        </w:rPr>
        <w:t xml:space="preserve"> will be allocated to support:</w:t>
      </w:r>
    </w:p>
    <w:tbl>
      <w:tblPr>
        <w:tblW w:w="10260" w:type="dxa"/>
        <w:tblLook w:val="04A0" w:firstRow="1" w:lastRow="0" w:firstColumn="1" w:lastColumn="0" w:noHBand="0" w:noVBand="1"/>
      </w:tblPr>
      <w:tblGrid>
        <w:gridCol w:w="7513"/>
        <w:gridCol w:w="2747"/>
      </w:tblGrid>
      <w:tr w:rsidR="00FC0272" w:rsidRPr="00516EB4" w14:paraId="18419CED" w14:textId="77777777" w:rsidTr="000B3B81">
        <w:trPr>
          <w:trHeight w:val="340"/>
        </w:trPr>
        <w:tc>
          <w:tcPr>
            <w:tcW w:w="7513" w:type="dxa"/>
            <w:tcBorders>
              <w:top w:val="nil"/>
              <w:left w:val="nil"/>
              <w:bottom w:val="nil"/>
              <w:right w:val="nil"/>
            </w:tcBorders>
            <w:shd w:val="clear" w:color="auto" w:fill="FFC000"/>
            <w:vAlign w:val="center"/>
          </w:tcPr>
          <w:p w14:paraId="07005069" w14:textId="23AF4F7A" w:rsidR="00FC0272" w:rsidRPr="00516EB4" w:rsidRDefault="00FC0272" w:rsidP="00516EB4">
            <w:pPr>
              <w:spacing w:after="0" w:line="240" w:lineRule="auto"/>
              <w:ind w:firstLineChars="100" w:firstLine="241"/>
              <w:rPr>
                <w:rFonts w:ascii="Aptos" w:eastAsia="Times New Roman" w:hAnsi="Aptos" w:cs="Times New Roman"/>
                <w:b/>
                <w:bCs/>
                <w:color w:val="000000"/>
                <w:kern w:val="0"/>
                <w14:ligatures w14:val="none"/>
              </w:rPr>
            </w:pPr>
            <w:bookmarkStart w:id="0" w:name="OLE_LINK3"/>
            <w:bookmarkStart w:id="1" w:name="_Hlk193466677"/>
            <w:r>
              <w:rPr>
                <w:rFonts w:ascii="Aptos" w:eastAsia="Times New Roman" w:hAnsi="Aptos" w:cs="Times New Roman"/>
                <w:b/>
                <w:bCs/>
                <w:color w:val="000000"/>
                <w:kern w:val="0"/>
                <w14:ligatures w14:val="none"/>
              </w:rPr>
              <w:t>Budget Item</w:t>
            </w:r>
          </w:p>
        </w:tc>
        <w:tc>
          <w:tcPr>
            <w:tcW w:w="2747" w:type="dxa"/>
            <w:tcBorders>
              <w:top w:val="nil"/>
              <w:left w:val="nil"/>
              <w:bottom w:val="nil"/>
              <w:right w:val="nil"/>
            </w:tcBorders>
            <w:shd w:val="clear" w:color="auto" w:fill="FFC000"/>
          </w:tcPr>
          <w:p w14:paraId="3219864A" w14:textId="06BF22EF" w:rsidR="00FC0272" w:rsidRDefault="00FC0272" w:rsidP="00516EB4">
            <w:pPr>
              <w:spacing w:after="0" w:line="240" w:lineRule="auto"/>
              <w:ind w:firstLineChars="100" w:firstLine="241"/>
              <w:rPr>
                <w:rFonts w:ascii="Aptos" w:eastAsia="Times New Roman" w:hAnsi="Aptos" w:cs="Times New Roman"/>
                <w:b/>
                <w:bCs/>
                <w:color w:val="000000"/>
                <w:kern w:val="0"/>
                <w14:ligatures w14:val="none"/>
              </w:rPr>
            </w:pPr>
            <w:proofErr w:type="gramStart"/>
            <w:r>
              <w:rPr>
                <w:rFonts w:ascii="Aptos" w:eastAsia="Times New Roman" w:hAnsi="Aptos" w:cs="Times New Roman"/>
                <w:b/>
                <w:bCs/>
                <w:color w:val="000000"/>
                <w:kern w:val="0"/>
                <w14:ligatures w14:val="none"/>
              </w:rPr>
              <w:t>Cost  USD</w:t>
            </w:r>
            <w:proofErr w:type="gramEnd"/>
          </w:p>
        </w:tc>
      </w:tr>
      <w:bookmarkEnd w:id="1"/>
      <w:tr w:rsidR="00643F6D" w:rsidRPr="00516EB4" w14:paraId="7870B1E8" w14:textId="77777777" w:rsidTr="000B3B81">
        <w:trPr>
          <w:trHeight w:val="340"/>
        </w:trPr>
        <w:tc>
          <w:tcPr>
            <w:tcW w:w="7513" w:type="dxa"/>
            <w:tcBorders>
              <w:top w:val="nil"/>
              <w:left w:val="nil"/>
              <w:bottom w:val="nil"/>
              <w:right w:val="nil"/>
            </w:tcBorders>
            <w:vAlign w:val="center"/>
          </w:tcPr>
          <w:p w14:paraId="16FAC969" w14:textId="2E0D6DF4" w:rsidR="00643F6D" w:rsidRPr="000B280A" w:rsidRDefault="00643F6D" w:rsidP="000B280A">
            <w:pPr>
              <w:pStyle w:val="ListParagraph"/>
              <w:numPr>
                <w:ilvl w:val="0"/>
                <w:numId w:val="9"/>
              </w:numPr>
              <w:spacing w:after="0" w:line="240" w:lineRule="auto"/>
              <w:rPr>
                <w:rFonts w:ascii="Aptos" w:eastAsia="Times New Roman" w:hAnsi="Aptos" w:cs="Times New Roman"/>
                <w:color w:val="000000"/>
                <w:kern w:val="0"/>
                <w14:ligatures w14:val="none"/>
              </w:rPr>
            </w:pPr>
            <w:r w:rsidRPr="000B280A">
              <w:rPr>
                <w:rFonts w:ascii="Aptos" w:eastAsia="Times New Roman" w:hAnsi="Aptos" w:cs="Times New Roman"/>
                <w:color w:val="000000"/>
                <w:kern w:val="0"/>
                <w14:ligatures w14:val="none"/>
              </w:rPr>
              <w:t>S</w:t>
            </w:r>
            <w:r w:rsidRPr="000B280A">
              <w:rPr>
                <w:rFonts w:cstheme="minorHAnsi"/>
                <w:color w:val="000000"/>
                <w:sz w:val="22"/>
                <w:szCs w:val="22"/>
                <w:lang w:val="en-CA"/>
              </w:rPr>
              <w:t>kill-matching cash for work opportunities</w:t>
            </w:r>
            <w:r w:rsidRPr="000B280A">
              <w:rPr>
                <w:rFonts w:ascii="Aptos" w:eastAsia="Times New Roman" w:hAnsi="Aptos" w:cs="Times New Roman"/>
                <w:color w:val="000000"/>
                <w:kern w:val="0"/>
                <w14:ligatures w14:val="none"/>
              </w:rPr>
              <w:t xml:space="preserve"> for </w:t>
            </w:r>
            <w:r w:rsidR="000B280A" w:rsidRPr="000B280A">
              <w:rPr>
                <w:rFonts w:ascii="Aptos" w:eastAsia="Times New Roman" w:hAnsi="Aptos" w:cs="Times New Roman"/>
                <w:color w:val="000000"/>
                <w:kern w:val="0"/>
                <w14:ligatures w14:val="none"/>
              </w:rPr>
              <w:t>50</w:t>
            </w:r>
            <w:r w:rsidR="00C22379" w:rsidRPr="000B280A">
              <w:rPr>
                <w:rFonts w:ascii="Aptos" w:eastAsia="Times New Roman" w:hAnsi="Aptos" w:cs="Times New Roman"/>
                <w:color w:val="000000"/>
                <w:kern w:val="0"/>
                <w14:ligatures w14:val="none"/>
              </w:rPr>
              <w:t xml:space="preserve"> </w:t>
            </w:r>
            <w:r w:rsidRPr="000B280A">
              <w:rPr>
                <w:rFonts w:ascii="Aptos" w:eastAsia="Times New Roman" w:hAnsi="Aptos" w:cs="Times New Roman"/>
                <w:color w:val="000000"/>
                <w:kern w:val="0"/>
                <w14:ligatures w14:val="none"/>
              </w:rPr>
              <w:t>women for 3 months (</w:t>
            </w:r>
            <w:r w:rsidR="000B280A" w:rsidRPr="000B280A">
              <w:rPr>
                <w:rFonts w:ascii="Aptos" w:eastAsia="Times New Roman" w:hAnsi="Aptos" w:cs="Times New Roman"/>
                <w:color w:val="000000"/>
                <w:kern w:val="0"/>
                <w14:ligatures w14:val="none"/>
              </w:rPr>
              <w:t>650</w:t>
            </w:r>
            <w:r w:rsidRPr="000B280A">
              <w:rPr>
                <w:rFonts w:ascii="Aptos" w:eastAsia="Times New Roman" w:hAnsi="Aptos" w:cs="Times New Roman"/>
                <w:color w:val="000000"/>
                <w:kern w:val="0"/>
                <w14:ligatures w14:val="none"/>
              </w:rPr>
              <w:t xml:space="preserve">$ per month)  </w:t>
            </w:r>
          </w:p>
          <w:p w14:paraId="66A25F4F" w14:textId="4097519D" w:rsidR="000B280A" w:rsidRPr="000B280A" w:rsidRDefault="000B280A" w:rsidP="000B280A">
            <w:pPr>
              <w:pStyle w:val="ListParagraph"/>
              <w:numPr>
                <w:ilvl w:val="0"/>
                <w:numId w:val="9"/>
              </w:numPr>
              <w:spacing w:after="0" w:line="240" w:lineRule="auto"/>
              <w:rPr>
                <w:rFonts w:ascii="Aptos" w:eastAsia="Times New Roman" w:hAnsi="Aptos" w:cs="Times New Roman"/>
                <w:color w:val="000000"/>
                <w:kern w:val="0"/>
                <w14:ligatures w14:val="none"/>
              </w:rPr>
            </w:pPr>
            <w:r>
              <w:rPr>
                <w:rFonts w:eastAsia="Times New Roman" w:cs="Times New Roman"/>
                <w:kern w:val="0"/>
                <w14:ligatures w14:val="none"/>
              </w:rPr>
              <w:t>Wellbeing and MHPSS interventions for targeted women</w:t>
            </w:r>
            <w:r>
              <w:rPr>
                <w:rFonts w:eastAsia="Times New Roman" w:cs="Times New Roman"/>
                <w:kern w:val="0"/>
                <w14:ligatures w14:val="none"/>
              </w:rPr>
              <w:t xml:space="preserve"> (group and individual sessions on regular basis)</w:t>
            </w:r>
          </w:p>
        </w:tc>
        <w:tc>
          <w:tcPr>
            <w:tcW w:w="2747" w:type="dxa"/>
            <w:tcBorders>
              <w:top w:val="nil"/>
              <w:left w:val="nil"/>
              <w:bottom w:val="nil"/>
              <w:right w:val="nil"/>
            </w:tcBorders>
          </w:tcPr>
          <w:p w14:paraId="703C5814" w14:textId="1B5821BC" w:rsidR="00D175FC" w:rsidRDefault="00A71059" w:rsidP="000B3B81">
            <w:pPr>
              <w:spacing w:after="0" w:line="240" w:lineRule="auto"/>
              <w:ind w:firstLineChars="100" w:firstLine="240"/>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97,5</w:t>
            </w:r>
            <w:r w:rsidR="00643F6D">
              <w:rPr>
                <w:rFonts w:ascii="Aptos" w:eastAsia="Times New Roman" w:hAnsi="Aptos" w:cs="Times New Roman"/>
                <w:color w:val="000000"/>
                <w:kern w:val="0"/>
                <w14:ligatures w14:val="none"/>
              </w:rPr>
              <w:t>00</w:t>
            </w:r>
            <w:r>
              <w:rPr>
                <w:rFonts w:ascii="Aptos" w:eastAsia="Times New Roman" w:hAnsi="Aptos" w:cs="Times New Roman"/>
                <w:color w:val="000000"/>
                <w:kern w:val="0"/>
                <w14:ligatures w14:val="none"/>
              </w:rPr>
              <w:t xml:space="preserve"> USD</w:t>
            </w:r>
            <w:r w:rsidR="000B3B81">
              <w:rPr>
                <w:rFonts w:ascii="Aptos" w:eastAsia="Times New Roman" w:hAnsi="Aptos" w:cs="Times New Roman"/>
                <w:color w:val="000000"/>
                <w:kern w:val="0"/>
                <w14:ligatures w14:val="none"/>
              </w:rPr>
              <w:t xml:space="preserve"> (81%)</w:t>
            </w:r>
          </w:p>
          <w:p w14:paraId="6DB04E20" w14:textId="77777777" w:rsidR="00A71059" w:rsidRDefault="00A71059" w:rsidP="00643F6D">
            <w:pPr>
              <w:spacing w:after="0" w:line="240" w:lineRule="auto"/>
              <w:ind w:firstLineChars="100" w:firstLine="240"/>
              <w:rPr>
                <w:rFonts w:ascii="Aptos" w:eastAsia="Times New Roman" w:hAnsi="Aptos" w:cs="Times New Roman"/>
                <w:color w:val="000000"/>
                <w:kern w:val="0"/>
                <w14:ligatures w14:val="none"/>
              </w:rPr>
            </w:pPr>
          </w:p>
          <w:p w14:paraId="7E2F522E" w14:textId="3903EE0D" w:rsidR="00A71059" w:rsidRDefault="00A71059" w:rsidP="00643F6D">
            <w:pPr>
              <w:spacing w:after="0" w:line="240" w:lineRule="auto"/>
              <w:ind w:firstLineChars="100" w:firstLine="240"/>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10,500 USD</w:t>
            </w:r>
            <w:r w:rsidR="000B3B81">
              <w:rPr>
                <w:rFonts w:ascii="Aptos" w:eastAsia="Times New Roman" w:hAnsi="Aptos" w:cs="Times New Roman"/>
                <w:color w:val="000000"/>
                <w:kern w:val="0"/>
                <w14:ligatures w14:val="none"/>
              </w:rPr>
              <w:t xml:space="preserve"> (9%)</w:t>
            </w:r>
          </w:p>
        </w:tc>
      </w:tr>
      <w:tr w:rsidR="00643F6D" w:rsidRPr="00516EB4" w14:paraId="2A3D3211" w14:textId="55AF5D14" w:rsidTr="000B3B81">
        <w:trPr>
          <w:trHeight w:val="340"/>
        </w:trPr>
        <w:tc>
          <w:tcPr>
            <w:tcW w:w="7513" w:type="dxa"/>
            <w:tcBorders>
              <w:top w:val="nil"/>
              <w:left w:val="nil"/>
              <w:bottom w:val="nil"/>
              <w:right w:val="nil"/>
            </w:tcBorders>
            <w:vAlign w:val="center"/>
            <w:hideMark/>
          </w:tcPr>
          <w:p w14:paraId="175B7250" w14:textId="7C7698AF" w:rsidR="00643F6D" w:rsidRPr="00516EB4" w:rsidRDefault="00643F6D" w:rsidP="00643F6D">
            <w:pPr>
              <w:spacing w:after="0" w:line="240" w:lineRule="auto"/>
              <w:ind w:firstLineChars="100" w:firstLine="240"/>
              <w:rPr>
                <w:rFonts w:ascii="Aptos" w:eastAsia="Times New Roman" w:hAnsi="Aptos" w:cs="Times New Roman"/>
                <w:color w:val="000000"/>
                <w:kern w:val="0"/>
                <w14:ligatures w14:val="none"/>
              </w:rPr>
            </w:pPr>
            <w:bookmarkStart w:id="2" w:name="_Hlk193466607"/>
            <w:r>
              <w:rPr>
                <w:rFonts w:ascii="Aptos" w:eastAsia="Times New Roman" w:hAnsi="Aptos" w:cs="Times New Roman"/>
                <w:color w:val="000000"/>
                <w:kern w:val="0"/>
                <w14:ligatures w14:val="none"/>
              </w:rPr>
              <w:t>3</w:t>
            </w:r>
            <w:r w:rsidRPr="00516EB4">
              <w:rPr>
                <w:rFonts w:ascii="Aptos" w:eastAsia="Times New Roman" w:hAnsi="Aptos" w:cs="Times New Roman"/>
                <w:color w:val="000000"/>
                <w:kern w:val="0"/>
                <w14:ligatures w14:val="none"/>
              </w:rPr>
              <w:t xml:space="preserve">. </w:t>
            </w:r>
            <w:r w:rsidR="006E1614" w:rsidRPr="00516EB4">
              <w:rPr>
                <w:rFonts w:ascii="Aptos" w:eastAsia="Times New Roman" w:hAnsi="Aptos" w:cs="Times New Roman"/>
                <w:color w:val="000000"/>
                <w:kern w:val="0"/>
                <w14:ligatures w14:val="none"/>
              </w:rPr>
              <w:t>Operational</w:t>
            </w:r>
            <w:r w:rsidRPr="00516EB4">
              <w:rPr>
                <w:rFonts w:ascii="Aptos" w:eastAsia="Times New Roman" w:hAnsi="Aptos" w:cs="Times New Roman"/>
                <w:color w:val="000000"/>
                <w:kern w:val="0"/>
                <w14:ligatures w14:val="none"/>
              </w:rPr>
              <w:t xml:space="preserve"> cost </w:t>
            </w:r>
            <w:r>
              <w:rPr>
                <w:rFonts w:ascii="Aptos" w:eastAsia="Times New Roman" w:hAnsi="Aptos" w:cs="Times New Roman"/>
                <w:color w:val="000000"/>
                <w:kern w:val="0"/>
                <w14:ligatures w14:val="none"/>
              </w:rPr>
              <w:t>(</w:t>
            </w:r>
            <w:r w:rsidRPr="00516EB4">
              <w:rPr>
                <w:rFonts w:ascii="Aptos" w:eastAsia="Times New Roman" w:hAnsi="Aptos" w:cs="Times New Roman"/>
                <w:color w:val="000000"/>
                <w:kern w:val="0"/>
                <w14:ligatures w14:val="none"/>
              </w:rPr>
              <w:t>staff</w:t>
            </w:r>
            <w:r>
              <w:rPr>
                <w:rFonts w:ascii="Aptos" w:eastAsia="Times New Roman" w:hAnsi="Aptos" w:cs="Times New Roman"/>
                <w:color w:val="000000"/>
                <w:kern w:val="0"/>
                <w14:ligatures w14:val="none"/>
              </w:rPr>
              <w:t xml:space="preserve">, </w:t>
            </w:r>
            <w:r w:rsidRPr="00516EB4">
              <w:rPr>
                <w:rFonts w:ascii="Aptos" w:eastAsia="Times New Roman" w:hAnsi="Aptos" w:cs="Times New Roman"/>
                <w:color w:val="000000"/>
                <w:kern w:val="0"/>
                <w14:ligatures w14:val="none"/>
              </w:rPr>
              <w:t>su</w:t>
            </w:r>
            <w:r>
              <w:rPr>
                <w:rFonts w:ascii="Aptos" w:eastAsia="Times New Roman" w:hAnsi="Aptos" w:cs="Times New Roman"/>
                <w:color w:val="000000"/>
                <w:kern w:val="0"/>
                <w14:ligatures w14:val="none"/>
              </w:rPr>
              <w:t>p</w:t>
            </w:r>
            <w:r w:rsidRPr="00516EB4">
              <w:rPr>
                <w:rFonts w:ascii="Aptos" w:eastAsia="Times New Roman" w:hAnsi="Aptos" w:cs="Times New Roman"/>
                <w:color w:val="000000"/>
                <w:kern w:val="0"/>
                <w14:ligatures w14:val="none"/>
              </w:rPr>
              <w:t>plies</w:t>
            </w:r>
            <w:r>
              <w:rPr>
                <w:rFonts w:ascii="Aptos" w:eastAsia="Times New Roman" w:hAnsi="Aptos" w:cs="Times New Roman"/>
                <w:color w:val="000000"/>
                <w:kern w:val="0"/>
                <w14:ligatures w14:val="none"/>
              </w:rPr>
              <w:t xml:space="preserve">, </w:t>
            </w:r>
            <w:r w:rsidR="00A83B5F">
              <w:rPr>
                <w:rFonts w:ascii="Aptos" w:eastAsia="Times New Roman" w:hAnsi="Aptos" w:cs="Times New Roman"/>
                <w:color w:val="000000"/>
                <w:kern w:val="0"/>
                <w14:ligatures w14:val="none"/>
              </w:rPr>
              <w:t>transportation, communication</w:t>
            </w:r>
            <w:r>
              <w:rPr>
                <w:rFonts w:ascii="Aptos" w:eastAsia="Times New Roman" w:hAnsi="Aptos" w:cs="Times New Roman"/>
                <w:color w:val="000000"/>
                <w:kern w:val="0"/>
                <w14:ligatures w14:val="none"/>
              </w:rPr>
              <w:t xml:space="preserve"> etc</w:t>
            </w:r>
            <w:r w:rsidR="006E1614">
              <w:rPr>
                <w:rFonts w:ascii="Aptos" w:eastAsia="Times New Roman" w:hAnsi="Aptos" w:cs="Times New Roman"/>
                <w:color w:val="000000"/>
                <w:kern w:val="0"/>
                <w14:ligatures w14:val="none"/>
              </w:rPr>
              <w:t>.</w:t>
            </w:r>
            <w:r w:rsidR="003C0744">
              <w:rPr>
                <w:rFonts w:ascii="Aptos" w:eastAsia="Times New Roman" w:hAnsi="Aptos" w:cs="Times New Roman"/>
                <w:color w:val="000000"/>
                <w:kern w:val="0"/>
                <w14:ligatures w14:val="none"/>
              </w:rPr>
              <w:t xml:space="preserve"> for six months</w:t>
            </w:r>
            <w:r>
              <w:rPr>
                <w:rFonts w:ascii="Aptos" w:eastAsia="Times New Roman" w:hAnsi="Aptos" w:cs="Times New Roman"/>
                <w:color w:val="000000"/>
                <w:kern w:val="0"/>
                <w14:ligatures w14:val="none"/>
              </w:rPr>
              <w:t>)</w:t>
            </w:r>
          </w:p>
        </w:tc>
        <w:tc>
          <w:tcPr>
            <w:tcW w:w="2747" w:type="dxa"/>
            <w:tcBorders>
              <w:top w:val="nil"/>
              <w:left w:val="nil"/>
              <w:bottom w:val="nil"/>
              <w:right w:val="nil"/>
            </w:tcBorders>
          </w:tcPr>
          <w:p w14:paraId="4392A840" w14:textId="35D2E360" w:rsidR="00643F6D" w:rsidRPr="00FC0272" w:rsidRDefault="00381853" w:rsidP="00643F6D">
            <w:pPr>
              <w:spacing w:after="0" w:line="240" w:lineRule="auto"/>
              <w:ind w:firstLineChars="100" w:firstLine="240"/>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12,0</w:t>
            </w:r>
            <w:r w:rsidR="00C22379">
              <w:rPr>
                <w:rFonts w:ascii="Aptos" w:eastAsia="Times New Roman" w:hAnsi="Aptos" w:cs="Times New Roman"/>
                <w:color w:val="000000"/>
                <w:kern w:val="0"/>
                <w14:ligatures w14:val="none"/>
              </w:rPr>
              <w:t>0</w:t>
            </w:r>
            <w:r w:rsidR="00643F6D">
              <w:rPr>
                <w:rFonts w:ascii="Aptos" w:eastAsia="Times New Roman" w:hAnsi="Aptos" w:cs="Times New Roman"/>
                <w:color w:val="000000"/>
                <w:kern w:val="0"/>
                <w14:ligatures w14:val="none"/>
              </w:rPr>
              <w:t xml:space="preserve">0 </w:t>
            </w:r>
            <w:r w:rsidR="00643F6D" w:rsidRPr="00FC0272">
              <w:rPr>
                <w:rFonts w:ascii="Aptos" w:eastAsia="Times New Roman" w:hAnsi="Aptos" w:cs="Times New Roman"/>
                <w:color w:val="000000"/>
                <w:kern w:val="0"/>
                <w14:ligatures w14:val="none"/>
              </w:rPr>
              <w:t>USD</w:t>
            </w:r>
            <w:r w:rsidR="000B3B81">
              <w:rPr>
                <w:rFonts w:ascii="Aptos" w:eastAsia="Times New Roman" w:hAnsi="Aptos" w:cs="Times New Roman"/>
                <w:color w:val="000000"/>
                <w:kern w:val="0"/>
                <w14:ligatures w14:val="none"/>
              </w:rPr>
              <w:t xml:space="preserve"> (10%)</w:t>
            </w:r>
          </w:p>
        </w:tc>
      </w:tr>
      <w:bookmarkEnd w:id="2"/>
      <w:tr w:rsidR="00643F6D" w:rsidRPr="00516EB4" w14:paraId="01A70667" w14:textId="77777777" w:rsidTr="000B3B81">
        <w:trPr>
          <w:trHeight w:val="340"/>
        </w:trPr>
        <w:tc>
          <w:tcPr>
            <w:tcW w:w="7513" w:type="dxa"/>
            <w:tcBorders>
              <w:top w:val="nil"/>
              <w:left w:val="nil"/>
              <w:bottom w:val="nil"/>
              <w:right w:val="nil"/>
            </w:tcBorders>
            <w:shd w:val="clear" w:color="auto" w:fill="D9D9D9" w:themeFill="background1" w:themeFillShade="D9"/>
            <w:vAlign w:val="center"/>
          </w:tcPr>
          <w:p w14:paraId="04E56F06" w14:textId="1E11076F" w:rsidR="00643F6D" w:rsidRPr="00516EB4" w:rsidRDefault="00643F6D" w:rsidP="00643F6D">
            <w:pPr>
              <w:spacing w:after="0" w:line="240" w:lineRule="auto"/>
              <w:ind w:firstLineChars="100" w:firstLine="241"/>
              <w:rPr>
                <w:rFonts w:ascii="Aptos" w:eastAsia="Times New Roman" w:hAnsi="Aptos" w:cs="Times New Roman"/>
                <w:b/>
                <w:bCs/>
                <w:color w:val="000000"/>
                <w:kern w:val="0"/>
                <w14:ligatures w14:val="none"/>
              </w:rPr>
            </w:pPr>
            <w:r>
              <w:rPr>
                <w:rFonts w:ascii="Aptos" w:eastAsia="Times New Roman" w:hAnsi="Aptos" w:cs="Times New Roman"/>
                <w:b/>
                <w:bCs/>
                <w:color w:val="000000"/>
                <w:kern w:val="0"/>
                <w14:ligatures w14:val="none"/>
              </w:rPr>
              <w:t>Total</w:t>
            </w:r>
          </w:p>
        </w:tc>
        <w:tc>
          <w:tcPr>
            <w:tcW w:w="2747" w:type="dxa"/>
            <w:tcBorders>
              <w:top w:val="nil"/>
              <w:left w:val="nil"/>
              <w:bottom w:val="nil"/>
              <w:right w:val="nil"/>
            </w:tcBorders>
            <w:shd w:val="clear" w:color="auto" w:fill="D9D9D9" w:themeFill="background1" w:themeFillShade="D9"/>
          </w:tcPr>
          <w:p w14:paraId="70E0F86B" w14:textId="72F1AB3A" w:rsidR="00643F6D" w:rsidRDefault="00150C43" w:rsidP="00643F6D">
            <w:pPr>
              <w:spacing w:after="0" w:line="240" w:lineRule="auto"/>
              <w:ind w:firstLineChars="100" w:firstLine="241"/>
              <w:rPr>
                <w:rFonts w:ascii="Aptos" w:eastAsia="Times New Roman" w:hAnsi="Aptos" w:cs="Times New Roman"/>
                <w:b/>
                <w:bCs/>
                <w:color w:val="000000"/>
                <w:kern w:val="0"/>
                <w14:ligatures w14:val="none"/>
              </w:rPr>
            </w:pPr>
            <w:r>
              <w:rPr>
                <w:rFonts w:ascii="Aptos" w:eastAsia="Times New Roman" w:hAnsi="Aptos" w:cs="Times New Roman"/>
                <w:b/>
                <w:bCs/>
                <w:color w:val="000000"/>
                <w:kern w:val="0"/>
                <w14:ligatures w14:val="none"/>
              </w:rPr>
              <w:t>120</w:t>
            </w:r>
            <w:r w:rsidR="00643F6D">
              <w:rPr>
                <w:rFonts w:ascii="Aptos" w:eastAsia="Times New Roman" w:hAnsi="Aptos" w:cs="Times New Roman"/>
                <w:b/>
                <w:bCs/>
                <w:color w:val="000000"/>
                <w:kern w:val="0"/>
                <w14:ligatures w14:val="none"/>
              </w:rPr>
              <w:t>,000 USD</w:t>
            </w:r>
          </w:p>
        </w:tc>
      </w:tr>
      <w:bookmarkEnd w:id="0"/>
    </w:tbl>
    <w:p w14:paraId="506ACD43" w14:textId="77777777" w:rsidR="00516EB4" w:rsidRPr="006748A6" w:rsidRDefault="00516EB4" w:rsidP="006748A6">
      <w:pPr>
        <w:spacing w:before="100" w:beforeAutospacing="1" w:after="100" w:afterAutospacing="1" w:line="240" w:lineRule="auto"/>
        <w:rPr>
          <w:rFonts w:eastAsia="Times New Roman" w:cs="Times New Roman"/>
          <w:kern w:val="0"/>
          <w14:ligatures w14:val="none"/>
        </w:rPr>
      </w:pPr>
    </w:p>
    <w:p w14:paraId="5783CB2A" w14:textId="4FFD498A" w:rsidR="006748A6" w:rsidRPr="006748A6" w:rsidRDefault="006748A6" w:rsidP="006748A6">
      <w:pPr>
        <w:spacing w:before="100" w:beforeAutospacing="1" w:after="100" w:afterAutospacing="1" w:line="240" w:lineRule="auto"/>
        <w:outlineLvl w:val="1"/>
        <w:rPr>
          <w:rFonts w:eastAsia="Times New Roman" w:cs="Times New Roman"/>
          <w:b/>
          <w:bCs/>
          <w:kern w:val="0"/>
          <w:sz w:val="36"/>
          <w:szCs w:val="36"/>
          <w14:ligatures w14:val="none"/>
        </w:rPr>
      </w:pPr>
    </w:p>
    <w:sectPr w:rsidR="006748A6" w:rsidRPr="006748A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mbria"/>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119CF"/>
    <w:multiLevelType w:val="multilevel"/>
    <w:tmpl w:val="B6D23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9D7CF8"/>
    <w:multiLevelType w:val="multilevel"/>
    <w:tmpl w:val="29E6B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E63EB4"/>
    <w:multiLevelType w:val="multilevel"/>
    <w:tmpl w:val="A5B22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585C47"/>
    <w:multiLevelType w:val="multilevel"/>
    <w:tmpl w:val="D464A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DE6137"/>
    <w:multiLevelType w:val="multilevel"/>
    <w:tmpl w:val="6B702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4A439D"/>
    <w:multiLevelType w:val="hybridMultilevel"/>
    <w:tmpl w:val="0366E22C"/>
    <w:lvl w:ilvl="0" w:tplc="7098F27C">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6" w15:restartNumberingAfterBreak="0">
    <w:nsid w:val="61FA756B"/>
    <w:multiLevelType w:val="multilevel"/>
    <w:tmpl w:val="BE3EBF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2678FC"/>
    <w:multiLevelType w:val="multilevel"/>
    <w:tmpl w:val="7B1ED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9243C6"/>
    <w:multiLevelType w:val="multilevel"/>
    <w:tmpl w:val="64F0C1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71255980">
    <w:abstractNumId w:val="0"/>
  </w:num>
  <w:num w:numId="2" w16cid:durableId="378630850">
    <w:abstractNumId w:val="8"/>
  </w:num>
  <w:num w:numId="3" w16cid:durableId="401875553">
    <w:abstractNumId w:val="1"/>
  </w:num>
  <w:num w:numId="4" w16cid:durableId="351028474">
    <w:abstractNumId w:val="3"/>
  </w:num>
  <w:num w:numId="5" w16cid:durableId="80030863">
    <w:abstractNumId w:val="2"/>
  </w:num>
  <w:num w:numId="6" w16cid:durableId="532183764">
    <w:abstractNumId w:val="6"/>
  </w:num>
  <w:num w:numId="7" w16cid:durableId="447089907">
    <w:abstractNumId w:val="7"/>
  </w:num>
  <w:num w:numId="8" w16cid:durableId="1215312004">
    <w:abstractNumId w:val="4"/>
  </w:num>
  <w:num w:numId="9" w16cid:durableId="1671854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8A6"/>
    <w:rsid w:val="00022CCA"/>
    <w:rsid w:val="000824D6"/>
    <w:rsid w:val="000B280A"/>
    <w:rsid w:val="000B3B81"/>
    <w:rsid w:val="000C7A3F"/>
    <w:rsid w:val="00121317"/>
    <w:rsid w:val="0013310D"/>
    <w:rsid w:val="00150C43"/>
    <w:rsid w:val="001560CA"/>
    <w:rsid w:val="00180957"/>
    <w:rsid w:val="00183032"/>
    <w:rsid w:val="001A626A"/>
    <w:rsid w:val="00215EC5"/>
    <w:rsid w:val="002327CC"/>
    <w:rsid w:val="00235595"/>
    <w:rsid w:val="002422EE"/>
    <w:rsid w:val="00252F7F"/>
    <w:rsid w:val="0026600D"/>
    <w:rsid w:val="002A585C"/>
    <w:rsid w:val="002F6B10"/>
    <w:rsid w:val="00326C17"/>
    <w:rsid w:val="00381853"/>
    <w:rsid w:val="0038549D"/>
    <w:rsid w:val="00394947"/>
    <w:rsid w:val="003A2D73"/>
    <w:rsid w:val="003C0744"/>
    <w:rsid w:val="003C6459"/>
    <w:rsid w:val="003F3C1C"/>
    <w:rsid w:val="00433324"/>
    <w:rsid w:val="00455331"/>
    <w:rsid w:val="0048061F"/>
    <w:rsid w:val="00482EBA"/>
    <w:rsid w:val="004B5482"/>
    <w:rsid w:val="004D1398"/>
    <w:rsid w:val="00516EB4"/>
    <w:rsid w:val="005526A0"/>
    <w:rsid w:val="005D13EE"/>
    <w:rsid w:val="005D2C89"/>
    <w:rsid w:val="005E1EA5"/>
    <w:rsid w:val="006376CE"/>
    <w:rsid w:val="00643F6D"/>
    <w:rsid w:val="006748A6"/>
    <w:rsid w:val="006821B1"/>
    <w:rsid w:val="00691516"/>
    <w:rsid w:val="00694729"/>
    <w:rsid w:val="006C798C"/>
    <w:rsid w:val="006C799D"/>
    <w:rsid w:val="006D3CBC"/>
    <w:rsid w:val="006E1614"/>
    <w:rsid w:val="00727D0D"/>
    <w:rsid w:val="0075020F"/>
    <w:rsid w:val="00757A64"/>
    <w:rsid w:val="007722F5"/>
    <w:rsid w:val="007A10F4"/>
    <w:rsid w:val="007C3113"/>
    <w:rsid w:val="007C78EC"/>
    <w:rsid w:val="007F6258"/>
    <w:rsid w:val="0081343E"/>
    <w:rsid w:val="00862A5E"/>
    <w:rsid w:val="00867ACD"/>
    <w:rsid w:val="0089715A"/>
    <w:rsid w:val="008A0316"/>
    <w:rsid w:val="008A436A"/>
    <w:rsid w:val="008B0992"/>
    <w:rsid w:val="008B229A"/>
    <w:rsid w:val="008C63BD"/>
    <w:rsid w:val="008F4C89"/>
    <w:rsid w:val="0092416C"/>
    <w:rsid w:val="00954F8A"/>
    <w:rsid w:val="0095530C"/>
    <w:rsid w:val="009607AA"/>
    <w:rsid w:val="009A4C79"/>
    <w:rsid w:val="009D6560"/>
    <w:rsid w:val="009E0E43"/>
    <w:rsid w:val="009E58E9"/>
    <w:rsid w:val="00A532B9"/>
    <w:rsid w:val="00A56E67"/>
    <w:rsid w:val="00A71059"/>
    <w:rsid w:val="00A83B5F"/>
    <w:rsid w:val="00AE184F"/>
    <w:rsid w:val="00B30FAC"/>
    <w:rsid w:val="00BC2B33"/>
    <w:rsid w:val="00C04857"/>
    <w:rsid w:val="00C17111"/>
    <w:rsid w:val="00C21494"/>
    <w:rsid w:val="00C22379"/>
    <w:rsid w:val="00C36AA0"/>
    <w:rsid w:val="00C626A8"/>
    <w:rsid w:val="00C84770"/>
    <w:rsid w:val="00D175FC"/>
    <w:rsid w:val="00D31DB0"/>
    <w:rsid w:val="00D556AD"/>
    <w:rsid w:val="00D67245"/>
    <w:rsid w:val="00D870A5"/>
    <w:rsid w:val="00D939D3"/>
    <w:rsid w:val="00D965EF"/>
    <w:rsid w:val="00DA6CBC"/>
    <w:rsid w:val="00DD0210"/>
    <w:rsid w:val="00E04C00"/>
    <w:rsid w:val="00E42824"/>
    <w:rsid w:val="00E5232D"/>
    <w:rsid w:val="00E5509E"/>
    <w:rsid w:val="00E819AD"/>
    <w:rsid w:val="00EE1E59"/>
    <w:rsid w:val="00F13FED"/>
    <w:rsid w:val="00F153ED"/>
    <w:rsid w:val="00F211DF"/>
    <w:rsid w:val="00FC0272"/>
    <w:rsid w:val="00FC2081"/>
    <w:rsid w:val="00FC27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E857B"/>
  <w15:chartTrackingRefBased/>
  <w15:docId w15:val="{1F32D030-8406-2847-A68F-8F99F21CF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48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748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748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48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48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48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48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48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48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48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748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748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48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48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48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48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48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48A6"/>
    <w:rPr>
      <w:rFonts w:eastAsiaTheme="majorEastAsia" w:cstheme="majorBidi"/>
      <w:color w:val="272727" w:themeColor="text1" w:themeTint="D8"/>
    </w:rPr>
  </w:style>
  <w:style w:type="paragraph" w:styleId="Title">
    <w:name w:val="Title"/>
    <w:basedOn w:val="Normal"/>
    <w:next w:val="Normal"/>
    <w:link w:val="TitleChar"/>
    <w:uiPriority w:val="10"/>
    <w:qFormat/>
    <w:rsid w:val="006748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48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48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48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48A6"/>
    <w:pPr>
      <w:spacing w:before="160"/>
      <w:jc w:val="center"/>
    </w:pPr>
    <w:rPr>
      <w:i/>
      <w:iCs/>
      <w:color w:val="404040" w:themeColor="text1" w:themeTint="BF"/>
    </w:rPr>
  </w:style>
  <w:style w:type="character" w:customStyle="1" w:styleId="QuoteChar">
    <w:name w:val="Quote Char"/>
    <w:basedOn w:val="DefaultParagraphFont"/>
    <w:link w:val="Quote"/>
    <w:uiPriority w:val="29"/>
    <w:rsid w:val="006748A6"/>
    <w:rPr>
      <w:i/>
      <w:iCs/>
      <w:color w:val="404040" w:themeColor="text1" w:themeTint="BF"/>
    </w:rPr>
  </w:style>
  <w:style w:type="paragraph" w:styleId="ListParagraph">
    <w:name w:val="List Paragraph"/>
    <w:basedOn w:val="Normal"/>
    <w:uiPriority w:val="34"/>
    <w:qFormat/>
    <w:rsid w:val="006748A6"/>
    <w:pPr>
      <w:ind w:left="720"/>
      <w:contextualSpacing/>
    </w:pPr>
  </w:style>
  <w:style w:type="character" w:styleId="IntenseEmphasis">
    <w:name w:val="Intense Emphasis"/>
    <w:basedOn w:val="DefaultParagraphFont"/>
    <w:uiPriority w:val="21"/>
    <w:qFormat/>
    <w:rsid w:val="006748A6"/>
    <w:rPr>
      <w:i/>
      <w:iCs/>
      <w:color w:val="0F4761" w:themeColor="accent1" w:themeShade="BF"/>
    </w:rPr>
  </w:style>
  <w:style w:type="paragraph" w:styleId="IntenseQuote">
    <w:name w:val="Intense Quote"/>
    <w:basedOn w:val="Normal"/>
    <w:next w:val="Normal"/>
    <w:link w:val="IntenseQuoteChar"/>
    <w:uiPriority w:val="30"/>
    <w:qFormat/>
    <w:rsid w:val="006748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48A6"/>
    <w:rPr>
      <w:i/>
      <w:iCs/>
      <w:color w:val="0F4761" w:themeColor="accent1" w:themeShade="BF"/>
    </w:rPr>
  </w:style>
  <w:style w:type="character" w:styleId="IntenseReference">
    <w:name w:val="Intense Reference"/>
    <w:basedOn w:val="DefaultParagraphFont"/>
    <w:uiPriority w:val="32"/>
    <w:qFormat/>
    <w:rsid w:val="006748A6"/>
    <w:rPr>
      <w:b/>
      <w:bCs/>
      <w:smallCaps/>
      <w:color w:val="0F4761" w:themeColor="accent1" w:themeShade="BF"/>
      <w:spacing w:val="5"/>
    </w:rPr>
  </w:style>
  <w:style w:type="paragraph" w:styleId="NormalWeb">
    <w:name w:val="Normal (Web)"/>
    <w:basedOn w:val="Normal"/>
    <w:uiPriority w:val="99"/>
    <w:unhideWhenUsed/>
    <w:rsid w:val="006748A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748A6"/>
    <w:rPr>
      <w:b/>
      <w:bCs/>
    </w:rPr>
  </w:style>
  <w:style w:type="paragraph" w:styleId="BodyText">
    <w:name w:val="Body Text"/>
    <w:basedOn w:val="Normal"/>
    <w:link w:val="BodyTextChar"/>
    <w:uiPriority w:val="1"/>
    <w:semiHidden/>
    <w:unhideWhenUsed/>
    <w:qFormat/>
    <w:rsid w:val="009607AA"/>
    <w:pPr>
      <w:widowControl w:val="0"/>
      <w:autoSpaceDE w:val="0"/>
      <w:autoSpaceDN w:val="0"/>
      <w:spacing w:after="0" w:line="240" w:lineRule="auto"/>
      <w:ind w:left="120"/>
    </w:pPr>
    <w:rPr>
      <w:rFonts w:ascii="Calibri" w:eastAsia="Calibri" w:hAnsi="Calibri" w:cs="Calibri"/>
      <w:kern w:val="0"/>
      <w:sz w:val="18"/>
      <w:szCs w:val="18"/>
      <w14:ligatures w14:val="none"/>
    </w:rPr>
  </w:style>
  <w:style w:type="character" w:customStyle="1" w:styleId="BodyTextChar">
    <w:name w:val="Body Text Char"/>
    <w:basedOn w:val="DefaultParagraphFont"/>
    <w:link w:val="BodyText"/>
    <w:uiPriority w:val="1"/>
    <w:semiHidden/>
    <w:rsid w:val="009607AA"/>
    <w:rPr>
      <w:rFonts w:ascii="Calibri" w:eastAsia="Calibri" w:hAnsi="Calibri" w:cs="Calibr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176194">
      <w:bodyDiv w:val="1"/>
      <w:marLeft w:val="0"/>
      <w:marRight w:val="0"/>
      <w:marTop w:val="0"/>
      <w:marBottom w:val="0"/>
      <w:divBdr>
        <w:top w:val="none" w:sz="0" w:space="0" w:color="auto"/>
        <w:left w:val="none" w:sz="0" w:space="0" w:color="auto"/>
        <w:bottom w:val="none" w:sz="0" w:space="0" w:color="auto"/>
        <w:right w:val="none" w:sz="0" w:space="0" w:color="auto"/>
      </w:divBdr>
    </w:div>
    <w:div w:id="270014397">
      <w:bodyDiv w:val="1"/>
      <w:marLeft w:val="0"/>
      <w:marRight w:val="0"/>
      <w:marTop w:val="0"/>
      <w:marBottom w:val="0"/>
      <w:divBdr>
        <w:top w:val="none" w:sz="0" w:space="0" w:color="auto"/>
        <w:left w:val="none" w:sz="0" w:space="0" w:color="auto"/>
        <w:bottom w:val="none" w:sz="0" w:space="0" w:color="auto"/>
        <w:right w:val="none" w:sz="0" w:space="0" w:color="auto"/>
      </w:divBdr>
    </w:div>
    <w:div w:id="366370003">
      <w:bodyDiv w:val="1"/>
      <w:marLeft w:val="0"/>
      <w:marRight w:val="0"/>
      <w:marTop w:val="0"/>
      <w:marBottom w:val="0"/>
      <w:divBdr>
        <w:top w:val="none" w:sz="0" w:space="0" w:color="auto"/>
        <w:left w:val="none" w:sz="0" w:space="0" w:color="auto"/>
        <w:bottom w:val="none" w:sz="0" w:space="0" w:color="auto"/>
        <w:right w:val="none" w:sz="0" w:space="0" w:color="auto"/>
      </w:divBdr>
    </w:div>
    <w:div w:id="596131976">
      <w:bodyDiv w:val="1"/>
      <w:marLeft w:val="0"/>
      <w:marRight w:val="0"/>
      <w:marTop w:val="0"/>
      <w:marBottom w:val="0"/>
      <w:divBdr>
        <w:top w:val="none" w:sz="0" w:space="0" w:color="auto"/>
        <w:left w:val="none" w:sz="0" w:space="0" w:color="auto"/>
        <w:bottom w:val="none" w:sz="0" w:space="0" w:color="auto"/>
        <w:right w:val="none" w:sz="0" w:space="0" w:color="auto"/>
      </w:divBdr>
    </w:div>
    <w:div w:id="710376391">
      <w:bodyDiv w:val="1"/>
      <w:marLeft w:val="0"/>
      <w:marRight w:val="0"/>
      <w:marTop w:val="0"/>
      <w:marBottom w:val="0"/>
      <w:divBdr>
        <w:top w:val="none" w:sz="0" w:space="0" w:color="auto"/>
        <w:left w:val="none" w:sz="0" w:space="0" w:color="auto"/>
        <w:bottom w:val="none" w:sz="0" w:space="0" w:color="auto"/>
        <w:right w:val="none" w:sz="0" w:space="0" w:color="auto"/>
      </w:divBdr>
    </w:div>
    <w:div w:id="810709143">
      <w:bodyDiv w:val="1"/>
      <w:marLeft w:val="0"/>
      <w:marRight w:val="0"/>
      <w:marTop w:val="0"/>
      <w:marBottom w:val="0"/>
      <w:divBdr>
        <w:top w:val="none" w:sz="0" w:space="0" w:color="auto"/>
        <w:left w:val="none" w:sz="0" w:space="0" w:color="auto"/>
        <w:bottom w:val="none" w:sz="0" w:space="0" w:color="auto"/>
        <w:right w:val="none" w:sz="0" w:space="0" w:color="auto"/>
      </w:divBdr>
    </w:div>
    <w:div w:id="948901086">
      <w:bodyDiv w:val="1"/>
      <w:marLeft w:val="0"/>
      <w:marRight w:val="0"/>
      <w:marTop w:val="0"/>
      <w:marBottom w:val="0"/>
      <w:divBdr>
        <w:top w:val="none" w:sz="0" w:space="0" w:color="auto"/>
        <w:left w:val="none" w:sz="0" w:space="0" w:color="auto"/>
        <w:bottom w:val="none" w:sz="0" w:space="0" w:color="auto"/>
        <w:right w:val="none" w:sz="0" w:space="0" w:color="auto"/>
      </w:divBdr>
    </w:div>
    <w:div w:id="1207378686">
      <w:bodyDiv w:val="1"/>
      <w:marLeft w:val="0"/>
      <w:marRight w:val="0"/>
      <w:marTop w:val="0"/>
      <w:marBottom w:val="0"/>
      <w:divBdr>
        <w:top w:val="none" w:sz="0" w:space="0" w:color="auto"/>
        <w:left w:val="none" w:sz="0" w:space="0" w:color="auto"/>
        <w:bottom w:val="none" w:sz="0" w:space="0" w:color="auto"/>
        <w:right w:val="none" w:sz="0" w:space="0" w:color="auto"/>
      </w:divBdr>
    </w:div>
    <w:div w:id="1352993900">
      <w:bodyDiv w:val="1"/>
      <w:marLeft w:val="0"/>
      <w:marRight w:val="0"/>
      <w:marTop w:val="0"/>
      <w:marBottom w:val="0"/>
      <w:divBdr>
        <w:top w:val="none" w:sz="0" w:space="0" w:color="auto"/>
        <w:left w:val="none" w:sz="0" w:space="0" w:color="auto"/>
        <w:bottom w:val="none" w:sz="0" w:space="0" w:color="auto"/>
        <w:right w:val="none" w:sz="0" w:space="0" w:color="auto"/>
      </w:divBdr>
    </w:div>
    <w:div w:id="1565722136">
      <w:bodyDiv w:val="1"/>
      <w:marLeft w:val="0"/>
      <w:marRight w:val="0"/>
      <w:marTop w:val="0"/>
      <w:marBottom w:val="0"/>
      <w:divBdr>
        <w:top w:val="none" w:sz="0" w:space="0" w:color="auto"/>
        <w:left w:val="none" w:sz="0" w:space="0" w:color="auto"/>
        <w:bottom w:val="none" w:sz="0" w:space="0" w:color="auto"/>
        <w:right w:val="none" w:sz="0" w:space="0" w:color="auto"/>
      </w:divBdr>
    </w:div>
    <w:div w:id="1683435537">
      <w:bodyDiv w:val="1"/>
      <w:marLeft w:val="0"/>
      <w:marRight w:val="0"/>
      <w:marTop w:val="0"/>
      <w:marBottom w:val="0"/>
      <w:divBdr>
        <w:top w:val="none" w:sz="0" w:space="0" w:color="auto"/>
        <w:left w:val="none" w:sz="0" w:space="0" w:color="auto"/>
        <w:bottom w:val="none" w:sz="0" w:space="0" w:color="auto"/>
        <w:right w:val="none" w:sz="0" w:space="0" w:color="auto"/>
      </w:divBdr>
    </w:div>
    <w:div w:id="1825199004">
      <w:bodyDiv w:val="1"/>
      <w:marLeft w:val="0"/>
      <w:marRight w:val="0"/>
      <w:marTop w:val="0"/>
      <w:marBottom w:val="0"/>
      <w:divBdr>
        <w:top w:val="none" w:sz="0" w:space="0" w:color="auto"/>
        <w:left w:val="none" w:sz="0" w:space="0" w:color="auto"/>
        <w:bottom w:val="none" w:sz="0" w:space="0" w:color="auto"/>
        <w:right w:val="none" w:sz="0" w:space="0" w:color="auto"/>
      </w:divBdr>
    </w:div>
    <w:div w:id="1999649164">
      <w:bodyDiv w:val="1"/>
      <w:marLeft w:val="0"/>
      <w:marRight w:val="0"/>
      <w:marTop w:val="0"/>
      <w:marBottom w:val="0"/>
      <w:divBdr>
        <w:top w:val="none" w:sz="0" w:space="0" w:color="auto"/>
        <w:left w:val="none" w:sz="0" w:space="0" w:color="auto"/>
        <w:bottom w:val="none" w:sz="0" w:space="0" w:color="auto"/>
        <w:right w:val="none" w:sz="0" w:space="0" w:color="auto"/>
      </w:divBdr>
    </w:div>
    <w:div w:id="2027562419">
      <w:bodyDiv w:val="1"/>
      <w:marLeft w:val="0"/>
      <w:marRight w:val="0"/>
      <w:marTop w:val="0"/>
      <w:marBottom w:val="0"/>
      <w:divBdr>
        <w:top w:val="none" w:sz="0" w:space="0" w:color="auto"/>
        <w:left w:val="none" w:sz="0" w:space="0" w:color="auto"/>
        <w:bottom w:val="none" w:sz="0" w:space="0" w:color="auto"/>
        <w:right w:val="none" w:sz="0" w:space="0" w:color="auto"/>
      </w:divBdr>
    </w:div>
    <w:div w:id="2116948018">
      <w:bodyDiv w:val="1"/>
      <w:marLeft w:val="0"/>
      <w:marRight w:val="0"/>
      <w:marTop w:val="0"/>
      <w:marBottom w:val="0"/>
      <w:divBdr>
        <w:top w:val="none" w:sz="0" w:space="0" w:color="auto"/>
        <w:left w:val="none" w:sz="0" w:space="0" w:color="auto"/>
        <w:bottom w:val="none" w:sz="0" w:space="0" w:color="auto"/>
        <w:right w:val="none" w:sz="0" w:space="0" w:color="auto"/>
      </w:divBdr>
    </w:div>
    <w:div w:id="2135370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04CA4-9DAE-4DDB-81CE-8C2F15513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5</Pages>
  <Words>1678</Words>
  <Characters>9569</Characters>
  <Application>Microsoft Office Word</Application>
  <DocSecurity>0</DocSecurity>
  <Lines>79</Lines>
  <Paragraphs>22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Abualatta</dc:creator>
  <cp:keywords/>
  <dc:description/>
  <cp:lastModifiedBy>Mariam Abualatta</cp:lastModifiedBy>
  <cp:revision>53</cp:revision>
  <dcterms:created xsi:type="dcterms:W3CDTF">2025-04-21T08:34:00Z</dcterms:created>
  <dcterms:modified xsi:type="dcterms:W3CDTF">2026-01-20T11:41:00Z</dcterms:modified>
</cp:coreProperties>
</file>