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DB7B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 xml:space="preserve">PROJET : Promotion de la Masculinité Positive dans les Zones de Santé de Masisi, Mweso, Minova et </w:t>
      </w:r>
      <w:proofErr w:type="spellStart"/>
      <w:r w:rsidRPr="003F5CA0">
        <w:rPr>
          <w:b/>
          <w:bCs/>
          <w:lang w:val="fr-FR"/>
        </w:rPr>
        <w:t>Kirotshe</w:t>
      </w:r>
      <w:proofErr w:type="spellEnd"/>
    </w:p>
    <w:p w14:paraId="7D2FDC51" w14:textId="77777777" w:rsidR="003F5CA0" w:rsidRPr="003F5CA0" w:rsidRDefault="003F5CA0" w:rsidP="003F5CA0">
      <w:pPr>
        <w:rPr>
          <w:lang w:val="fr-FR"/>
        </w:rPr>
      </w:pPr>
      <w:r w:rsidRPr="003F5CA0">
        <w:rPr>
          <w:b/>
          <w:bCs/>
          <w:lang w:val="fr-FR"/>
        </w:rPr>
        <w:t>Durée : 3 mois</w:t>
      </w:r>
      <w:r w:rsidRPr="003F5CA0">
        <w:rPr>
          <w:lang w:val="fr-FR"/>
        </w:rPr>
        <w:br/>
      </w:r>
      <w:r w:rsidRPr="003F5CA0">
        <w:rPr>
          <w:b/>
          <w:bCs/>
          <w:lang w:val="fr-FR"/>
        </w:rPr>
        <w:t>Budget total : 5 000 USD</w:t>
      </w:r>
      <w:r w:rsidRPr="003F5CA0">
        <w:rPr>
          <w:lang w:val="fr-FR"/>
        </w:rPr>
        <w:br/>
      </w:r>
      <w:r w:rsidRPr="003F5CA0">
        <w:rPr>
          <w:b/>
          <w:bCs/>
          <w:lang w:val="fr-FR"/>
        </w:rPr>
        <w:t>Organisation : [À compléter]</w:t>
      </w:r>
    </w:p>
    <w:p w14:paraId="3023F913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pict w14:anchorId="65F21FFD">
          <v:rect id="_x0000_i1079" style="width:0;height:1.5pt" o:hralign="center" o:hrstd="t" o:hr="t" fillcolor="#a0a0a0" stroked="f"/>
        </w:pict>
      </w:r>
    </w:p>
    <w:p w14:paraId="6F172C3C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1. CONTEXTE</w:t>
      </w:r>
    </w:p>
    <w:p w14:paraId="6708EDEF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t xml:space="preserve">Les zones de santé de Masisi, Mweso, Minova et </w:t>
      </w:r>
      <w:proofErr w:type="spellStart"/>
      <w:r w:rsidRPr="003F5CA0">
        <w:rPr>
          <w:lang w:val="fr-FR"/>
        </w:rPr>
        <w:t>Kirotshe</w:t>
      </w:r>
      <w:proofErr w:type="spellEnd"/>
      <w:r w:rsidRPr="003F5CA0">
        <w:rPr>
          <w:lang w:val="fr-FR"/>
        </w:rPr>
        <w:t xml:space="preserve"> sont confrontées à de fortes tensions sociales, des violences basées sur le genre (VBG), des conflits communautaires, ainsi qu’à une faible participation des hommes dans la promotion du bien-être familial. La méconnaissance des principes de masculinité positive contribue à la persistance des VBG, à la domination patriarcale et à la reproduction de pratiques néfastes (violences domestiques, rejet des responsabilités familiales, faible communication dans les couples…).</w:t>
      </w:r>
    </w:p>
    <w:p w14:paraId="5C9CD8A4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t xml:space="preserve">Il devient indispensable d’impliquer les hommes et les garçons comme </w:t>
      </w:r>
      <w:r w:rsidRPr="003F5CA0">
        <w:rPr>
          <w:b/>
          <w:bCs/>
          <w:lang w:val="fr-FR"/>
        </w:rPr>
        <w:t>alliés</w:t>
      </w:r>
      <w:r w:rsidRPr="003F5CA0">
        <w:rPr>
          <w:lang w:val="fr-FR"/>
        </w:rPr>
        <w:t xml:space="preserve"> dans la lutte contre les VBG, la promotion de l’égalité genre et le renforcement d’une communauté pacifique et responsable.</w:t>
      </w:r>
    </w:p>
    <w:p w14:paraId="082FFE39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pict w14:anchorId="14C20DA5">
          <v:rect id="_x0000_i1080" style="width:0;height:1.5pt" o:hralign="center" o:hrstd="t" o:hr="t" fillcolor="#a0a0a0" stroked="f"/>
        </w:pict>
      </w:r>
    </w:p>
    <w:p w14:paraId="343880BD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2. OBJECTIF GLOBAL</w:t>
      </w:r>
    </w:p>
    <w:p w14:paraId="76AF96B1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t xml:space="preserve">Promouvoir la masculinité positive au sein des communautés de Masisi, Mweso, Minova et </w:t>
      </w:r>
      <w:proofErr w:type="spellStart"/>
      <w:r w:rsidRPr="003F5CA0">
        <w:rPr>
          <w:lang w:val="fr-FR"/>
        </w:rPr>
        <w:t>Kirotshe</w:t>
      </w:r>
      <w:proofErr w:type="spellEnd"/>
      <w:r w:rsidRPr="003F5CA0">
        <w:rPr>
          <w:lang w:val="fr-FR"/>
        </w:rPr>
        <w:t xml:space="preserve"> afin de réduire les violences basées sur le genre et renforcer des modèles masculins responsables, non violents et engagés.</w:t>
      </w:r>
    </w:p>
    <w:p w14:paraId="493501CE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pict w14:anchorId="73923985">
          <v:rect id="_x0000_i1081" style="width:0;height:1.5pt" o:hralign="center" o:hrstd="t" o:hr="t" fillcolor="#a0a0a0" stroked="f"/>
        </w:pict>
      </w:r>
    </w:p>
    <w:p w14:paraId="11931F45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3. OBJECTIFS SPÉCIFIQUES</w:t>
      </w:r>
    </w:p>
    <w:p w14:paraId="54234EF7" w14:textId="77777777" w:rsidR="003F5CA0" w:rsidRPr="003F5CA0" w:rsidRDefault="003F5CA0" w:rsidP="003F5CA0">
      <w:pPr>
        <w:numPr>
          <w:ilvl w:val="0"/>
          <w:numId w:val="1"/>
        </w:numPr>
        <w:rPr>
          <w:lang w:val="fr-FR"/>
        </w:rPr>
      </w:pPr>
      <w:r w:rsidRPr="003F5CA0">
        <w:rPr>
          <w:lang w:val="fr-FR"/>
        </w:rPr>
        <w:t xml:space="preserve">Sensibiliser au moins </w:t>
      </w:r>
      <w:r w:rsidRPr="003F5CA0">
        <w:rPr>
          <w:b/>
          <w:bCs/>
          <w:lang w:val="fr-FR"/>
        </w:rPr>
        <w:t>1 200 hommes et garçons</w:t>
      </w:r>
      <w:r w:rsidRPr="003F5CA0">
        <w:rPr>
          <w:lang w:val="fr-FR"/>
        </w:rPr>
        <w:t xml:space="preserve"> sur les principes de la masculinité positive.</w:t>
      </w:r>
    </w:p>
    <w:p w14:paraId="69993CB5" w14:textId="77777777" w:rsidR="003F5CA0" w:rsidRPr="003F5CA0" w:rsidRDefault="003F5CA0" w:rsidP="003F5CA0">
      <w:pPr>
        <w:numPr>
          <w:ilvl w:val="0"/>
          <w:numId w:val="1"/>
        </w:numPr>
        <w:rPr>
          <w:lang w:val="fr-FR"/>
        </w:rPr>
      </w:pPr>
      <w:r w:rsidRPr="003F5CA0">
        <w:rPr>
          <w:lang w:val="fr-FR"/>
        </w:rPr>
        <w:t>Renforcer la participation des leaders communautaires, religieux et traditionnels dans la promotion des comportements masculins non violents.</w:t>
      </w:r>
    </w:p>
    <w:p w14:paraId="36BAE9EF" w14:textId="77777777" w:rsidR="003F5CA0" w:rsidRPr="003F5CA0" w:rsidRDefault="003F5CA0" w:rsidP="003F5CA0">
      <w:pPr>
        <w:numPr>
          <w:ilvl w:val="0"/>
          <w:numId w:val="1"/>
        </w:numPr>
        <w:rPr>
          <w:lang w:val="fr-FR"/>
        </w:rPr>
      </w:pPr>
      <w:r w:rsidRPr="003F5CA0">
        <w:rPr>
          <w:lang w:val="fr-FR"/>
        </w:rPr>
        <w:t>Promouvoir le dialogue hommes-femmes dans les communautés ciblées pour réduire les comportements toxiques et favoriser la collaboration constructive.</w:t>
      </w:r>
    </w:p>
    <w:p w14:paraId="3BAD4B2B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pict w14:anchorId="4BB5A791">
          <v:rect id="_x0000_i1082" style="width:0;height:1.5pt" o:hralign="center" o:hrstd="t" o:hr="t" fillcolor="#a0a0a0" stroked="f"/>
        </w:pict>
      </w:r>
    </w:p>
    <w:p w14:paraId="02298631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4. GROUPES CIBLES</w:t>
      </w:r>
    </w:p>
    <w:p w14:paraId="0E0DC9EA" w14:textId="77777777" w:rsidR="003F5CA0" w:rsidRPr="003F5CA0" w:rsidRDefault="003F5CA0" w:rsidP="003F5CA0">
      <w:pPr>
        <w:numPr>
          <w:ilvl w:val="0"/>
          <w:numId w:val="2"/>
        </w:numPr>
        <w:rPr>
          <w:lang w:val="fr-FR"/>
        </w:rPr>
      </w:pPr>
      <w:r w:rsidRPr="003F5CA0">
        <w:rPr>
          <w:lang w:val="fr-FR"/>
        </w:rPr>
        <w:t>Hommes et garçons (15–60 ans)</w:t>
      </w:r>
    </w:p>
    <w:p w14:paraId="4207CDC2" w14:textId="77777777" w:rsidR="003F5CA0" w:rsidRPr="003F5CA0" w:rsidRDefault="003F5CA0" w:rsidP="003F5CA0">
      <w:pPr>
        <w:numPr>
          <w:ilvl w:val="0"/>
          <w:numId w:val="2"/>
        </w:numPr>
        <w:rPr>
          <w:lang w:val="fr-FR"/>
        </w:rPr>
      </w:pPr>
      <w:r w:rsidRPr="003F5CA0">
        <w:rPr>
          <w:lang w:val="fr-FR"/>
        </w:rPr>
        <w:t>Leaders coutumiers</w:t>
      </w:r>
    </w:p>
    <w:p w14:paraId="406D5B5A" w14:textId="77777777" w:rsidR="003F5CA0" w:rsidRPr="003F5CA0" w:rsidRDefault="003F5CA0" w:rsidP="003F5CA0">
      <w:pPr>
        <w:numPr>
          <w:ilvl w:val="0"/>
          <w:numId w:val="2"/>
        </w:numPr>
        <w:rPr>
          <w:lang w:val="fr-FR"/>
        </w:rPr>
      </w:pPr>
      <w:r w:rsidRPr="003F5CA0">
        <w:rPr>
          <w:lang w:val="fr-FR"/>
        </w:rPr>
        <w:t>Leaders religieux</w:t>
      </w:r>
    </w:p>
    <w:p w14:paraId="3E56574C" w14:textId="77777777" w:rsidR="003F5CA0" w:rsidRPr="003F5CA0" w:rsidRDefault="003F5CA0" w:rsidP="003F5CA0">
      <w:pPr>
        <w:numPr>
          <w:ilvl w:val="0"/>
          <w:numId w:val="2"/>
        </w:numPr>
        <w:rPr>
          <w:lang w:val="fr-FR"/>
        </w:rPr>
      </w:pPr>
      <w:r w:rsidRPr="003F5CA0">
        <w:rPr>
          <w:lang w:val="fr-FR"/>
        </w:rPr>
        <w:t>Chefs de groupements</w:t>
      </w:r>
    </w:p>
    <w:p w14:paraId="115FE304" w14:textId="77777777" w:rsidR="003F5CA0" w:rsidRPr="003F5CA0" w:rsidRDefault="003F5CA0" w:rsidP="003F5CA0">
      <w:pPr>
        <w:numPr>
          <w:ilvl w:val="0"/>
          <w:numId w:val="2"/>
        </w:numPr>
        <w:rPr>
          <w:lang w:val="fr-FR"/>
        </w:rPr>
      </w:pPr>
      <w:r w:rsidRPr="003F5CA0">
        <w:rPr>
          <w:lang w:val="fr-FR"/>
        </w:rPr>
        <w:lastRenderedPageBreak/>
        <w:t>Écoles, clubs de jeunes</w:t>
      </w:r>
    </w:p>
    <w:p w14:paraId="2694D337" w14:textId="77777777" w:rsidR="003F5CA0" w:rsidRPr="003F5CA0" w:rsidRDefault="003F5CA0" w:rsidP="003F5CA0">
      <w:pPr>
        <w:numPr>
          <w:ilvl w:val="0"/>
          <w:numId w:val="2"/>
        </w:numPr>
        <w:rPr>
          <w:lang w:val="fr-FR"/>
        </w:rPr>
      </w:pPr>
      <w:r w:rsidRPr="003F5CA0">
        <w:rPr>
          <w:lang w:val="fr-FR"/>
        </w:rPr>
        <w:t>Organisations locales de femmes</w:t>
      </w:r>
    </w:p>
    <w:p w14:paraId="3677B8C0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pict w14:anchorId="12EA3015">
          <v:rect id="_x0000_i1083" style="width:0;height:1.5pt" o:hralign="center" o:hrstd="t" o:hr="t" fillcolor="#a0a0a0" stroked="f"/>
        </w:pict>
      </w:r>
    </w:p>
    <w:p w14:paraId="29F77A70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5. ACTIVITÉS PRINCIPALES</w:t>
      </w:r>
    </w:p>
    <w:p w14:paraId="1620E89E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A1. Lancement du projet et coordination locale</w:t>
      </w:r>
    </w:p>
    <w:p w14:paraId="0788A548" w14:textId="77777777" w:rsidR="003F5CA0" w:rsidRPr="003F5CA0" w:rsidRDefault="003F5CA0" w:rsidP="003F5CA0">
      <w:pPr>
        <w:numPr>
          <w:ilvl w:val="0"/>
          <w:numId w:val="3"/>
        </w:numPr>
        <w:rPr>
          <w:lang w:val="fr-FR"/>
        </w:rPr>
      </w:pPr>
      <w:r w:rsidRPr="003F5CA0">
        <w:rPr>
          <w:lang w:val="fr-FR"/>
        </w:rPr>
        <w:t>Réunion d’introduction avec autorités sanitaires, chefs locaux et partenaires.</w:t>
      </w:r>
    </w:p>
    <w:p w14:paraId="20397142" w14:textId="77777777" w:rsidR="003F5CA0" w:rsidRPr="003F5CA0" w:rsidRDefault="003F5CA0" w:rsidP="003F5CA0">
      <w:pPr>
        <w:numPr>
          <w:ilvl w:val="0"/>
          <w:numId w:val="3"/>
        </w:numPr>
        <w:rPr>
          <w:lang w:val="fr-FR"/>
        </w:rPr>
      </w:pPr>
      <w:r w:rsidRPr="003F5CA0">
        <w:rPr>
          <w:lang w:val="fr-FR"/>
        </w:rPr>
        <w:t>Présentation des objectifs et planification opérationnelle.</w:t>
      </w:r>
    </w:p>
    <w:p w14:paraId="56BAA9FF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A2. 8 Séances de sensibilisation communautaire (2 par zone de santé)</w:t>
      </w:r>
    </w:p>
    <w:p w14:paraId="52187E3E" w14:textId="77777777" w:rsidR="003F5CA0" w:rsidRPr="003F5CA0" w:rsidRDefault="003F5CA0" w:rsidP="003F5CA0">
      <w:pPr>
        <w:rPr>
          <w:lang w:val="fr-FR"/>
        </w:rPr>
      </w:pPr>
      <w:r w:rsidRPr="003F5CA0">
        <w:rPr>
          <w:lang w:val="fr-FR"/>
        </w:rPr>
        <w:t>Thèmes :</w:t>
      </w:r>
    </w:p>
    <w:p w14:paraId="10AFEBDD" w14:textId="77777777" w:rsidR="003F5CA0" w:rsidRPr="003F5CA0" w:rsidRDefault="003F5CA0" w:rsidP="003F5CA0">
      <w:pPr>
        <w:numPr>
          <w:ilvl w:val="0"/>
          <w:numId w:val="4"/>
        </w:numPr>
        <w:rPr>
          <w:lang w:val="fr-FR"/>
        </w:rPr>
      </w:pPr>
      <w:r w:rsidRPr="003F5CA0">
        <w:rPr>
          <w:lang w:val="fr-FR"/>
        </w:rPr>
        <w:t>Comprendre la masculinité positive</w:t>
      </w:r>
    </w:p>
    <w:p w14:paraId="47F840DF" w14:textId="77777777" w:rsidR="003F5CA0" w:rsidRPr="003F5CA0" w:rsidRDefault="003F5CA0" w:rsidP="003F5CA0">
      <w:pPr>
        <w:numPr>
          <w:ilvl w:val="0"/>
          <w:numId w:val="4"/>
        </w:numPr>
        <w:rPr>
          <w:lang w:val="fr-FR"/>
        </w:rPr>
      </w:pPr>
      <w:r w:rsidRPr="003F5CA0">
        <w:rPr>
          <w:lang w:val="fr-FR"/>
        </w:rPr>
        <w:t>Stéréotypes masculins et VBG</w:t>
      </w:r>
    </w:p>
    <w:p w14:paraId="19DD7EB6" w14:textId="77777777" w:rsidR="003F5CA0" w:rsidRPr="003F5CA0" w:rsidRDefault="003F5CA0" w:rsidP="003F5CA0">
      <w:pPr>
        <w:numPr>
          <w:ilvl w:val="0"/>
          <w:numId w:val="4"/>
        </w:numPr>
        <w:rPr>
          <w:lang w:val="fr-FR"/>
        </w:rPr>
      </w:pPr>
      <w:r w:rsidRPr="003F5CA0">
        <w:rPr>
          <w:lang w:val="fr-FR"/>
        </w:rPr>
        <w:t>Hommes comme alliés de l’égalité</w:t>
      </w:r>
    </w:p>
    <w:p w14:paraId="6152BB78" w14:textId="77777777" w:rsidR="003F5CA0" w:rsidRPr="003F5CA0" w:rsidRDefault="003F5CA0" w:rsidP="003F5CA0">
      <w:pPr>
        <w:numPr>
          <w:ilvl w:val="0"/>
          <w:numId w:val="4"/>
        </w:numPr>
        <w:rPr>
          <w:lang w:val="fr-FR"/>
        </w:rPr>
      </w:pPr>
      <w:r w:rsidRPr="003F5CA0">
        <w:rPr>
          <w:lang w:val="fr-FR"/>
        </w:rPr>
        <w:t>Communication non violente dans les familles</w:t>
      </w:r>
    </w:p>
    <w:p w14:paraId="3DEEE301" w14:textId="77777777" w:rsidR="003F5CA0" w:rsidRPr="003F5CA0" w:rsidRDefault="003F5CA0" w:rsidP="003F5CA0">
      <w:pPr>
        <w:numPr>
          <w:ilvl w:val="0"/>
          <w:numId w:val="4"/>
        </w:numPr>
        <w:rPr>
          <w:lang w:val="fr-FR"/>
        </w:rPr>
      </w:pPr>
      <w:r w:rsidRPr="003F5CA0">
        <w:rPr>
          <w:lang w:val="fr-FR"/>
        </w:rPr>
        <w:t>Responsabilités positives dans le foyer</w:t>
      </w:r>
    </w:p>
    <w:p w14:paraId="1087733C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A3. Formation de 40 "Champions de la Masculinité Positive"</w:t>
      </w:r>
    </w:p>
    <w:p w14:paraId="375C7E6B" w14:textId="77777777" w:rsidR="003F5CA0" w:rsidRPr="003F5CA0" w:rsidRDefault="003F5CA0" w:rsidP="003F5CA0">
      <w:pPr>
        <w:numPr>
          <w:ilvl w:val="0"/>
          <w:numId w:val="5"/>
        </w:numPr>
        <w:rPr>
          <w:lang w:val="fr-FR"/>
        </w:rPr>
      </w:pPr>
      <w:r w:rsidRPr="003F5CA0">
        <w:rPr>
          <w:lang w:val="fr-FR"/>
        </w:rPr>
        <w:t>10 par zone (leaders jeunes, religieux, enseignants, chefs locaux).</w:t>
      </w:r>
    </w:p>
    <w:p w14:paraId="726A9C7E" w14:textId="77777777" w:rsidR="003F5CA0" w:rsidRPr="003F5CA0" w:rsidRDefault="003F5CA0" w:rsidP="003F5CA0">
      <w:pPr>
        <w:numPr>
          <w:ilvl w:val="0"/>
          <w:numId w:val="5"/>
        </w:numPr>
        <w:rPr>
          <w:lang w:val="fr-FR"/>
        </w:rPr>
      </w:pPr>
      <w:r w:rsidRPr="003F5CA0">
        <w:rPr>
          <w:lang w:val="fr-FR"/>
        </w:rPr>
        <w:t>Formation de 2 jours sur :</w:t>
      </w:r>
    </w:p>
    <w:p w14:paraId="7F0294DE" w14:textId="77777777" w:rsidR="003F5CA0" w:rsidRPr="003F5CA0" w:rsidRDefault="003F5CA0" w:rsidP="003F5CA0">
      <w:pPr>
        <w:numPr>
          <w:ilvl w:val="1"/>
          <w:numId w:val="5"/>
        </w:numPr>
        <w:rPr>
          <w:lang w:val="fr-FR"/>
        </w:rPr>
      </w:pPr>
      <w:proofErr w:type="gramStart"/>
      <w:r w:rsidRPr="003F5CA0">
        <w:rPr>
          <w:lang w:val="fr-FR"/>
        </w:rPr>
        <w:t>masculinité</w:t>
      </w:r>
      <w:proofErr w:type="gramEnd"/>
      <w:r w:rsidRPr="003F5CA0">
        <w:rPr>
          <w:lang w:val="fr-FR"/>
        </w:rPr>
        <w:t xml:space="preserve"> positive</w:t>
      </w:r>
    </w:p>
    <w:p w14:paraId="2115F5AC" w14:textId="77777777" w:rsidR="003F5CA0" w:rsidRPr="003F5CA0" w:rsidRDefault="003F5CA0" w:rsidP="003F5CA0">
      <w:pPr>
        <w:numPr>
          <w:ilvl w:val="1"/>
          <w:numId w:val="5"/>
        </w:numPr>
        <w:rPr>
          <w:lang w:val="fr-FR"/>
        </w:rPr>
      </w:pPr>
      <w:proofErr w:type="gramStart"/>
      <w:r w:rsidRPr="003F5CA0">
        <w:rPr>
          <w:lang w:val="fr-FR"/>
        </w:rPr>
        <w:t>prévention</w:t>
      </w:r>
      <w:proofErr w:type="gramEnd"/>
      <w:r w:rsidRPr="003F5CA0">
        <w:rPr>
          <w:lang w:val="fr-FR"/>
        </w:rPr>
        <w:t xml:space="preserve"> des VBG</w:t>
      </w:r>
    </w:p>
    <w:p w14:paraId="627E860C" w14:textId="77777777" w:rsidR="003F5CA0" w:rsidRPr="003F5CA0" w:rsidRDefault="003F5CA0" w:rsidP="003F5CA0">
      <w:pPr>
        <w:numPr>
          <w:ilvl w:val="1"/>
          <w:numId w:val="5"/>
        </w:numPr>
        <w:rPr>
          <w:lang w:val="fr-FR"/>
        </w:rPr>
      </w:pPr>
      <w:proofErr w:type="gramStart"/>
      <w:r w:rsidRPr="003F5CA0">
        <w:rPr>
          <w:lang w:val="fr-FR"/>
        </w:rPr>
        <w:t>médiation</w:t>
      </w:r>
      <w:proofErr w:type="gramEnd"/>
      <w:r w:rsidRPr="003F5CA0">
        <w:rPr>
          <w:lang w:val="fr-FR"/>
        </w:rPr>
        <w:t xml:space="preserve"> communautaire</w:t>
      </w:r>
    </w:p>
    <w:p w14:paraId="2AE96DE7" w14:textId="77777777" w:rsidR="003F5CA0" w:rsidRPr="003F5CA0" w:rsidRDefault="003F5CA0" w:rsidP="003F5CA0">
      <w:pPr>
        <w:numPr>
          <w:ilvl w:val="1"/>
          <w:numId w:val="5"/>
        </w:numPr>
        <w:rPr>
          <w:lang w:val="fr-FR"/>
        </w:rPr>
      </w:pPr>
      <w:proofErr w:type="gramStart"/>
      <w:r w:rsidRPr="003F5CA0">
        <w:rPr>
          <w:lang w:val="fr-FR"/>
        </w:rPr>
        <w:t>mobilisation</w:t>
      </w:r>
      <w:proofErr w:type="gramEnd"/>
      <w:r w:rsidRPr="003F5CA0">
        <w:rPr>
          <w:lang w:val="fr-FR"/>
        </w:rPr>
        <w:t xml:space="preserve"> sociale</w:t>
      </w:r>
    </w:p>
    <w:p w14:paraId="5829EDD7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A4. Organisation de dialogues communautaires hommes-femmes</w:t>
      </w:r>
    </w:p>
    <w:p w14:paraId="5B96306A" w14:textId="77777777" w:rsidR="003F5CA0" w:rsidRPr="003F5CA0" w:rsidRDefault="003F5CA0" w:rsidP="003F5CA0">
      <w:pPr>
        <w:numPr>
          <w:ilvl w:val="0"/>
          <w:numId w:val="6"/>
        </w:numPr>
        <w:rPr>
          <w:lang w:val="fr-FR"/>
        </w:rPr>
      </w:pPr>
      <w:r w:rsidRPr="003F5CA0">
        <w:rPr>
          <w:lang w:val="fr-FR"/>
        </w:rPr>
        <w:t>4 dialogues (1 par zone) regroupant : hommes, femmes, jeunes, leaders locaux.</w:t>
      </w:r>
    </w:p>
    <w:p w14:paraId="2BCC2E26" w14:textId="77777777" w:rsidR="003F5CA0" w:rsidRPr="003F5CA0" w:rsidRDefault="003F5CA0" w:rsidP="003F5CA0">
      <w:pPr>
        <w:numPr>
          <w:ilvl w:val="0"/>
          <w:numId w:val="6"/>
        </w:numPr>
        <w:rPr>
          <w:lang w:val="fr-FR"/>
        </w:rPr>
      </w:pPr>
      <w:r w:rsidRPr="003F5CA0">
        <w:rPr>
          <w:lang w:val="fr-FR"/>
        </w:rPr>
        <w:t>Discussions ouvertes sur les pratiques toxiques, les attentes et collaborations.</w:t>
      </w:r>
    </w:p>
    <w:p w14:paraId="531320E6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A5. Production et diffusion d’outils de sensibilisation</w:t>
      </w:r>
    </w:p>
    <w:p w14:paraId="1FE20122" w14:textId="77777777" w:rsidR="003F5CA0" w:rsidRPr="003F5CA0" w:rsidRDefault="003F5CA0" w:rsidP="003F5CA0">
      <w:pPr>
        <w:numPr>
          <w:ilvl w:val="0"/>
          <w:numId w:val="7"/>
        </w:numPr>
        <w:rPr>
          <w:lang w:val="fr-FR"/>
        </w:rPr>
      </w:pPr>
      <w:r w:rsidRPr="003F5CA0">
        <w:rPr>
          <w:lang w:val="fr-FR"/>
        </w:rPr>
        <w:t>200 affiches</w:t>
      </w:r>
    </w:p>
    <w:p w14:paraId="3C522635" w14:textId="77777777" w:rsidR="003F5CA0" w:rsidRPr="003F5CA0" w:rsidRDefault="003F5CA0" w:rsidP="003F5CA0">
      <w:pPr>
        <w:numPr>
          <w:ilvl w:val="0"/>
          <w:numId w:val="7"/>
        </w:numPr>
        <w:rPr>
          <w:lang w:val="fr-FR"/>
        </w:rPr>
      </w:pPr>
      <w:r w:rsidRPr="003F5CA0">
        <w:rPr>
          <w:lang w:val="fr-FR"/>
        </w:rPr>
        <w:t>Messages radios locaux</w:t>
      </w:r>
    </w:p>
    <w:p w14:paraId="36908337" w14:textId="77777777" w:rsidR="003F5CA0" w:rsidRPr="003F5CA0" w:rsidRDefault="003F5CA0" w:rsidP="003F5CA0">
      <w:pPr>
        <w:numPr>
          <w:ilvl w:val="0"/>
          <w:numId w:val="7"/>
        </w:numPr>
        <w:rPr>
          <w:lang w:val="fr-FR"/>
        </w:rPr>
      </w:pPr>
      <w:r w:rsidRPr="003F5CA0">
        <w:rPr>
          <w:lang w:val="fr-FR"/>
        </w:rPr>
        <w:t>Kits de sensibilisation pour champions</w:t>
      </w:r>
    </w:p>
    <w:p w14:paraId="6106A527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A6. Monitoring et évaluation</w:t>
      </w:r>
    </w:p>
    <w:p w14:paraId="56FAB0A5" w14:textId="77777777" w:rsidR="003F5CA0" w:rsidRPr="003F5CA0" w:rsidRDefault="003F5CA0" w:rsidP="003F5CA0">
      <w:pPr>
        <w:numPr>
          <w:ilvl w:val="0"/>
          <w:numId w:val="8"/>
        </w:numPr>
        <w:rPr>
          <w:lang w:val="fr-FR"/>
        </w:rPr>
      </w:pPr>
      <w:r w:rsidRPr="003F5CA0">
        <w:rPr>
          <w:lang w:val="fr-FR"/>
        </w:rPr>
        <w:lastRenderedPageBreak/>
        <w:t>Visites de suivi</w:t>
      </w:r>
    </w:p>
    <w:p w14:paraId="6A577DDC" w14:textId="77777777" w:rsidR="003F5CA0" w:rsidRPr="003F5CA0" w:rsidRDefault="003F5CA0" w:rsidP="003F5CA0">
      <w:pPr>
        <w:numPr>
          <w:ilvl w:val="0"/>
          <w:numId w:val="8"/>
        </w:numPr>
        <w:rPr>
          <w:lang w:val="fr-FR"/>
        </w:rPr>
      </w:pPr>
      <w:r w:rsidRPr="003F5CA0">
        <w:rPr>
          <w:lang w:val="fr-FR"/>
        </w:rPr>
        <w:t>Collecte de données</w:t>
      </w:r>
    </w:p>
    <w:p w14:paraId="2352FF8B" w14:textId="37D3727A" w:rsidR="003F5CA0" w:rsidRPr="003F5CA0" w:rsidRDefault="003F5CA0" w:rsidP="003F5CA0">
      <w:pPr>
        <w:numPr>
          <w:ilvl w:val="0"/>
          <w:numId w:val="8"/>
        </w:numPr>
        <w:rPr>
          <w:lang w:val="fr-FR"/>
        </w:rPr>
      </w:pPr>
      <w:r w:rsidRPr="003F5CA0">
        <w:rPr>
          <w:lang w:val="fr-FR"/>
        </w:rPr>
        <w:t>Rapport final</w:t>
      </w:r>
    </w:p>
    <w:p w14:paraId="42224E7D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6. CADRE LOGIQUE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1"/>
        <w:gridCol w:w="2837"/>
        <w:gridCol w:w="2268"/>
        <w:gridCol w:w="1559"/>
        <w:gridCol w:w="1701"/>
      </w:tblGrid>
      <w:tr w:rsidR="003F5CA0" w:rsidRPr="003F5CA0" w14:paraId="07DC53C7" w14:textId="77777777" w:rsidTr="003F5CA0">
        <w:tc>
          <w:tcPr>
            <w:tcW w:w="0" w:type="auto"/>
            <w:hideMark/>
          </w:tcPr>
          <w:p w14:paraId="3929E6D4" w14:textId="77777777" w:rsidR="003F5CA0" w:rsidRPr="003F5CA0" w:rsidRDefault="003F5CA0" w:rsidP="003F5CA0">
            <w:pPr>
              <w:spacing w:after="160" w:line="259" w:lineRule="auto"/>
              <w:rPr>
                <w:b/>
                <w:bCs/>
                <w:lang w:val="fr-FR"/>
              </w:rPr>
            </w:pPr>
            <w:r w:rsidRPr="003F5CA0">
              <w:rPr>
                <w:b/>
                <w:bCs/>
                <w:lang w:val="fr-FR"/>
              </w:rPr>
              <w:t>Niveau</w:t>
            </w:r>
          </w:p>
        </w:tc>
        <w:tc>
          <w:tcPr>
            <w:tcW w:w="2837" w:type="dxa"/>
            <w:hideMark/>
          </w:tcPr>
          <w:p w14:paraId="17892F8E" w14:textId="77777777" w:rsidR="003F5CA0" w:rsidRPr="003F5CA0" w:rsidRDefault="003F5CA0" w:rsidP="003F5CA0">
            <w:pPr>
              <w:spacing w:after="160" w:line="259" w:lineRule="auto"/>
              <w:rPr>
                <w:b/>
                <w:bCs/>
                <w:lang w:val="fr-FR"/>
              </w:rPr>
            </w:pPr>
            <w:r w:rsidRPr="003F5CA0">
              <w:rPr>
                <w:b/>
                <w:bCs/>
                <w:lang w:val="fr-FR"/>
              </w:rPr>
              <w:t>Description</w:t>
            </w:r>
          </w:p>
        </w:tc>
        <w:tc>
          <w:tcPr>
            <w:tcW w:w="2268" w:type="dxa"/>
            <w:hideMark/>
          </w:tcPr>
          <w:p w14:paraId="04F21A94" w14:textId="77777777" w:rsidR="003F5CA0" w:rsidRPr="003F5CA0" w:rsidRDefault="003F5CA0" w:rsidP="003F5CA0">
            <w:pPr>
              <w:spacing w:after="160" w:line="259" w:lineRule="auto"/>
              <w:rPr>
                <w:b/>
                <w:bCs/>
                <w:lang w:val="fr-FR"/>
              </w:rPr>
            </w:pPr>
            <w:r w:rsidRPr="003F5CA0">
              <w:rPr>
                <w:b/>
                <w:bCs/>
                <w:lang w:val="fr-FR"/>
              </w:rPr>
              <w:t>Indicateurs</w:t>
            </w:r>
          </w:p>
        </w:tc>
        <w:tc>
          <w:tcPr>
            <w:tcW w:w="1559" w:type="dxa"/>
            <w:hideMark/>
          </w:tcPr>
          <w:p w14:paraId="56F257E3" w14:textId="77777777" w:rsidR="003F5CA0" w:rsidRPr="003F5CA0" w:rsidRDefault="003F5CA0" w:rsidP="003F5CA0">
            <w:pPr>
              <w:spacing w:after="160" w:line="259" w:lineRule="auto"/>
              <w:rPr>
                <w:b/>
                <w:bCs/>
                <w:lang w:val="fr-FR"/>
              </w:rPr>
            </w:pPr>
            <w:r w:rsidRPr="003F5CA0">
              <w:rPr>
                <w:b/>
                <w:bCs/>
                <w:lang w:val="fr-FR"/>
              </w:rPr>
              <w:t>Sources de vérification</w:t>
            </w:r>
          </w:p>
        </w:tc>
        <w:tc>
          <w:tcPr>
            <w:tcW w:w="1701" w:type="dxa"/>
            <w:hideMark/>
          </w:tcPr>
          <w:p w14:paraId="2A227B2E" w14:textId="77777777" w:rsidR="003F5CA0" w:rsidRPr="003F5CA0" w:rsidRDefault="003F5CA0" w:rsidP="003F5CA0">
            <w:pPr>
              <w:spacing w:after="160" w:line="259" w:lineRule="auto"/>
              <w:rPr>
                <w:b/>
                <w:bCs/>
                <w:lang w:val="fr-FR"/>
              </w:rPr>
            </w:pPr>
            <w:r w:rsidRPr="003F5CA0">
              <w:rPr>
                <w:b/>
                <w:bCs/>
                <w:lang w:val="fr-FR"/>
              </w:rPr>
              <w:t>Hypothèses</w:t>
            </w:r>
          </w:p>
        </w:tc>
      </w:tr>
      <w:tr w:rsidR="003F5CA0" w:rsidRPr="003F5CA0" w14:paraId="6BBB15E1" w14:textId="77777777" w:rsidTr="003F5CA0">
        <w:tc>
          <w:tcPr>
            <w:tcW w:w="0" w:type="auto"/>
            <w:hideMark/>
          </w:tcPr>
          <w:p w14:paraId="2A86B862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b/>
                <w:bCs/>
                <w:lang w:val="fr-FR"/>
              </w:rPr>
              <w:t>Objectif global</w:t>
            </w:r>
          </w:p>
        </w:tc>
        <w:tc>
          <w:tcPr>
            <w:tcW w:w="2837" w:type="dxa"/>
            <w:hideMark/>
          </w:tcPr>
          <w:p w14:paraId="0D5C5F32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Réduction des comportements masculins toxiques et VBG</w:t>
            </w:r>
          </w:p>
        </w:tc>
        <w:tc>
          <w:tcPr>
            <w:tcW w:w="2268" w:type="dxa"/>
            <w:hideMark/>
          </w:tcPr>
          <w:p w14:paraId="2BBCC19B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- % de participants déclarant un changement d’attitude</w:t>
            </w:r>
          </w:p>
        </w:tc>
        <w:tc>
          <w:tcPr>
            <w:tcW w:w="1559" w:type="dxa"/>
            <w:hideMark/>
          </w:tcPr>
          <w:p w14:paraId="035C12E1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Enquêtes, rapports</w:t>
            </w:r>
          </w:p>
        </w:tc>
        <w:tc>
          <w:tcPr>
            <w:tcW w:w="1701" w:type="dxa"/>
            <w:hideMark/>
          </w:tcPr>
          <w:p w14:paraId="7E4D04B8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Engagement communautaire</w:t>
            </w:r>
          </w:p>
        </w:tc>
      </w:tr>
      <w:tr w:rsidR="003F5CA0" w:rsidRPr="003F5CA0" w14:paraId="1F912DC9" w14:textId="77777777" w:rsidTr="003F5CA0">
        <w:tc>
          <w:tcPr>
            <w:tcW w:w="0" w:type="auto"/>
            <w:hideMark/>
          </w:tcPr>
          <w:p w14:paraId="03434F81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b/>
                <w:bCs/>
                <w:lang w:val="fr-FR"/>
              </w:rPr>
              <w:t>Objectifs spécifiques</w:t>
            </w:r>
          </w:p>
        </w:tc>
        <w:tc>
          <w:tcPr>
            <w:tcW w:w="2837" w:type="dxa"/>
            <w:hideMark/>
          </w:tcPr>
          <w:p w14:paraId="484DB798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1. Hommes sensibilisés</w:t>
            </w:r>
            <w:r w:rsidRPr="003F5CA0">
              <w:rPr>
                <w:lang w:val="fr-FR"/>
              </w:rPr>
              <w:br/>
              <w:t>2. Leaders engagés</w:t>
            </w:r>
            <w:r w:rsidRPr="003F5CA0">
              <w:rPr>
                <w:lang w:val="fr-FR"/>
              </w:rPr>
              <w:br/>
              <w:t>3. Dialogue communautaire renforcé</w:t>
            </w:r>
          </w:p>
        </w:tc>
        <w:tc>
          <w:tcPr>
            <w:tcW w:w="2268" w:type="dxa"/>
            <w:hideMark/>
          </w:tcPr>
          <w:p w14:paraId="688910BE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- 1200 hommes sensibilisés</w:t>
            </w:r>
            <w:r w:rsidRPr="003F5CA0">
              <w:rPr>
                <w:lang w:val="fr-FR"/>
              </w:rPr>
              <w:br/>
              <w:t>- 40 champions formés</w:t>
            </w:r>
            <w:r w:rsidRPr="003F5CA0">
              <w:rPr>
                <w:lang w:val="fr-FR"/>
              </w:rPr>
              <w:br/>
              <w:t>- 4 dialogues réalisés</w:t>
            </w:r>
          </w:p>
        </w:tc>
        <w:tc>
          <w:tcPr>
            <w:tcW w:w="1559" w:type="dxa"/>
            <w:hideMark/>
          </w:tcPr>
          <w:p w14:paraId="6D5447A6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Rapports, listes de présence</w:t>
            </w:r>
          </w:p>
        </w:tc>
        <w:tc>
          <w:tcPr>
            <w:tcW w:w="1701" w:type="dxa"/>
            <w:hideMark/>
          </w:tcPr>
          <w:p w14:paraId="554DAA75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Disponibilité des participants</w:t>
            </w:r>
          </w:p>
        </w:tc>
      </w:tr>
      <w:tr w:rsidR="003F5CA0" w:rsidRPr="003F5CA0" w14:paraId="4475A84D" w14:textId="77777777" w:rsidTr="003F5CA0">
        <w:tc>
          <w:tcPr>
            <w:tcW w:w="0" w:type="auto"/>
            <w:hideMark/>
          </w:tcPr>
          <w:p w14:paraId="1F964559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b/>
                <w:bCs/>
                <w:lang w:val="fr-FR"/>
              </w:rPr>
              <w:t>Résultats</w:t>
            </w:r>
          </w:p>
        </w:tc>
        <w:tc>
          <w:tcPr>
            <w:tcW w:w="2837" w:type="dxa"/>
            <w:hideMark/>
          </w:tcPr>
          <w:p w14:paraId="62EF2C30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R1. Éveil communautaire accru</w:t>
            </w:r>
            <w:r w:rsidRPr="003F5CA0">
              <w:rPr>
                <w:lang w:val="fr-FR"/>
              </w:rPr>
              <w:br/>
              <w:t>R2. Leaders outillés</w:t>
            </w:r>
            <w:r w:rsidRPr="003F5CA0">
              <w:rPr>
                <w:lang w:val="fr-FR"/>
              </w:rPr>
              <w:br/>
              <w:t>R3. Communautés impliquées</w:t>
            </w:r>
          </w:p>
        </w:tc>
        <w:tc>
          <w:tcPr>
            <w:tcW w:w="2268" w:type="dxa"/>
            <w:hideMark/>
          </w:tcPr>
          <w:p w14:paraId="0C7F2ADF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- 8 séances tenues</w:t>
            </w:r>
            <w:r w:rsidRPr="003F5CA0">
              <w:rPr>
                <w:lang w:val="fr-FR"/>
              </w:rPr>
              <w:br/>
              <w:t>- 40 leaders formés</w:t>
            </w:r>
            <w:r w:rsidRPr="003F5CA0">
              <w:rPr>
                <w:lang w:val="fr-FR"/>
              </w:rPr>
              <w:br/>
              <w:t>- 200 affiches diffusées</w:t>
            </w:r>
          </w:p>
        </w:tc>
        <w:tc>
          <w:tcPr>
            <w:tcW w:w="1559" w:type="dxa"/>
            <w:hideMark/>
          </w:tcPr>
          <w:p w14:paraId="059C630A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Photos, PV</w:t>
            </w:r>
          </w:p>
        </w:tc>
        <w:tc>
          <w:tcPr>
            <w:tcW w:w="1701" w:type="dxa"/>
            <w:hideMark/>
          </w:tcPr>
          <w:p w14:paraId="5B9028AF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Accès sécurisé aux localités</w:t>
            </w:r>
          </w:p>
        </w:tc>
      </w:tr>
      <w:tr w:rsidR="003F5CA0" w:rsidRPr="003F5CA0" w14:paraId="54E4C05E" w14:textId="77777777" w:rsidTr="003F5CA0">
        <w:tc>
          <w:tcPr>
            <w:tcW w:w="0" w:type="auto"/>
            <w:hideMark/>
          </w:tcPr>
          <w:p w14:paraId="70C66CEF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b/>
                <w:bCs/>
                <w:lang w:val="fr-FR"/>
              </w:rPr>
              <w:t>Activités</w:t>
            </w:r>
          </w:p>
        </w:tc>
        <w:tc>
          <w:tcPr>
            <w:tcW w:w="2837" w:type="dxa"/>
            <w:hideMark/>
          </w:tcPr>
          <w:p w14:paraId="074DFA4C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A1 à A6</w:t>
            </w:r>
          </w:p>
        </w:tc>
        <w:tc>
          <w:tcPr>
            <w:tcW w:w="2268" w:type="dxa"/>
            <w:hideMark/>
          </w:tcPr>
          <w:p w14:paraId="5587F79F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Voir budget</w:t>
            </w:r>
          </w:p>
        </w:tc>
        <w:tc>
          <w:tcPr>
            <w:tcW w:w="1559" w:type="dxa"/>
            <w:hideMark/>
          </w:tcPr>
          <w:p w14:paraId="5C336993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Rapports d’activités</w:t>
            </w:r>
          </w:p>
        </w:tc>
        <w:tc>
          <w:tcPr>
            <w:tcW w:w="1701" w:type="dxa"/>
            <w:hideMark/>
          </w:tcPr>
          <w:p w14:paraId="3B660BF0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Pas d’insécurité majeure</w:t>
            </w:r>
          </w:p>
        </w:tc>
      </w:tr>
    </w:tbl>
    <w:p w14:paraId="10F7560E" w14:textId="46D07AF2" w:rsidR="003F5CA0" w:rsidRPr="003F5CA0" w:rsidRDefault="003F5CA0" w:rsidP="003F5CA0">
      <w:pPr>
        <w:rPr>
          <w:lang w:val="fr-FR"/>
        </w:rPr>
      </w:pPr>
    </w:p>
    <w:p w14:paraId="7BAD235C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8. BUDGET DU PROJET (5 000 USD)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3F5CA0" w:rsidRPr="003F5CA0" w14:paraId="292D8367" w14:textId="77777777" w:rsidTr="003F5CA0">
        <w:tc>
          <w:tcPr>
            <w:tcW w:w="7508" w:type="dxa"/>
            <w:hideMark/>
          </w:tcPr>
          <w:p w14:paraId="3C327D2E" w14:textId="77777777" w:rsidR="003F5CA0" w:rsidRPr="003F5CA0" w:rsidRDefault="003F5CA0" w:rsidP="003F5CA0">
            <w:pPr>
              <w:spacing w:after="160" w:line="259" w:lineRule="auto"/>
              <w:rPr>
                <w:b/>
                <w:bCs/>
                <w:lang w:val="fr-FR"/>
              </w:rPr>
            </w:pPr>
            <w:r w:rsidRPr="003F5CA0">
              <w:rPr>
                <w:b/>
                <w:bCs/>
                <w:lang w:val="fr-FR"/>
              </w:rPr>
              <w:t>Rubrique</w:t>
            </w:r>
          </w:p>
        </w:tc>
        <w:tc>
          <w:tcPr>
            <w:tcW w:w="1843" w:type="dxa"/>
            <w:hideMark/>
          </w:tcPr>
          <w:p w14:paraId="77F911D1" w14:textId="77777777" w:rsidR="003F5CA0" w:rsidRPr="003F5CA0" w:rsidRDefault="003F5CA0" w:rsidP="003F5CA0">
            <w:pPr>
              <w:spacing w:after="160" w:line="259" w:lineRule="auto"/>
              <w:rPr>
                <w:b/>
                <w:bCs/>
                <w:lang w:val="fr-FR"/>
              </w:rPr>
            </w:pPr>
            <w:r w:rsidRPr="003F5CA0">
              <w:rPr>
                <w:b/>
                <w:bCs/>
                <w:lang w:val="fr-FR"/>
              </w:rPr>
              <w:t>Coût (USD)</w:t>
            </w:r>
          </w:p>
        </w:tc>
      </w:tr>
      <w:tr w:rsidR="003F5CA0" w:rsidRPr="003F5CA0" w14:paraId="3F935ACD" w14:textId="77777777" w:rsidTr="003F5CA0">
        <w:tc>
          <w:tcPr>
            <w:tcW w:w="7508" w:type="dxa"/>
            <w:hideMark/>
          </w:tcPr>
          <w:p w14:paraId="5216BF4A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A1. Coordination et lancement du projet</w:t>
            </w:r>
          </w:p>
        </w:tc>
        <w:tc>
          <w:tcPr>
            <w:tcW w:w="1843" w:type="dxa"/>
            <w:hideMark/>
          </w:tcPr>
          <w:p w14:paraId="4DB54E8D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300</w:t>
            </w:r>
          </w:p>
        </w:tc>
      </w:tr>
      <w:tr w:rsidR="003F5CA0" w:rsidRPr="003F5CA0" w14:paraId="68530B45" w14:textId="77777777" w:rsidTr="003F5CA0">
        <w:tc>
          <w:tcPr>
            <w:tcW w:w="7508" w:type="dxa"/>
            <w:hideMark/>
          </w:tcPr>
          <w:p w14:paraId="130F53AD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A2. Sensibilisations communautaires (8 séances)</w:t>
            </w:r>
          </w:p>
        </w:tc>
        <w:tc>
          <w:tcPr>
            <w:tcW w:w="1843" w:type="dxa"/>
            <w:hideMark/>
          </w:tcPr>
          <w:p w14:paraId="4E09C839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1 200</w:t>
            </w:r>
          </w:p>
        </w:tc>
      </w:tr>
      <w:tr w:rsidR="003F5CA0" w:rsidRPr="003F5CA0" w14:paraId="70EC86E3" w14:textId="77777777" w:rsidTr="003F5CA0">
        <w:tc>
          <w:tcPr>
            <w:tcW w:w="7508" w:type="dxa"/>
            <w:hideMark/>
          </w:tcPr>
          <w:p w14:paraId="54E44ABB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A3. Formation de 40 champions + kits</w:t>
            </w:r>
          </w:p>
        </w:tc>
        <w:tc>
          <w:tcPr>
            <w:tcW w:w="1843" w:type="dxa"/>
            <w:hideMark/>
          </w:tcPr>
          <w:p w14:paraId="5513BAA7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1 000</w:t>
            </w:r>
          </w:p>
        </w:tc>
      </w:tr>
      <w:tr w:rsidR="003F5CA0" w:rsidRPr="003F5CA0" w14:paraId="3E81FF09" w14:textId="77777777" w:rsidTr="003F5CA0">
        <w:tc>
          <w:tcPr>
            <w:tcW w:w="7508" w:type="dxa"/>
            <w:hideMark/>
          </w:tcPr>
          <w:p w14:paraId="3CFF93B9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A4. Dialogues hommes-femmes (4 dialogues)</w:t>
            </w:r>
          </w:p>
        </w:tc>
        <w:tc>
          <w:tcPr>
            <w:tcW w:w="1843" w:type="dxa"/>
            <w:hideMark/>
          </w:tcPr>
          <w:p w14:paraId="33D2F15B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700</w:t>
            </w:r>
          </w:p>
        </w:tc>
      </w:tr>
      <w:tr w:rsidR="003F5CA0" w:rsidRPr="003F5CA0" w14:paraId="38CBAFB1" w14:textId="77777777" w:rsidTr="003F5CA0">
        <w:tc>
          <w:tcPr>
            <w:tcW w:w="7508" w:type="dxa"/>
            <w:hideMark/>
          </w:tcPr>
          <w:p w14:paraId="1C21C0FB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A5. Outils de sensibilisation (affiches, radios)</w:t>
            </w:r>
          </w:p>
        </w:tc>
        <w:tc>
          <w:tcPr>
            <w:tcW w:w="1843" w:type="dxa"/>
            <w:hideMark/>
          </w:tcPr>
          <w:p w14:paraId="55F52650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800</w:t>
            </w:r>
          </w:p>
        </w:tc>
      </w:tr>
      <w:tr w:rsidR="003F5CA0" w:rsidRPr="003F5CA0" w14:paraId="244E0963" w14:textId="77777777" w:rsidTr="003F5CA0">
        <w:tc>
          <w:tcPr>
            <w:tcW w:w="7508" w:type="dxa"/>
            <w:hideMark/>
          </w:tcPr>
          <w:p w14:paraId="791FF0F7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A6. Monitoring, transport et communication</w:t>
            </w:r>
          </w:p>
        </w:tc>
        <w:tc>
          <w:tcPr>
            <w:tcW w:w="1843" w:type="dxa"/>
            <w:hideMark/>
          </w:tcPr>
          <w:p w14:paraId="596C2180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lang w:val="fr-FR"/>
              </w:rPr>
              <w:t>700</w:t>
            </w:r>
          </w:p>
        </w:tc>
      </w:tr>
      <w:tr w:rsidR="003F5CA0" w:rsidRPr="003F5CA0" w14:paraId="2CAD3940" w14:textId="77777777" w:rsidTr="003F5CA0">
        <w:tc>
          <w:tcPr>
            <w:tcW w:w="7508" w:type="dxa"/>
            <w:hideMark/>
          </w:tcPr>
          <w:p w14:paraId="60CAE54B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b/>
                <w:bCs/>
                <w:lang w:val="fr-FR"/>
              </w:rPr>
              <w:t>TOTAL</w:t>
            </w:r>
          </w:p>
        </w:tc>
        <w:tc>
          <w:tcPr>
            <w:tcW w:w="1843" w:type="dxa"/>
            <w:hideMark/>
          </w:tcPr>
          <w:p w14:paraId="62CB4F47" w14:textId="77777777" w:rsidR="003F5CA0" w:rsidRPr="003F5CA0" w:rsidRDefault="003F5CA0" w:rsidP="003F5CA0">
            <w:pPr>
              <w:spacing w:after="160" w:line="259" w:lineRule="auto"/>
              <w:rPr>
                <w:lang w:val="fr-FR"/>
              </w:rPr>
            </w:pPr>
            <w:r w:rsidRPr="003F5CA0">
              <w:rPr>
                <w:b/>
                <w:bCs/>
                <w:lang w:val="fr-FR"/>
              </w:rPr>
              <w:t>5 000 USD</w:t>
            </w:r>
          </w:p>
        </w:tc>
      </w:tr>
    </w:tbl>
    <w:p w14:paraId="0C7A19A8" w14:textId="18C00575" w:rsidR="003F5CA0" w:rsidRPr="003F5CA0" w:rsidRDefault="003F5CA0" w:rsidP="003F5CA0">
      <w:pPr>
        <w:rPr>
          <w:lang w:val="fr-FR"/>
        </w:rPr>
      </w:pPr>
    </w:p>
    <w:p w14:paraId="4336E77F" w14:textId="77777777" w:rsidR="003F5CA0" w:rsidRPr="003F5CA0" w:rsidRDefault="003F5CA0" w:rsidP="003F5CA0">
      <w:pPr>
        <w:rPr>
          <w:b/>
          <w:bCs/>
          <w:lang w:val="fr-FR"/>
        </w:rPr>
      </w:pPr>
      <w:r w:rsidRPr="003F5CA0">
        <w:rPr>
          <w:b/>
          <w:bCs/>
          <w:lang w:val="fr-FR"/>
        </w:rPr>
        <w:t>9. RÉSULTATS ATTENDUS</w:t>
      </w:r>
    </w:p>
    <w:p w14:paraId="2C5BC615" w14:textId="77777777" w:rsidR="003F5CA0" w:rsidRPr="003F5CA0" w:rsidRDefault="003F5CA0" w:rsidP="003F5CA0">
      <w:pPr>
        <w:numPr>
          <w:ilvl w:val="0"/>
          <w:numId w:val="9"/>
        </w:numPr>
        <w:rPr>
          <w:lang w:val="fr-FR"/>
        </w:rPr>
      </w:pPr>
      <w:r w:rsidRPr="003F5CA0">
        <w:rPr>
          <w:lang w:val="fr-FR"/>
        </w:rPr>
        <w:lastRenderedPageBreak/>
        <w:t>1 200 hommes et garçons adoptent des attitudes basées sur la non-violence, la responsabilité et le respect.</w:t>
      </w:r>
    </w:p>
    <w:p w14:paraId="57CAF064" w14:textId="77777777" w:rsidR="003F5CA0" w:rsidRPr="003F5CA0" w:rsidRDefault="003F5CA0" w:rsidP="003F5CA0">
      <w:pPr>
        <w:numPr>
          <w:ilvl w:val="0"/>
          <w:numId w:val="9"/>
        </w:numPr>
        <w:rPr>
          <w:lang w:val="fr-FR"/>
        </w:rPr>
      </w:pPr>
      <w:r w:rsidRPr="003F5CA0">
        <w:rPr>
          <w:lang w:val="fr-FR"/>
        </w:rPr>
        <w:t>40 leaders deviennent des champions actifs dans leurs communautés.</w:t>
      </w:r>
    </w:p>
    <w:p w14:paraId="1F750139" w14:textId="77777777" w:rsidR="003F5CA0" w:rsidRPr="003F5CA0" w:rsidRDefault="003F5CA0" w:rsidP="003F5CA0">
      <w:pPr>
        <w:numPr>
          <w:ilvl w:val="0"/>
          <w:numId w:val="9"/>
        </w:numPr>
        <w:rPr>
          <w:lang w:val="fr-FR"/>
        </w:rPr>
      </w:pPr>
      <w:r w:rsidRPr="003F5CA0">
        <w:rPr>
          <w:lang w:val="fr-FR"/>
        </w:rPr>
        <w:t>Diminution observable des discours et comportements violents dans les familles et villages.</w:t>
      </w:r>
    </w:p>
    <w:p w14:paraId="66BCB9D4" w14:textId="77777777" w:rsidR="003F5CA0" w:rsidRPr="003F5CA0" w:rsidRDefault="003F5CA0" w:rsidP="003F5CA0">
      <w:pPr>
        <w:numPr>
          <w:ilvl w:val="0"/>
          <w:numId w:val="9"/>
        </w:numPr>
        <w:rPr>
          <w:lang w:val="fr-FR"/>
        </w:rPr>
      </w:pPr>
      <w:r w:rsidRPr="003F5CA0">
        <w:rPr>
          <w:lang w:val="fr-FR"/>
        </w:rPr>
        <w:t>Création d’un mouvement communautaire d’hommes engagés dans la promotion de la masculinité positive.</w:t>
      </w:r>
    </w:p>
    <w:p w14:paraId="451E618F" w14:textId="77777777" w:rsidR="00567A79" w:rsidRPr="003F5CA0" w:rsidRDefault="00567A79">
      <w:pPr>
        <w:rPr>
          <w:lang w:val="fr-FR"/>
        </w:rPr>
      </w:pPr>
    </w:p>
    <w:sectPr w:rsidR="00567A79" w:rsidRPr="003F5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A3E"/>
    <w:multiLevelType w:val="multilevel"/>
    <w:tmpl w:val="C9A2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E2FFD"/>
    <w:multiLevelType w:val="multilevel"/>
    <w:tmpl w:val="89C6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21A3B"/>
    <w:multiLevelType w:val="multilevel"/>
    <w:tmpl w:val="1E40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276A6"/>
    <w:multiLevelType w:val="multilevel"/>
    <w:tmpl w:val="443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00693"/>
    <w:multiLevelType w:val="multilevel"/>
    <w:tmpl w:val="C2A2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F7DBE"/>
    <w:multiLevelType w:val="multilevel"/>
    <w:tmpl w:val="8844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F52F5"/>
    <w:multiLevelType w:val="multilevel"/>
    <w:tmpl w:val="6AB8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675DB"/>
    <w:multiLevelType w:val="multilevel"/>
    <w:tmpl w:val="37A4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95574"/>
    <w:multiLevelType w:val="multilevel"/>
    <w:tmpl w:val="124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982607">
    <w:abstractNumId w:val="2"/>
  </w:num>
  <w:num w:numId="2" w16cid:durableId="1157651514">
    <w:abstractNumId w:val="5"/>
  </w:num>
  <w:num w:numId="3" w16cid:durableId="2071994235">
    <w:abstractNumId w:val="7"/>
  </w:num>
  <w:num w:numId="4" w16cid:durableId="1328050716">
    <w:abstractNumId w:val="6"/>
  </w:num>
  <w:num w:numId="5" w16cid:durableId="1768035005">
    <w:abstractNumId w:val="8"/>
  </w:num>
  <w:num w:numId="6" w16cid:durableId="1096289186">
    <w:abstractNumId w:val="3"/>
  </w:num>
  <w:num w:numId="7" w16cid:durableId="1905292697">
    <w:abstractNumId w:val="0"/>
  </w:num>
  <w:num w:numId="8" w16cid:durableId="1667976694">
    <w:abstractNumId w:val="4"/>
  </w:num>
  <w:num w:numId="9" w16cid:durableId="23274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66"/>
    <w:rsid w:val="003F5CA0"/>
    <w:rsid w:val="00567A79"/>
    <w:rsid w:val="00911E66"/>
    <w:rsid w:val="00F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51AB"/>
  <w15:chartTrackingRefBased/>
  <w15:docId w15:val="{FA3EBF2A-16F5-4F4B-939E-2126D588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E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E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E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E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E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E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E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E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E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E6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F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BAGALWA</dc:creator>
  <cp:keywords/>
  <dc:description/>
  <cp:lastModifiedBy>François BAGALWA</cp:lastModifiedBy>
  <cp:revision>2</cp:revision>
  <dcterms:created xsi:type="dcterms:W3CDTF">2025-11-18T07:57:00Z</dcterms:created>
  <dcterms:modified xsi:type="dcterms:W3CDTF">2025-11-18T08:00:00Z</dcterms:modified>
</cp:coreProperties>
</file>