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5567" w14:textId="21062B69" w:rsidR="00805F00" w:rsidRPr="00D009D9" w:rsidRDefault="00805F00" w:rsidP="00481CB1">
      <w:pPr>
        <w:rPr>
          <w:rFonts w:asciiTheme="majorHAnsi" w:hAnsiTheme="majorHAnsi" w:cstheme="majorHAnsi"/>
          <w:b/>
          <w:bCs/>
        </w:rPr>
      </w:pPr>
      <w:r w:rsidRPr="00D009D9">
        <w:rPr>
          <w:rFonts w:asciiTheme="majorHAnsi" w:hAnsiTheme="majorHAnsi" w:cstheme="majorHAnsi"/>
          <w:b/>
          <w:bCs/>
        </w:rPr>
        <w:t xml:space="preserve">Food Security- Help </w:t>
      </w:r>
      <w:r w:rsidR="00A501D5" w:rsidRPr="00D009D9">
        <w:rPr>
          <w:rFonts w:asciiTheme="majorHAnsi" w:hAnsiTheme="majorHAnsi" w:cstheme="majorHAnsi"/>
          <w:b/>
          <w:bCs/>
        </w:rPr>
        <w:t>5000</w:t>
      </w:r>
      <w:r w:rsidRPr="00D009D9">
        <w:rPr>
          <w:rFonts w:asciiTheme="majorHAnsi" w:hAnsiTheme="majorHAnsi" w:cstheme="majorHAnsi"/>
          <w:b/>
          <w:bCs/>
        </w:rPr>
        <w:t xml:space="preserve"> Children Nutrition Kits</w:t>
      </w:r>
    </w:p>
    <w:p w14:paraId="606D3E9A" w14:textId="28BB66A8" w:rsidR="00481CB1" w:rsidRPr="00D009D9" w:rsidRDefault="00481CB1" w:rsidP="00481CB1">
      <w:pPr>
        <w:rPr>
          <w:rFonts w:asciiTheme="majorHAnsi" w:hAnsiTheme="majorHAnsi" w:cstheme="majorHAnsi"/>
        </w:rPr>
      </w:pPr>
      <w:r w:rsidRPr="00D009D9">
        <w:rPr>
          <w:rFonts w:asciiTheme="majorHAnsi" w:hAnsiTheme="majorHAnsi" w:cstheme="majorHAnsi"/>
          <w:b/>
          <w:bCs/>
        </w:rPr>
        <w:t>$</w:t>
      </w:r>
      <w:r w:rsidR="0061261F">
        <w:rPr>
          <w:rFonts w:asciiTheme="majorHAnsi" w:hAnsiTheme="majorHAnsi" w:cstheme="majorHAnsi"/>
          <w:b/>
          <w:bCs/>
        </w:rPr>
        <w:t>600</w:t>
      </w:r>
      <w:r w:rsidRPr="00D009D9">
        <w:rPr>
          <w:rFonts w:asciiTheme="majorHAnsi" w:hAnsiTheme="majorHAnsi" w:cstheme="majorHAnsi"/>
          <w:b/>
          <w:bCs/>
        </w:rPr>
        <w:t>,</w:t>
      </w:r>
      <w:r w:rsidR="00805F00" w:rsidRPr="00D009D9">
        <w:rPr>
          <w:rFonts w:asciiTheme="majorHAnsi" w:hAnsiTheme="majorHAnsi" w:cstheme="majorHAnsi"/>
          <w:b/>
          <w:bCs/>
        </w:rPr>
        <w:t>000</w:t>
      </w:r>
      <w:r w:rsidRPr="00D009D9">
        <w:rPr>
          <w:rFonts w:asciiTheme="majorHAnsi" w:hAnsiTheme="majorHAnsi" w:cstheme="majorHAnsi"/>
        </w:rPr>
        <w:t> Donation Goal</w:t>
      </w:r>
    </w:p>
    <w:p w14:paraId="5A0777FB" w14:textId="10077B48" w:rsidR="00481CB1" w:rsidRPr="00D009D9" w:rsidRDefault="00481CB1" w:rsidP="00481CB1">
      <w:pPr>
        <w:rPr>
          <w:rFonts w:asciiTheme="majorHAnsi" w:hAnsiTheme="majorHAnsi" w:cstheme="majorHAnsi"/>
          <w:b/>
          <w:bCs/>
        </w:rPr>
      </w:pPr>
      <w:r w:rsidRPr="00D009D9">
        <w:rPr>
          <w:rFonts w:asciiTheme="majorHAnsi" w:hAnsiTheme="majorHAnsi" w:cstheme="majorHAnsi"/>
          <w:b/>
          <w:bCs/>
        </w:rPr>
        <w:t xml:space="preserve">Project </w:t>
      </w:r>
      <w:r w:rsidR="002F55EB" w:rsidRPr="00D009D9">
        <w:rPr>
          <w:rFonts w:asciiTheme="majorHAnsi" w:hAnsiTheme="majorHAnsi" w:cstheme="majorHAnsi"/>
          <w:b/>
          <w:bCs/>
        </w:rPr>
        <w:t>Summary</w:t>
      </w:r>
    </w:p>
    <w:p w14:paraId="38BF3DDE" w14:textId="77777777" w:rsidR="002F55EB" w:rsidRPr="00D009D9" w:rsidRDefault="002F55EB" w:rsidP="00481CB1">
      <w:pPr>
        <w:rPr>
          <w:rFonts w:asciiTheme="majorHAnsi" w:hAnsiTheme="majorHAnsi" w:cstheme="majorHAnsi"/>
        </w:rPr>
      </w:pPr>
      <w:r w:rsidRPr="00D009D9">
        <w:rPr>
          <w:rFonts w:asciiTheme="majorHAnsi" w:hAnsiTheme="majorHAnsi" w:cstheme="majorHAnsi"/>
        </w:rPr>
        <w:t xml:space="preserve">To improve the nutritional health and overall well-being of 5,000 children aged 1 to 18 years, with a special focus on those from women-headed families and households affected by HIV/AIDS, through the provision of essential nutrition, health monitoring, and awareness programs. This initiative aims to reduce malnutrition, </w:t>
      </w:r>
      <w:proofErr w:type="spellStart"/>
      <w:r w:rsidRPr="00D009D9">
        <w:rPr>
          <w:rFonts w:asciiTheme="majorHAnsi" w:hAnsiTheme="majorHAnsi" w:cstheme="majorHAnsi"/>
        </w:rPr>
        <w:t>anemia</w:t>
      </w:r>
      <w:proofErr w:type="spellEnd"/>
      <w:r w:rsidRPr="00D009D9">
        <w:rPr>
          <w:rFonts w:asciiTheme="majorHAnsi" w:hAnsiTheme="majorHAnsi" w:cstheme="majorHAnsi"/>
        </w:rPr>
        <w:t>, and growth stunting, particularly among marginalized and vulnerable groups, contributing to long-term community health.</w:t>
      </w:r>
    </w:p>
    <w:p w14:paraId="6B92B072" w14:textId="0DC4EC1B" w:rsidR="00481CB1" w:rsidRPr="00D009D9" w:rsidRDefault="00481CB1" w:rsidP="00481CB1">
      <w:pPr>
        <w:rPr>
          <w:rFonts w:asciiTheme="majorHAnsi" w:hAnsiTheme="majorHAnsi" w:cstheme="majorHAnsi"/>
        </w:rPr>
      </w:pPr>
      <w:r w:rsidRPr="00D009D9">
        <w:rPr>
          <w:rFonts w:asciiTheme="majorHAnsi" w:hAnsiTheme="majorHAnsi" w:cstheme="majorHAnsi"/>
          <w:b/>
          <w:bCs/>
          <w:highlight w:val="yellow"/>
        </w:rPr>
        <w:t xml:space="preserve">Nutrition kit for Rural Children = </w:t>
      </w:r>
      <w:r w:rsidR="00805F00" w:rsidRPr="00D009D9">
        <w:rPr>
          <w:rFonts w:asciiTheme="majorHAnsi" w:hAnsiTheme="majorHAnsi" w:cstheme="majorHAnsi"/>
          <w:b/>
          <w:bCs/>
          <w:highlight w:val="yellow"/>
        </w:rPr>
        <w:t>50</w:t>
      </w:r>
      <w:r w:rsidRPr="00D009D9">
        <w:rPr>
          <w:rFonts w:asciiTheme="majorHAnsi" w:hAnsiTheme="majorHAnsi" w:cstheme="majorHAnsi"/>
          <w:b/>
          <w:bCs/>
          <w:highlight w:val="yellow"/>
        </w:rPr>
        <w:t>00 children X 12 months X 10</w:t>
      </w:r>
      <w:r w:rsidR="00805F00" w:rsidRPr="00D009D9">
        <w:rPr>
          <w:rFonts w:asciiTheme="majorHAnsi" w:hAnsiTheme="majorHAnsi" w:cstheme="majorHAnsi"/>
          <w:b/>
          <w:bCs/>
          <w:highlight w:val="yellow"/>
        </w:rPr>
        <w:t xml:space="preserve"> </w:t>
      </w:r>
      <w:r w:rsidRPr="00D009D9">
        <w:rPr>
          <w:rFonts w:asciiTheme="majorHAnsi" w:hAnsiTheme="majorHAnsi" w:cstheme="majorHAnsi"/>
          <w:b/>
          <w:bCs/>
          <w:highlight w:val="yellow"/>
        </w:rPr>
        <w:t xml:space="preserve">USD = </w:t>
      </w:r>
      <w:r w:rsidR="0061261F">
        <w:rPr>
          <w:rFonts w:asciiTheme="majorHAnsi" w:hAnsiTheme="majorHAnsi" w:cstheme="majorHAnsi"/>
          <w:b/>
          <w:bCs/>
          <w:highlight w:val="yellow"/>
        </w:rPr>
        <w:t>600</w:t>
      </w:r>
      <w:r w:rsidRPr="00D009D9">
        <w:rPr>
          <w:rFonts w:asciiTheme="majorHAnsi" w:hAnsiTheme="majorHAnsi" w:cstheme="majorHAnsi"/>
          <w:b/>
          <w:bCs/>
          <w:highlight w:val="yellow"/>
        </w:rPr>
        <w:t>,0</w:t>
      </w:r>
      <w:r w:rsidR="00805F00" w:rsidRPr="00D009D9">
        <w:rPr>
          <w:rFonts w:asciiTheme="majorHAnsi" w:hAnsiTheme="majorHAnsi" w:cstheme="majorHAnsi"/>
          <w:b/>
          <w:bCs/>
          <w:highlight w:val="yellow"/>
        </w:rPr>
        <w:t>00</w:t>
      </w:r>
      <w:r w:rsidRPr="00D009D9">
        <w:rPr>
          <w:rFonts w:asciiTheme="majorHAnsi" w:hAnsiTheme="majorHAnsi" w:cstheme="majorHAnsi"/>
          <w:b/>
          <w:bCs/>
          <w:highlight w:val="yellow"/>
        </w:rPr>
        <w:t xml:space="preserve"> USD</w:t>
      </w:r>
      <w:r w:rsidRPr="00D009D9">
        <w:rPr>
          <w:rFonts w:asciiTheme="majorHAnsi" w:hAnsiTheme="majorHAnsi" w:cstheme="majorHAnsi"/>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8"/>
        <w:gridCol w:w="2723"/>
      </w:tblGrid>
      <w:tr w:rsidR="006A58C3" w:rsidRPr="006A58C3" w14:paraId="2B5524CE" w14:textId="77777777">
        <w:trPr>
          <w:tblCellSpacing w:w="15" w:type="dxa"/>
        </w:trPr>
        <w:tc>
          <w:tcPr>
            <w:tcW w:w="0" w:type="auto"/>
            <w:vAlign w:val="center"/>
            <w:hideMark/>
          </w:tcPr>
          <w:p w14:paraId="6782A7C8"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1 Kit – USD 10</w:t>
            </w:r>
          </w:p>
        </w:tc>
        <w:tc>
          <w:tcPr>
            <w:tcW w:w="0" w:type="auto"/>
            <w:vAlign w:val="center"/>
            <w:hideMark/>
          </w:tcPr>
          <w:p w14:paraId="1A6B8EE2" w14:textId="32C9D81D" w:rsidR="006A58C3" w:rsidRPr="006A58C3" w:rsidRDefault="006A58C3" w:rsidP="006A58C3">
            <w:pPr>
              <w:rPr>
                <w:rFonts w:asciiTheme="majorHAnsi" w:hAnsiTheme="majorHAnsi" w:cstheme="majorHAnsi"/>
              </w:rPr>
            </w:pPr>
            <w:r w:rsidRPr="00D009D9">
              <w:rPr>
                <w:rFonts w:asciiTheme="majorHAnsi" w:hAnsiTheme="majorHAnsi" w:cstheme="majorHAnsi"/>
              </w:rPr>
              <w:t>Give 1 Kits. Nourish 1 Futures.</w:t>
            </w:r>
          </w:p>
        </w:tc>
      </w:tr>
    </w:tbl>
    <w:p w14:paraId="7C71CF38" w14:textId="77777777" w:rsidR="006A58C3" w:rsidRPr="006A58C3" w:rsidRDefault="006A58C3" w:rsidP="006A58C3">
      <w:pPr>
        <w:rPr>
          <w:rFonts w:asciiTheme="majorHAnsi" w:hAnsiTheme="majorHAnsi" w:cstheme="maj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3"/>
        <w:gridCol w:w="2723"/>
      </w:tblGrid>
      <w:tr w:rsidR="006A58C3" w:rsidRPr="006A58C3" w14:paraId="6B0709DF" w14:textId="77777777">
        <w:trPr>
          <w:tblCellSpacing w:w="15" w:type="dxa"/>
        </w:trPr>
        <w:tc>
          <w:tcPr>
            <w:tcW w:w="0" w:type="auto"/>
            <w:vAlign w:val="center"/>
            <w:hideMark/>
          </w:tcPr>
          <w:p w14:paraId="35279620"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5 Kits – USD 50</w:t>
            </w:r>
          </w:p>
        </w:tc>
        <w:tc>
          <w:tcPr>
            <w:tcW w:w="0" w:type="auto"/>
            <w:vAlign w:val="center"/>
            <w:hideMark/>
          </w:tcPr>
          <w:p w14:paraId="4AB709FD" w14:textId="177CDDFC" w:rsidR="006A58C3" w:rsidRPr="006A58C3" w:rsidRDefault="006A58C3" w:rsidP="006A58C3">
            <w:pPr>
              <w:rPr>
                <w:rFonts w:asciiTheme="majorHAnsi" w:hAnsiTheme="majorHAnsi" w:cstheme="majorHAnsi"/>
              </w:rPr>
            </w:pPr>
            <w:r w:rsidRPr="00D009D9">
              <w:rPr>
                <w:rFonts w:asciiTheme="majorHAnsi" w:hAnsiTheme="majorHAnsi" w:cstheme="majorHAnsi"/>
              </w:rPr>
              <w:t>Give 5 Kits. Nourish 5 Futures.</w:t>
            </w:r>
          </w:p>
        </w:tc>
      </w:tr>
    </w:tbl>
    <w:p w14:paraId="08129D7C" w14:textId="77777777" w:rsidR="006A58C3" w:rsidRPr="006A58C3" w:rsidRDefault="006A58C3" w:rsidP="006A58C3">
      <w:pPr>
        <w:rPr>
          <w:rFonts w:asciiTheme="majorHAnsi" w:hAnsiTheme="majorHAnsi" w:cstheme="maj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2946"/>
      </w:tblGrid>
      <w:tr w:rsidR="006A58C3" w:rsidRPr="006A58C3" w14:paraId="1F4ABBE0" w14:textId="77777777">
        <w:trPr>
          <w:tblCellSpacing w:w="15" w:type="dxa"/>
        </w:trPr>
        <w:tc>
          <w:tcPr>
            <w:tcW w:w="0" w:type="auto"/>
            <w:vAlign w:val="center"/>
            <w:hideMark/>
          </w:tcPr>
          <w:p w14:paraId="4D30600F"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10 Kits – USD 100</w:t>
            </w:r>
          </w:p>
        </w:tc>
        <w:tc>
          <w:tcPr>
            <w:tcW w:w="0" w:type="auto"/>
            <w:vAlign w:val="center"/>
            <w:hideMark/>
          </w:tcPr>
          <w:p w14:paraId="53E1FA43" w14:textId="18648A7D" w:rsidR="006A58C3" w:rsidRPr="006A58C3" w:rsidRDefault="006A58C3" w:rsidP="006A58C3">
            <w:pPr>
              <w:rPr>
                <w:rFonts w:asciiTheme="majorHAnsi" w:hAnsiTheme="majorHAnsi" w:cstheme="majorHAnsi"/>
              </w:rPr>
            </w:pPr>
            <w:r w:rsidRPr="00D009D9">
              <w:rPr>
                <w:rFonts w:asciiTheme="majorHAnsi" w:hAnsiTheme="majorHAnsi" w:cstheme="majorHAnsi"/>
              </w:rPr>
              <w:t>Give 10 Kits. Nourish 10 Futures.</w:t>
            </w:r>
          </w:p>
        </w:tc>
      </w:tr>
    </w:tbl>
    <w:p w14:paraId="11164A8F" w14:textId="77777777" w:rsidR="006A58C3" w:rsidRPr="006A58C3" w:rsidRDefault="006A58C3" w:rsidP="006A58C3">
      <w:pPr>
        <w:rPr>
          <w:rFonts w:asciiTheme="majorHAnsi" w:hAnsiTheme="majorHAnsi" w:cstheme="maj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2946"/>
      </w:tblGrid>
      <w:tr w:rsidR="006A58C3" w:rsidRPr="006A58C3" w14:paraId="601F7C4B" w14:textId="77777777">
        <w:trPr>
          <w:tblCellSpacing w:w="15" w:type="dxa"/>
        </w:trPr>
        <w:tc>
          <w:tcPr>
            <w:tcW w:w="0" w:type="auto"/>
            <w:vAlign w:val="center"/>
            <w:hideMark/>
          </w:tcPr>
          <w:p w14:paraId="1F36FCAF"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25 Kits – USD 250</w:t>
            </w:r>
          </w:p>
        </w:tc>
        <w:tc>
          <w:tcPr>
            <w:tcW w:w="0" w:type="auto"/>
            <w:vAlign w:val="center"/>
            <w:hideMark/>
          </w:tcPr>
          <w:p w14:paraId="1B8889E9" w14:textId="7BCA4784" w:rsidR="006A58C3" w:rsidRPr="006A58C3" w:rsidRDefault="006A58C3" w:rsidP="006A58C3">
            <w:pPr>
              <w:rPr>
                <w:rFonts w:asciiTheme="majorHAnsi" w:hAnsiTheme="majorHAnsi" w:cstheme="majorHAnsi"/>
              </w:rPr>
            </w:pPr>
            <w:r w:rsidRPr="00D009D9">
              <w:rPr>
                <w:rFonts w:asciiTheme="majorHAnsi" w:hAnsiTheme="majorHAnsi" w:cstheme="majorHAnsi"/>
              </w:rPr>
              <w:t>Give 25 Kits. Nourish 25 Futures.</w:t>
            </w:r>
          </w:p>
        </w:tc>
      </w:tr>
    </w:tbl>
    <w:p w14:paraId="32F0427B" w14:textId="77777777" w:rsidR="006A58C3" w:rsidRPr="006A58C3" w:rsidRDefault="006A58C3" w:rsidP="006A58C3">
      <w:pPr>
        <w:rPr>
          <w:rFonts w:asciiTheme="majorHAnsi" w:hAnsiTheme="majorHAnsi" w:cstheme="maj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2946"/>
      </w:tblGrid>
      <w:tr w:rsidR="006A58C3" w:rsidRPr="006A58C3" w14:paraId="49505FFD" w14:textId="77777777">
        <w:trPr>
          <w:tblCellSpacing w:w="15" w:type="dxa"/>
        </w:trPr>
        <w:tc>
          <w:tcPr>
            <w:tcW w:w="0" w:type="auto"/>
            <w:vAlign w:val="center"/>
            <w:hideMark/>
          </w:tcPr>
          <w:p w14:paraId="46333E7A"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50 Kits – USD 500</w:t>
            </w:r>
          </w:p>
        </w:tc>
        <w:tc>
          <w:tcPr>
            <w:tcW w:w="0" w:type="auto"/>
            <w:vAlign w:val="center"/>
            <w:hideMark/>
          </w:tcPr>
          <w:p w14:paraId="36F0A756" w14:textId="4D3D79CD" w:rsidR="006A58C3" w:rsidRPr="006A58C3" w:rsidRDefault="006A58C3" w:rsidP="006A58C3">
            <w:pPr>
              <w:rPr>
                <w:rFonts w:asciiTheme="majorHAnsi" w:hAnsiTheme="majorHAnsi" w:cstheme="majorHAnsi"/>
              </w:rPr>
            </w:pPr>
            <w:r w:rsidRPr="00D009D9">
              <w:rPr>
                <w:rFonts w:asciiTheme="majorHAnsi" w:hAnsiTheme="majorHAnsi" w:cstheme="majorHAnsi"/>
              </w:rPr>
              <w:t>Give 50 Kits. Nourish 50 Futures.</w:t>
            </w:r>
          </w:p>
        </w:tc>
      </w:tr>
    </w:tbl>
    <w:p w14:paraId="2B7F4D45" w14:textId="77777777" w:rsidR="006A58C3" w:rsidRPr="006A58C3" w:rsidRDefault="006A58C3" w:rsidP="006A58C3">
      <w:pPr>
        <w:rPr>
          <w:rFonts w:asciiTheme="majorHAnsi" w:hAnsiTheme="majorHAnsi" w:cstheme="maj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4"/>
        <w:gridCol w:w="3169"/>
      </w:tblGrid>
      <w:tr w:rsidR="006A58C3" w:rsidRPr="006A58C3" w14:paraId="0E1EDEFF" w14:textId="77777777">
        <w:trPr>
          <w:tblCellSpacing w:w="15" w:type="dxa"/>
        </w:trPr>
        <w:tc>
          <w:tcPr>
            <w:tcW w:w="0" w:type="auto"/>
            <w:vAlign w:val="center"/>
            <w:hideMark/>
          </w:tcPr>
          <w:p w14:paraId="4DC41A2C" w14:textId="77777777" w:rsidR="006A58C3" w:rsidRPr="006A58C3" w:rsidRDefault="006A58C3" w:rsidP="006A58C3">
            <w:pPr>
              <w:rPr>
                <w:rFonts w:asciiTheme="majorHAnsi" w:hAnsiTheme="majorHAnsi" w:cstheme="majorHAnsi"/>
              </w:rPr>
            </w:pPr>
            <w:r w:rsidRPr="006A58C3">
              <w:rPr>
                <w:rFonts w:asciiTheme="majorHAnsi" w:hAnsiTheme="majorHAnsi" w:cstheme="majorHAnsi"/>
                <w:b/>
                <w:bCs/>
              </w:rPr>
              <w:t>Donate 100 Kits – USD 1,000</w:t>
            </w:r>
          </w:p>
        </w:tc>
        <w:tc>
          <w:tcPr>
            <w:tcW w:w="0" w:type="auto"/>
            <w:vAlign w:val="center"/>
            <w:hideMark/>
          </w:tcPr>
          <w:p w14:paraId="772CD61C" w14:textId="78A90EDA" w:rsidR="006A58C3" w:rsidRPr="006A58C3" w:rsidRDefault="006A58C3" w:rsidP="006A58C3">
            <w:pPr>
              <w:rPr>
                <w:rFonts w:asciiTheme="majorHAnsi" w:hAnsiTheme="majorHAnsi" w:cstheme="majorHAnsi"/>
              </w:rPr>
            </w:pPr>
            <w:r w:rsidRPr="00D009D9">
              <w:rPr>
                <w:rFonts w:asciiTheme="majorHAnsi" w:hAnsiTheme="majorHAnsi" w:cstheme="majorHAnsi"/>
              </w:rPr>
              <w:t>Give 100 Kits. Nourish 100 Futures.</w:t>
            </w:r>
          </w:p>
        </w:tc>
      </w:tr>
    </w:tbl>
    <w:p w14:paraId="5E875DFE" w14:textId="77777777" w:rsidR="007116C7" w:rsidRPr="00D009D9" w:rsidRDefault="007116C7" w:rsidP="00481CB1">
      <w:pPr>
        <w:rPr>
          <w:rFonts w:asciiTheme="majorHAnsi" w:hAnsiTheme="majorHAnsi" w:cstheme="majorHAnsi"/>
          <w:b/>
          <w:bCs/>
        </w:rPr>
      </w:pPr>
    </w:p>
    <w:p w14:paraId="6D387436" w14:textId="74B1A802" w:rsidR="006A58C3" w:rsidRPr="00D009D9" w:rsidRDefault="007116C7" w:rsidP="00481CB1">
      <w:pPr>
        <w:rPr>
          <w:rFonts w:asciiTheme="majorHAnsi" w:hAnsiTheme="majorHAnsi" w:cstheme="majorHAnsi"/>
          <w:b/>
          <w:bCs/>
        </w:rPr>
      </w:pPr>
      <w:r w:rsidRPr="00D009D9">
        <w:rPr>
          <w:rFonts w:asciiTheme="majorHAnsi" w:hAnsiTheme="majorHAnsi" w:cstheme="majorHAnsi"/>
          <w:b/>
          <w:bCs/>
        </w:rPr>
        <w:t>What is the problem?</w:t>
      </w:r>
    </w:p>
    <w:p w14:paraId="1AA3FE84" w14:textId="7E50A411" w:rsidR="007116C7" w:rsidRPr="00D009D9" w:rsidRDefault="007116C7" w:rsidP="00481CB1">
      <w:pPr>
        <w:rPr>
          <w:rFonts w:asciiTheme="majorHAnsi" w:hAnsiTheme="majorHAnsi" w:cstheme="majorHAnsi"/>
        </w:rPr>
      </w:pPr>
      <w:r w:rsidRPr="00D009D9">
        <w:rPr>
          <w:rFonts w:asciiTheme="majorHAnsi" w:hAnsiTheme="majorHAnsi" w:cstheme="majorHAnsi"/>
        </w:rPr>
        <w:t>In Tamil Nadu, India, despite development progress, many rural communities continue to face poverty, malnutrition, and limited healthcare access. These challenges severely impact vulnerable groups, especially children from women-headed households and families affected by HIV/AIDS. Inadequate nutrition weakens children’s health, learning ability, and overall development, making targeted nutrition support essential for breaking the cycle of vulnerability and disadvantage.</w:t>
      </w:r>
    </w:p>
    <w:p w14:paraId="3895A75E" w14:textId="22CBACBA" w:rsidR="007116C7" w:rsidRPr="00D009D9" w:rsidRDefault="007116C7" w:rsidP="00481CB1">
      <w:pPr>
        <w:rPr>
          <w:rFonts w:asciiTheme="majorHAnsi" w:hAnsiTheme="majorHAnsi" w:cstheme="majorHAnsi"/>
          <w:b/>
          <w:bCs/>
        </w:rPr>
      </w:pPr>
      <w:r w:rsidRPr="00D009D9">
        <w:rPr>
          <w:rFonts w:asciiTheme="majorHAnsi" w:hAnsiTheme="majorHAnsi" w:cstheme="majorHAnsi"/>
          <w:b/>
          <w:bCs/>
        </w:rPr>
        <w:br/>
        <w:t>How will this project solve the problem?</w:t>
      </w:r>
    </w:p>
    <w:p w14:paraId="49DB4429" w14:textId="77777777" w:rsidR="007116C7" w:rsidRPr="007116C7" w:rsidRDefault="007116C7" w:rsidP="007116C7">
      <w:pPr>
        <w:rPr>
          <w:rFonts w:asciiTheme="majorHAnsi" w:hAnsiTheme="majorHAnsi" w:cstheme="majorHAnsi"/>
        </w:rPr>
      </w:pPr>
      <w:r w:rsidRPr="007116C7">
        <w:rPr>
          <w:rFonts w:asciiTheme="majorHAnsi" w:hAnsiTheme="majorHAnsi" w:cstheme="majorHAnsi"/>
        </w:rPr>
        <w:t>This project will provide monthly nutrition kits to vulnerable children, ensuring they receive essential proteins, vitamins, and minerals needed for healthy growth. Each child will receive one kit per month for an entire year, consisting of cereals and protein-rich food items to support overall health and development.</w:t>
      </w:r>
    </w:p>
    <w:p w14:paraId="7BD2A5C5" w14:textId="77777777" w:rsidR="007116C7" w:rsidRPr="007116C7" w:rsidRDefault="007116C7" w:rsidP="007116C7">
      <w:pPr>
        <w:rPr>
          <w:rFonts w:asciiTheme="majorHAnsi" w:hAnsiTheme="majorHAnsi" w:cstheme="majorHAnsi"/>
        </w:rPr>
      </w:pPr>
      <w:r w:rsidRPr="007116C7">
        <w:rPr>
          <w:rFonts w:asciiTheme="majorHAnsi" w:hAnsiTheme="majorHAnsi" w:cstheme="majorHAnsi"/>
        </w:rPr>
        <w:t>By supporting households facing poverty, single motherhood, or HIV-related challenges, the program reduces food insecurity and bridges critical nutritional gaps. In addition, caregivers will be given awareness sessions on balanced nutrition and child health to help families adopt sustainable, healthy practices at home.</w:t>
      </w:r>
    </w:p>
    <w:p w14:paraId="5B2E5E57" w14:textId="77777777" w:rsidR="007116C7" w:rsidRPr="007116C7" w:rsidRDefault="007116C7" w:rsidP="007116C7">
      <w:pPr>
        <w:rPr>
          <w:rFonts w:asciiTheme="majorHAnsi" w:hAnsiTheme="majorHAnsi" w:cstheme="majorHAnsi"/>
        </w:rPr>
      </w:pPr>
      <w:r w:rsidRPr="007116C7">
        <w:rPr>
          <w:rFonts w:asciiTheme="majorHAnsi" w:hAnsiTheme="majorHAnsi" w:cstheme="majorHAnsi"/>
        </w:rPr>
        <w:t>This combined approach strengthens child immunity, improves learning ability, reduces illness, and supports long-term wellbeing, enabling disadvantaged children to grow, thrive, and succeed in their education and daily life.</w:t>
      </w:r>
    </w:p>
    <w:p w14:paraId="0985C1E4" w14:textId="544E5789" w:rsidR="007116C7" w:rsidRPr="00D009D9" w:rsidRDefault="007116C7" w:rsidP="00481CB1">
      <w:pPr>
        <w:rPr>
          <w:rFonts w:asciiTheme="majorHAnsi" w:hAnsiTheme="majorHAnsi" w:cstheme="majorHAnsi"/>
          <w:b/>
          <w:bCs/>
        </w:rPr>
      </w:pPr>
      <w:r w:rsidRPr="00D009D9">
        <w:rPr>
          <w:rFonts w:asciiTheme="majorHAnsi" w:hAnsiTheme="majorHAnsi" w:cstheme="majorHAnsi"/>
          <w:b/>
          <w:bCs/>
        </w:rPr>
        <w:lastRenderedPageBreak/>
        <w:t>Potential Long-Term Impact</w:t>
      </w:r>
    </w:p>
    <w:p w14:paraId="05B3AB4A" w14:textId="3227C686" w:rsidR="007116C7" w:rsidRPr="00D009D9" w:rsidRDefault="007116C7" w:rsidP="00481CB1">
      <w:pPr>
        <w:rPr>
          <w:rFonts w:asciiTheme="majorHAnsi" w:hAnsiTheme="majorHAnsi" w:cstheme="majorHAnsi"/>
        </w:rPr>
      </w:pPr>
      <w:r w:rsidRPr="00D009D9">
        <w:rPr>
          <w:rFonts w:asciiTheme="majorHAnsi" w:hAnsiTheme="majorHAnsi" w:cstheme="majorHAnsi"/>
        </w:rPr>
        <w:t>This project will build long-term health, improve immunity, and reduce malnutrition among vulnerable children. With better nutrition, children will show improved school attendance, concentration, and academic performance. Over time, families develop sustainable nutrition habits, leading to healthier, stronger rural communities.</w:t>
      </w:r>
    </w:p>
    <w:p w14:paraId="79090634" w14:textId="77777777" w:rsidR="007439AA" w:rsidRPr="00D009D9" w:rsidRDefault="007439AA" w:rsidP="003F5A32">
      <w:pPr>
        <w:spacing w:after="0" w:line="240" w:lineRule="auto"/>
        <w:rPr>
          <w:rFonts w:asciiTheme="majorHAnsi" w:eastAsia="Times New Roman" w:hAnsiTheme="majorHAnsi" w:cstheme="majorHAnsi"/>
          <w:b/>
          <w:color w:val="1F1F1F"/>
          <w:lang w:eastAsia="en-IN"/>
        </w:rPr>
      </w:pPr>
      <w:r w:rsidRPr="00D009D9">
        <w:rPr>
          <w:rFonts w:asciiTheme="majorHAnsi" w:eastAsia="Times New Roman" w:hAnsiTheme="majorHAnsi" w:cstheme="majorHAnsi"/>
          <w:b/>
          <w:color w:val="1F1F1F"/>
          <w:bdr w:val="none" w:sz="0" w:space="0" w:color="auto" w:frame="1"/>
          <w:lang w:eastAsia="en-IN"/>
        </w:rPr>
        <w:t>Primary Cause Area:</w:t>
      </w:r>
    </w:p>
    <w:p w14:paraId="6A3FF425" w14:textId="77777777" w:rsidR="007439AA" w:rsidRPr="00D009D9" w:rsidRDefault="007439AA" w:rsidP="007439AA">
      <w:pPr>
        <w:numPr>
          <w:ilvl w:val="0"/>
          <w:numId w:val="2"/>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Poverty and Socio-Economic Disparities</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Poverty, coupled with unequal access to resources and opportunities, is a significant driver of malnutrition. Low-income families may struggle to afford nutritious food, leading to food insecurity and inadequate dietary intake.</w:t>
      </w:r>
    </w:p>
    <w:p w14:paraId="32862801" w14:textId="77777777" w:rsidR="007439AA" w:rsidRPr="00D009D9" w:rsidRDefault="007439AA" w:rsidP="007439AA">
      <w:pPr>
        <w:numPr>
          <w:ilvl w:val="0"/>
          <w:numId w:val="2"/>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Limited Access to Healthcare</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Lack of access to quality healthcare services, including maternal and child health care, can contribute to malnutrition. Inadequate prenatal care, immunization, and child health monitoring can increase the risk of malnutrition and its associated complications.</w:t>
      </w:r>
    </w:p>
    <w:p w14:paraId="5FB96BCE" w14:textId="77777777" w:rsidR="007439AA" w:rsidRPr="00D009D9" w:rsidRDefault="007439AA" w:rsidP="007439AA">
      <w:pPr>
        <w:numPr>
          <w:ilvl w:val="0"/>
          <w:numId w:val="2"/>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Lack of Nutrition Education</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Limited awareness about nutrition and healthy dietary practices can contribute to poor food choices and suboptimal feeding practices, leading to malnutrition.</w:t>
      </w:r>
    </w:p>
    <w:p w14:paraId="67699593" w14:textId="77777777" w:rsidR="007439AA" w:rsidRPr="00D009D9" w:rsidRDefault="007439AA" w:rsidP="007439AA">
      <w:pPr>
        <w:numPr>
          <w:ilvl w:val="0"/>
          <w:numId w:val="2"/>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Food Insecurity</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Food insecurity, characterized by limited or uncertain access to nutritious food, is a direct cause of malnutrition. This can be due to factors such as poverty, lack of access to food markets, and natural disasters.</w:t>
      </w:r>
    </w:p>
    <w:p w14:paraId="589C1D24" w14:textId="77777777" w:rsidR="007439AA" w:rsidRPr="00D009D9" w:rsidRDefault="007439AA" w:rsidP="007439AA">
      <w:pPr>
        <w:spacing w:after="0" w:line="240" w:lineRule="auto"/>
        <w:rPr>
          <w:rFonts w:asciiTheme="majorHAnsi" w:eastAsia="Times New Roman" w:hAnsiTheme="majorHAnsi" w:cstheme="majorHAnsi"/>
          <w:color w:val="1F1F1F"/>
          <w:bdr w:val="none" w:sz="0" w:space="0" w:color="auto" w:frame="1"/>
          <w:lang w:eastAsia="en-IN"/>
        </w:rPr>
      </w:pPr>
    </w:p>
    <w:p w14:paraId="7816C7C4" w14:textId="77777777" w:rsidR="007439AA" w:rsidRPr="00D009D9" w:rsidRDefault="007439AA" w:rsidP="003F5A32">
      <w:pPr>
        <w:spacing w:after="0" w:line="240" w:lineRule="auto"/>
        <w:rPr>
          <w:rFonts w:asciiTheme="majorHAnsi" w:eastAsia="Times New Roman" w:hAnsiTheme="majorHAnsi" w:cstheme="majorHAnsi"/>
          <w:b/>
          <w:color w:val="1F1F1F"/>
          <w:lang w:eastAsia="en-IN"/>
        </w:rPr>
      </w:pPr>
      <w:r w:rsidRPr="00D009D9">
        <w:rPr>
          <w:rFonts w:asciiTheme="majorHAnsi" w:eastAsia="Times New Roman" w:hAnsiTheme="majorHAnsi" w:cstheme="majorHAnsi"/>
          <w:b/>
          <w:color w:val="1F1F1F"/>
          <w:bdr w:val="none" w:sz="0" w:space="0" w:color="auto" w:frame="1"/>
          <w:lang w:eastAsia="en-IN"/>
        </w:rPr>
        <w:t>Secondary Cause Area:</w:t>
      </w:r>
    </w:p>
    <w:p w14:paraId="1CFA944E" w14:textId="77777777" w:rsidR="007439AA" w:rsidRPr="00D009D9" w:rsidRDefault="007439AA" w:rsidP="007439AA">
      <w:pPr>
        <w:numPr>
          <w:ilvl w:val="0"/>
          <w:numId w:val="3"/>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Gender Inequality</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Gender inequality can exacerbate malnutrition, particularly in women-headed households. Women may face discrimination in access to resources, education, and employment, limiting their ability to provide adequate nutrition for their families.</w:t>
      </w:r>
    </w:p>
    <w:p w14:paraId="54182F9A" w14:textId="77777777" w:rsidR="007439AA" w:rsidRPr="00D009D9" w:rsidRDefault="007439AA" w:rsidP="007439AA">
      <w:pPr>
        <w:numPr>
          <w:ilvl w:val="0"/>
          <w:numId w:val="3"/>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HIV/AIDS</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Families affected by HIV/AIDS may experience economic hardship, loss of income, and stigma, which can contribute to food insecurity and malnutrition.</w:t>
      </w:r>
    </w:p>
    <w:p w14:paraId="3EE71AC9" w14:textId="77777777" w:rsidR="007439AA" w:rsidRPr="00D009D9" w:rsidRDefault="007439AA" w:rsidP="007439AA">
      <w:pPr>
        <w:numPr>
          <w:ilvl w:val="0"/>
          <w:numId w:val="3"/>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Natural Disasters</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Natural disasters such as floods, droughts, and cyclones can disrupt food production and distribution, leading to food shortages and malnutrition.</w:t>
      </w:r>
    </w:p>
    <w:p w14:paraId="42FB63D1" w14:textId="77777777" w:rsidR="007439AA" w:rsidRPr="00D009D9" w:rsidRDefault="007439AA" w:rsidP="007439AA">
      <w:pPr>
        <w:numPr>
          <w:ilvl w:val="0"/>
          <w:numId w:val="3"/>
        </w:numPr>
        <w:spacing w:after="0" w:line="240" w:lineRule="auto"/>
        <w:ind w:left="709" w:hanging="284"/>
        <w:rPr>
          <w:rFonts w:asciiTheme="majorHAnsi" w:eastAsia="Times New Roman" w:hAnsiTheme="majorHAnsi" w:cstheme="majorHAnsi"/>
          <w:color w:val="1F1F1F"/>
          <w:lang w:eastAsia="en-IN"/>
        </w:rPr>
      </w:pPr>
      <w:r w:rsidRPr="00D009D9">
        <w:rPr>
          <w:rFonts w:asciiTheme="majorHAnsi" w:eastAsia="Times New Roman" w:hAnsiTheme="majorHAnsi" w:cstheme="majorHAnsi"/>
          <w:b/>
          <w:color w:val="1F1F1F"/>
          <w:bdr w:val="none" w:sz="0" w:space="0" w:color="auto" w:frame="1"/>
          <w:lang w:eastAsia="en-IN"/>
        </w:rPr>
        <w:t>Cultural and Religious Practices</w:t>
      </w:r>
      <w:r w:rsidRPr="00D009D9">
        <w:rPr>
          <w:rFonts w:asciiTheme="majorHAnsi" w:eastAsia="Times New Roman" w:hAnsiTheme="majorHAnsi" w:cstheme="majorHAnsi"/>
          <w:color w:val="1F1F1F"/>
          <w:bdr w:val="none" w:sz="0" w:space="0" w:color="auto" w:frame="1"/>
          <w:lang w:eastAsia="en-IN"/>
        </w:rPr>
        <w:t>:</w:t>
      </w:r>
      <w:r w:rsidRPr="00D009D9">
        <w:rPr>
          <w:rFonts w:asciiTheme="majorHAnsi" w:eastAsia="Times New Roman" w:hAnsiTheme="majorHAnsi" w:cstheme="majorHAnsi"/>
          <w:color w:val="1F1F1F"/>
          <w:lang w:eastAsia="en-IN"/>
        </w:rPr>
        <w:t xml:space="preserve"> Certain cultural and religious practices may restrict food choices or limit the consumption of essential nutrients, contributing to malnutrition.</w:t>
      </w:r>
    </w:p>
    <w:p w14:paraId="413117C0" w14:textId="77777777" w:rsidR="007439AA" w:rsidRPr="00D009D9" w:rsidRDefault="007439AA" w:rsidP="007439AA">
      <w:pPr>
        <w:spacing w:after="0" w:line="240" w:lineRule="auto"/>
        <w:rPr>
          <w:rFonts w:asciiTheme="majorHAnsi" w:eastAsia="Times New Roman" w:hAnsiTheme="majorHAnsi" w:cstheme="majorHAnsi"/>
          <w:color w:val="1F1F1F"/>
          <w:lang w:eastAsia="en-IN"/>
        </w:rPr>
      </w:pPr>
    </w:p>
    <w:p w14:paraId="1368FDE4" w14:textId="77777777" w:rsidR="007439AA" w:rsidRPr="00D009D9" w:rsidRDefault="007439AA" w:rsidP="007439AA">
      <w:pPr>
        <w:spacing w:after="0" w:line="240" w:lineRule="auto"/>
        <w:ind w:left="426"/>
        <w:rPr>
          <w:rFonts w:asciiTheme="majorHAnsi" w:eastAsia="Times New Roman" w:hAnsiTheme="majorHAnsi" w:cstheme="majorHAnsi"/>
          <w:color w:val="1F1F1F"/>
          <w:lang w:eastAsia="en-IN"/>
        </w:rPr>
      </w:pPr>
      <w:r w:rsidRPr="00D009D9">
        <w:rPr>
          <w:rFonts w:asciiTheme="majorHAnsi" w:eastAsia="Times New Roman" w:hAnsiTheme="majorHAnsi" w:cstheme="majorHAnsi"/>
          <w:color w:val="1F1F1F"/>
          <w:lang w:eastAsia="en-IN"/>
        </w:rPr>
        <w:t>It's important to note that these cause areas are interconnected and can reinforce each other. Addressing malnutrition requires a multi-faceted approach that targets both primary and secondary causes.</w:t>
      </w:r>
    </w:p>
    <w:p w14:paraId="3DE0BED6" w14:textId="77777777" w:rsidR="007439AA" w:rsidRPr="00D009D9" w:rsidRDefault="007439AA" w:rsidP="007439AA">
      <w:pPr>
        <w:spacing w:after="0" w:line="240" w:lineRule="auto"/>
        <w:rPr>
          <w:rFonts w:asciiTheme="majorHAnsi" w:hAnsiTheme="majorHAnsi" w:cstheme="majorHAnsi"/>
        </w:rPr>
      </w:pPr>
    </w:p>
    <w:p w14:paraId="7205FB9E" w14:textId="77777777" w:rsidR="007439AA" w:rsidRPr="00D009D9" w:rsidRDefault="007439AA" w:rsidP="003F5A32">
      <w:pPr>
        <w:spacing w:after="0" w:line="240" w:lineRule="auto"/>
        <w:rPr>
          <w:rFonts w:asciiTheme="majorHAnsi" w:hAnsiTheme="majorHAnsi" w:cstheme="majorHAnsi"/>
          <w:b/>
        </w:rPr>
      </w:pPr>
      <w:r w:rsidRPr="00D009D9">
        <w:rPr>
          <w:rFonts w:asciiTheme="majorHAnsi" w:hAnsiTheme="majorHAnsi" w:cstheme="majorHAnsi"/>
          <w:b/>
        </w:rPr>
        <w:t>Target Beneficiaries </w:t>
      </w:r>
    </w:p>
    <w:p w14:paraId="6A92E178" w14:textId="77777777" w:rsidR="007439AA" w:rsidRPr="00D009D9" w:rsidRDefault="007439AA" w:rsidP="007439AA">
      <w:pPr>
        <w:pStyle w:val="ListParagraph"/>
        <w:numPr>
          <w:ilvl w:val="0"/>
          <w:numId w:val="1"/>
        </w:numPr>
        <w:spacing w:after="0" w:line="240" w:lineRule="auto"/>
        <w:ind w:left="709" w:hanging="284"/>
        <w:rPr>
          <w:rFonts w:asciiTheme="majorHAnsi" w:hAnsiTheme="majorHAnsi" w:cstheme="majorHAnsi"/>
        </w:rPr>
      </w:pPr>
      <w:r w:rsidRPr="00D009D9">
        <w:rPr>
          <w:rFonts w:asciiTheme="majorHAnsi" w:hAnsiTheme="majorHAnsi" w:cstheme="majorHAnsi"/>
        </w:rPr>
        <w:t>Vulnerable Groups: Priority will be given to children from women-headed families and households affected by HIV/AIDS, as they face the highest risks of food insecurity and malnutrition.</w:t>
      </w:r>
    </w:p>
    <w:p w14:paraId="1FE0A937" w14:textId="77777777" w:rsidR="007439AA" w:rsidRPr="00D009D9" w:rsidRDefault="007439AA" w:rsidP="007439AA">
      <w:pPr>
        <w:pStyle w:val="ListParagraph"/>
        <w:numPr>
          <w:ilvl w:val="0"/>
          <w:numId w:val="1"/>
        </w:numPr>
        <w:spacing w:after="0" w:line="240" w:lineRule="auto"/>
        <w:ind w:left="709" w:hanging="284"/>
        <w:rPr>
          <w:rFonts w:asciiTheme="majorHAnsi" w:hAnsiTheme="majorHAnsi" w:cstheme="majorHAnsi"/>
        </w:rPr>
      </w:pPr>
      <w:r w:rsidRPr="00D009D9">
        <w:rPr>
          <w:rFonts w:asciiTheme="majorHAnsi" w:hAnsiTheme="majorHAnsi" w:cstheme="majorHAnsi"/>
        </w:rPr>
        <w:t>Demographic Focus: 50% of the beneficiaries will be female children.</w:t>
      </w:r>
    </w:p>
    <w:p w14:paraId="08C856AF" w14:textId="77777777" w:rsidR="007439AA" w:rsidRPr="00D009D9" w:rsidRDefault="007439AA" w:rsidP="007439AA">
      <w:pPr>
        <w:spacing w:after="0" w:line="240" w:lineRule="auto"/>
        <w:rPr>
          <w:rFonts w:asciiTheme="majorHAnsi" w:hAnsiTheme="majorHAnsi" w:cstheme="majorHAnsi"/>
        </w:rPr>
      </w:pPr>
    </w:p>
    <w:p w14:paraId="08B237CB" w14:textId="1C053183" w:rsidR="007439AA" w:rsidRPr="00D009D9" w:rsidRDefault="007439AA" w:rsidP="007439AA">
      <w:pPr>
        <w:pStyle w:val="ListParagraph"/>
        <w:spacing w:after="0" w:line="240" w:lineRule="auto"/>
        <w:ind w:left="426"/>
        <w:rPr>
          <w:rFonts w:asciiTheme="majorHAnsi" w:hAnsiTheme="majorHAnsi" w:cstheme="majorHAnsi"/>
          <w:b/>
        </w:rPr>
      </w:pPr>
      <w:r w:rsidRPr="00D009D9">
        <w:rPr>
          <w:rFonts w:asciiTheme="majorHAnsi" w:hAnsiTheme="majorHAnsi" w:cstheme="majorHAnsi"/>
          <w:b/>
        </w:rPr>
        <w:t>Number of Beneficiaries that will be impacted </w:t>
      </w:r>
    </w:p>
    <w:p w14:paraId="38130D69" w14:textId="77777777" w:rsidR="007439AA" w:rsidRPr="00D009D9" w:rsidRDefault="007439AA" w:rsidP="007439AA">
      <w:pPr>
        <w:spacing w:after="0" w:line="240" w:lineRule="auto"/>
        <w:ind w:left="426"/>
        <w:rPr>
          <w:rFonts w:asciiTheme="majorHAnsi" w:hAnsiTheme="majorHAnsi" w:cstheme="majorHAnsi"/>
        </w:rPr>
      </w:pPr>
      <w:r w:rsidRPr="00D009D9">
        <w:rPr>
          <w:rFonts w:asciiTheme="majorHAnsi" w:hAnsiTheme="majorHAnsi" w:cstheme="majorHAnsi"/>
        </w:rPr>
        <w:t>5,000 children aged 1 to 18 years will be impacted </w:t>
      </w:r>
    </w:p>
    <w:p w14:paraId="2491055A" w14:textId="77777777" w:rsidR="003F5A32" w:rsidRPr="00D009D9" w:rsidRDefault="003F5A32" w:rsidP="007439AA">
      <w:pPr>
        <w:spacing w:after="0" w:line="240" w:lineRule="auto"/>
        <w:ind w:left="426"/>
        <w:rPr>
          <w:rFonts w:asciiTheme="majorHAnsi" w:hAnsiTheme="majorHAnsi" w:cstheme="majorHAnsi"/>
        </w:rPr>
      </w:pPr>
    </w:p>
    <w:p w14:paraId="4DF6447E" w14:textId="77777777" w:rsidR="007439AA" w:rsidRPr="00D009D9" w:rsidRDefault="007439AA" w:rsidP="007439AA">
      <w:pPr>
        <w:spacing w:after="0" w:line="240" w:lineRule="auto"/>
        <w:rPr>
          <w:rFonts w:asciiTheme="majorHAnsi" w:hAnsiTheme="majorHAnsi" w:cstheme="majorHAnsi"/>
        </w:rPr>
      </w:pPr>
    </w:p>
    <w:p w14:paraId="7BAE7D52" w14:textId="77777777" w:rsidR="007439AA" w:rsidRPr="00D009D9" w:rsidRDefault="007439AA" w:rsidP="007439AA">
      <w:pPr>
        <w:pStyle w:val="ListParagraph"/>
        <w:spacing w:after="0" w:line="240" w:lineRule="auto"/>
        <w:ind w:left="426"/>
        <w:rPr>
          <w:rFonts w:asciiTheme="majorHAnsi" w:hAnsiTheme="majorHAnsi" w:cstheme="majorHAnsi"/>
          <w:b/>
        </w:rPr>
      </w:pPr>
      <w:r w:rsidRPr="00D009D9">
        <w:rPr>
          <w:rFonts w:asciiTheme="majorHAnsi" w:hAnsiTheme="majorHAnsi" w:cstheme="majorHAnsi"/>
          <w:b/>
        </w:rPr>
        <w:t>Requested Funding Amount </w:t>
      </w:r>
    </w:p>
    <w:p w14:paraId="700AB40A" w14:textId="590B27DD" w:rsidR="007439AA" w:rsidRPr="00D009D9" w:rsidRDefault="007439AA" w:rsidP="007439AA">
      <w:pPr>
        <w:spacing w:after="0" w:line="240" w:lineRule="auto"/>
        <w:ind w:left="426"/>
        <w:rPr>
          <w:rFonts w:asciiTheme="majorHAnsi" w:hAnsiTheme="majorHAnsi" w:cstheme="majorHAnsi"/>
        </w:rPr>
      </w:pPr>
      <w:r w:rsidRPr="00D009D9">
        <w:rPr>
          <w:rFonts w:asciiTheme="majorHAnsi" w:hAnsiTheme="majorHAnsi" w:cstheme="majorHAnsi"/>
        </w:rPr>
        <w:t xml:space="preserve">The total estimated budget for the project is </w:t>
      </w:r>
      <w:r w:rsidRPr="00D009D9">
        <w:rPr>
          <w:rFonts w:asciiTheme="majorHAnsi" w:hAnsiTheme="majorHAnsi" w:cstheme="majorHAnsi"/>
          <w:b/>
          <w:bCs/>
        </w:rPr>
        <w:t>USD 600,000</w:t>
      </w:r>
      <w:r w:rsidRPr="00D009D9">
        <w:rPr>
          <w:rFonts w:asciiTheme="majorHAnsi" w:hAnsiTheme="majorHAnsi" w:cstheme="majorHAnsi"/>
        </w:rPr>
        <w:t xml:space="preserve">. </w:t>
      </w:r>
    </w:p>
    <w:p w14:paraId="40E98741" w14:textId="77777777" w:rsidR="007439AA" w:rsidRPr="00D009D9" w:rsidRDefault="007439AA" w:rsidP="00481CB1">
      <w:pPr>
        <w:rPr>
          <w:rFonts w:asciiTheme="majorHAnsi" w:hAnsiTheme="majorHAnsi" w:cstheme="majorHAnsi"/>
        </w:rPr>
      </w:pPr>
    </w:p>
    <w:p w14:paraId="2DDC4B84" w14:textId="77777777" w:rsidR="005F6CA2" w:rsidRDefault="005F6CA2" w:rsidP="00481CB1">
      <w:pPr>
        <w:rPr>
          <w:rFonts w:asciiTheme="majorHAnsi" w:hAnsiTheme="majorHAnsi" w:cstheme="majorHAnsi"/>
        </w:rPr>
      </w:pPr>
    </w:p>
    <w:p w14:paraId="65D79939" w14:textId="77777777" w:rsidR="005F6CA2" w:rsidRDefault="005F6CA2" w:rsidP="00481CB1">
      <w:pPr>
        <w:rPr>
          <w:rFonts w:asciiTheme="majorHAnsi" w:hAnsiTheme="majorHAnsi" w:cstheme="majorHAnsi"/>
        </w:rPr>
      </w:pPr>
    </w:p>
    <w:p w14:paraId="2F8FAEAF" w14:textId="7749D0AE" w:rsidR="00481CB1" w:rsidRPr="00D009D9" w:rsidRDefault="00481CB1" w:rsidP="00481CB1">
      <w:pPr>
        <w:rPr>
          <w:rFonts w:asciiTheme="majorHAnsi" w:hAnsiTheme="majorHAnsi" w:cstheme="majorHAnsi"/>
        </w:rPr>
      </w:pPr>
      <w:r w:rsidRPr="00D009D9">
        <w:rPr>
          <w:rFonts w:asciiTheme="majorHAnsi" w:hAnsiTheme="majorHAnsi" w:cstheme="majorHAnsi"/>
        </w:rPr>
        <w:t xml:space="preserve">Project </w:t>
      </w:r>
      <w:proofErr w:type="gramStart"/>
      <w:r w:rsidRPr="00D009D9">
        <w:rPr>
          <w:rFonts w:asciiTheme="majorHAnsi" w:hAnsiTheme="majorHAnsi" w:cstheme="majorHAnsi"/>
        </w:rPr>
        <w:t>Website</w:t>
      </w:r>
      <w:r w:rsidR="00D009D9" w:rsidRPr="00D009D9">
        <w:rPr>
          <w:rFonts w:asciiTheme="majorHAnsi" w:hAnsiTheme="majorHAnsi" w:cstheme="majorHAnsi"/>
        </w:rPr>
        <w:t xml:space="preserve"> :</w:t>
      </w:r>
      <w:proofErr w:type="gramEnd"/>
      <w:r w:rsidR="00D009D9" w:rsidRPr="00D009D9">
        <w:rPr>
          <w:rFonts w:asciiTheme="majorHAnsi" w:hAnsiTheme="majorHAnsi" w:cstheme="majorHAnsi"/>
        </w:rPr>
        <w:t xml:space="preserve"> </w:t>
      </w:r>
      <w:hyperlink r:id="rId5" w:history="1">
        <w:r w:rsidRPr="00D009D9">
          <w:rPr>
            <w:rStyle w:val="Hyperlink"/>
            <w:rFonts w:asciiTheme="majorHAnsi" w:hAnsiTheme="majorHAnsi" w:cstheme="majorHAnsi"/>
          </w:rPr>
          <w:t>https://www.sppdonline.org/</w:t>
        </w:r>
      </w:hyperlink>
    </w:p>
    <w:p w14:paraId="362D497D" w14:textId="77777777" w:rsidR="00481CB1" w:rsidRPr="00D009D9" w:rsidRDefault="00481CB1" w:rsidP="00481CB1">
      <w:pPr>
        <w:rPr>
          <w:rFonts w:asciiTheme="majorHAnsi" w:hAnsiTheme="majorHAnsi" w:cstheme="majorHAnsi"/>
          <w:b/>
          <w:bCs/>
        </w:rPr>
      </w:pPr>
      <w:r w:rsidRPr="00D009D9">
        <w:rPr>
          <w:rFonts w:asciiTheme="majorHAnsi" w:hAnsiTheme="majorHAnsi" w:cstheme="majorHAnsi"/>
          <w:b/>
          <w:bCs/>
        </w:rPr>
        <w:t>Project Location</w:t>
      </w:r>
    </w:p>
    <w:p w14:paraId="0269190E" w14:textId="77777777" w:rsidR="00481CB1" w:rsidRPr="00D009D9" w:rsidRDefault="00481CB1" w:rsidP="007439AA">
      <w:pPr>
        <w:pStyle w:val="NoSpacing"/>
        <w:rPr>
          <w:rFonts w:asciiTheme="majorHAnsi" w:hAnsiTheme="majorHAnsi" w:cstheme="majorHAnsi"/>
        </w:rPr>
      </w:pPr>
      <w:r w:rsidRPr="00D009D9">
        <w:rPr>
          <w:rFonts w:asciiTheme="majorHAnsi" w:hAnsiTheme="majorHAnsi" w:cstheme="majorHAnsi"/>
        </w:rPr>
        <w:t xml:space="preserve">1/76-A, </w:t>
      </w:r>
      <w:proofErr w:type="spellStart"/>
      <w:r w:rsidRPr="00D009D9">
        <w:rPr>
          <w:rFonts w:asciiTheme="majorHAnsi" w:hAnsiTheme="majorHAnsi" w:cstheme="majorHAnsi"/>
        </w:rPr>
        <w:t>Thuraiyur</w:t>
      </w:r>
      <w:proofErr w:type="spellEnd"/>
      <w:r w:rsidRPr="00D009D9">
        <w:rPr>
          <w:rFonts w:asciiTheme="majorHAnsi" w:hAnsiTheme="majorHAnsi" w:cstheme="majorHAnsi"/>
        </w:rPr>
        <w:t xml:space="preserve"> Main Road, </w:t>
      </w:r>
      <w:proofErr w:type="spellStart"/>
      <w:r w:rsidRPr="00D009D9">
        <w:rPr>
          <w:rFonts w:asciiTheme="majorHAnsi" w:hAnsiTheme="majorHAnsi" w:cstheme="majorHAnsi"/>
        </w:rPr>
        <w:t>Soriyampatti</w:t>
      </w:r>
      <w:proofErr w:type="spellEnd"/>
      <w:r w:rsidRPr="00D009D9">
        <w:rPr>
          <w:rFonts w:asciiTheme="majorHAnsi" w:hAnsiTheme="majorHAnsi" w:cstheme="majorHAnsi"/>
        </w:rPr>
        <w:t xml:space="preserve">, </w:t>
      </w:r>
      <w:proofErr w:type="spellStart"/>
      <w:proofErr w:type="gramStart"/>
      <w:r w:rsidRPr="00D009D9">
        <w:rPr>
          <w:rFonts w:asciiTheme="majorHAnsi" w:hAnsiTheme="majorHAnsi" w:cstheme="majorHAnsi"/>
        </w:rPr>
        <w:t>M.Pudhupatti</w:t>
      </w:r>
      <w:proofErr w:type="spellEnd"/>
      <w:proofErr w:type="gramEnd"/>
      <w:r w:rsidRPr="00D009D9">
        <w:rPr>
          <w:rFonts w:asciiTheme="majorHAnsi" w:hAnsiTheme="majorHAnsi" w:cstheme="majorHAnsi"/>
        </w:rPr>
        <w:t xml:space="preserve"> Post, </w:t>
      </w:r>
      <w:proofErr w:type="spellStart"/>
      <w:r w:rsidRPr="00D009D9">
        <w:rPr>
          <w:rFonts w:asciiTheme="majorHAnsi" w:hAnsiTheme="majorHAnsi" w:cstheme="majorHAnsi"/>
        </w:rPr>
        <w:t>Musiri</w:t>
      </w:r>
      <w:proofErr w:type="spellEnd"/>
      <w:r w:rsidRPr="00D009D9">
        <w:rPr>
          <w:rFonts w:asciiTheme="majorHAnsi" w:hAnsiTheme="majorHAnsi" w:cstheme="majorHAnsi"/>
        </w:rPr>
        <w:t xml:space="preserve"> Taluk, Trichy District - 621211, Tamil Nadu, India. Tiruchirappalli,</w:t>
      </w:r>
    </w:p>
    <w:p w14:paraId="14F2DCFE" w14:textId="77777777" w:rsidR="00481CB1" w:rsidRPr="00D009D9" w:rsidRDefault="00481CB1" w:rsidP="007439AA">
      <w:pPr>
        <w:pStyle w:val="NoSpacing"/>
        <w:rPr>
          <w:rFonts w:asciiTheme="majorHAnsi" w:hAnsiTheme="majorHAnsi" w:cstheme="majorHAnsi"/>
        </w:rPr>
      </w:pPr>
      <w:r w:rsidRPr="00D009D9">
        <w:rPr>
          <w:rFonts w:asciiTheme="majorHAnsi" w:hAnsiTheme="majorHAnsi" w:cstheme="majorHAnsi"/>
        </w:rPr>
        <w:t>Tiruchirappalli,</w:t>
      </w:r>
    </w:p>
    <w:p w14:paraId="4414CAE0" w14:textId="77777777" w:rsidR="00481CB1" w:rsidRPr="00D009D9" w:rsidRDefault="00481CB1" w:rsidP="007439AA">
      <w:pPr>
        <w:pStyle w:val="NoSpacing"/>
        <w:rPr>
          <w:rFonts w:asciiTheme="majorHAnsi" w:hAnsiTheme="majorHAnsi" w:cstheme="majorHAnsi"/>
        </w:rPr>
      </w:pPr>
      <w:r w:rsidRPr="00D009D9">
        <w:rPr>
          <w:rFonts w:asciiTheme="majorHAnsi" w:hAnsiTheme="majorHAnsi" w:cstheme="majorHAnsi"/>
        </w:rPr>
        <w:t>Tamil Nadu 621211</w:t>
      </w:r>
    </w:p>
    <w:p w14:paraId="6CB7D29B" w14:textId="77777777" w:rsidR="00481CB1" w:rsidRPr="00D009D9" w:rsidRDefault="00481CB1" w:rsidP="007439AA">
      <w:pPr>
        <w:pStyle w:val="NoSpacing"/>
        <w:rPr>
          <w:rFonts w:asciiTheme="majorHAnsi" w:hAnsiTheme="majorHAnsi" w:cstheme="majorHAnsi"/>
        </w:rPr>
      </w:pPr>
      <w:r w:rsidRPr="00D009D9">
        <w:rPr>
          <w:rFonts w:asciiTheme="majorHAnsi" w:hAnsiTheme="majorHAnsi" w:cstheme="majorHAnsi"/>
        </w:rPr>
        <w:t>India.</w:t>
      </w:r>
    </w:p>
    <w:p w14:paraId="6B7B6A60" w14:textId="77777777" w:rsidR="00C33E80" w:rsidRPr="00D009D9" w:rsidRDefault="00C33E80">
      <w:pPr>
        <w:rPr>
          <w:rFonts w:asciiTheme="majorHAnsi" w:hAnsiTheme="majorHAnsi" w:cstheme="majorHAnsi"/>
        </w:rPr>
      </w:pPr>
    </w:p>
    <w:sectPr w:rsidR="00C33E80" w:rsidRPr="00D0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507"/>
    <w:multiLevelType w:val="multilevel"/>
    <w:tmpl w:val="F2622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8B340B6"/>
    <w:multiLevelType w:val="hybridMultilevel"/>
    <w:tmpl w:val="A42A4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A20738"/>
    <w:multiLevelType w:val="multilevel"/>
    <w:tmpl w:val="29FE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23FCA"/>
    <w:multiLevelType w:val="multilevel"/>
    <w:tmpl w:val="C7C0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53938">
    <w:abstractNumId w:val="1"/>
  </w:num>
  <w:num w:numId="2" w16cid:durableId="961492991">
    <w:abstractNumId w:val="3"/>
  </w:num>
  <w:num w:numId="3" w16cid:durableId="1972590004">
    <w:abstractNumId w:val="2"/>
  </w:num>
  <w:num w:numId="4" w16cid:durableId="196873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75"/>
    <w:rsid w:val="00181B28"/>
    <w:rsid w:val="002F55EB"/>
    <w:rsid w:val="00366522"/>
    <w:rsid w:val="003F5A32"/>
    <w:rsid w:val="00481CB1"/>
    <w:rsid w:val="005F6CA2"/>
    <w:rsid w:val="0061261F"/>
    <w:rsid w:val="006A58C3"/>
    <w:rsid w:val="007116C7"/>
    <w:rsid w:val="007439AA"/>
    <w:rsid w:val="00770847"/>
    <w:rsid w:val="00805F00"/>
    <w:rsid w:val="00931999"/>
    <w:rsid w:val="00A501D5"/>
    <w:rsid w:val="00AB1875"/>
    <w:rsid w:val="00AC6523"/>
    <w:rsid w:val="00C33E80"/>
    <w:rsid w:val="00D009D9"/>
    <w:rsid w:val="00DF7E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6FBF"/>
  <w15:chartTrackingRefBased/>
  <w15:docId w15:val="{9BA3A07A-631D-4CBE-AB88-4D50746B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75"/>
    <w:rPr>
      <w:rFonts w:eastAsiaTheme="majorEastAsia" w:cstheme="majorBidi"/>
      <w:color w:val="272727" w:themeColor="text1" w:themeTint="D8"/>
    </w:rPr>
  </w:style>
  <w:style w:type="paragraph" w:styleId="Title">
    <w:name w:val="Title"/>
    <w:basedOn w:val="Normal"/>
    <w:next w:val="Normal"/>
    <w:link w:val="TitleChar"/>
    <w:uiPriority w:val="10"/>
    <w:qFormat/>
    <w:rsid w:val="00AB1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75"/>
    <w:pPr>
      <w:spacing w:before="160"/>
      <w:jc w:val="center"/>
    </w:pPr>
    <w:rPr>
      <w:i/>
      <w:iCs/>
      <w:color w:val="404040" w:themeColor="text1" w:themeTint="BF"/>
    </w:rPr>
  </w:style>
  <w:style w:type="character" w:customStyle="1" w:styleId="QuoteChar">
    <w:name w:val="Quote Char"/>
    <w:basedOn w:val="DefaultParagraphFont"/>
    <w:link w:val="Quote"/>
    <w:uiPriority w:val="29"/>
    <w:rsid w:val="00AB1875"/>
    <w:rPr>
      <w:i/>
      <w:iCs/>
      <w:color w:val="404040" w:themeColor="text1" w:themeTint="BF"/>
    </w:rPr>
  </w:style>
  <w:style w:type="paragraph" w:styleId="ListParagraph">
    <w:name w:val="List Paragraph"/>
    <w:basedOn w:val="Normal"/>
    <w:uiPriority w:val="34"/>
    <w:qFormat/>
    <w:rsid w:val="00AB1875"/>
    <w:pPr>
      <w:ind w:left="720"/>
      <w:contextualSpacing/>
    </w:pPr>
  </w:style>
  <w:style w:type="character" w:styleId="IntenseEmphasis">
    <w:name w:val="Intense Emphasis"/>
    <w:basedOn w:val="DefaultParagraphFont"/>
    <w:uiPriority w:val="21"/>
    <w:qFormat/>
    <w:rsid w:val="00AB1875"/>
    <w:rPr>
      <w:i/>
      <w:iCs/>
      <w:color w:val="2F5496" w:themeColor="accent1" w:themeShade="BF"/>
    </w:rPr>
  </w:style>
  <w:style w:type="paragraph" w:styleId="IntenseQuote">
    <w:name w:val="Intense Quote"/>
    <w:basedOn w:val="Normal"/>
    <w:next w:val="Normal"/>
    <w:link w:val="IntenseQuoteChar"/>
    <w:uiPriority w:val="30"/>
    <w:qFormat/>
    <w:rsid w:val="00AB1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875"/>
    <w:rPr>
      <w:i/>
      <w:iCs/>
      <w:color w:val="2F5496" w:themeColor="accent1" w:themeShade="BF"/>
    </w:rPr>
  </w:style>
  <w:style w:type="character" w:styleId="IntenseReference">
    <w:name w:val="Intense Reference"/>
    <w:basedOn w:val="DefaultParagraphFont"/>
    <w:uiPriority w:val="32"/>
    <w:qFormat/>
    <w:rsid w:val="00AB1875"/>
    <w:rPr>
      <w:b/>
      <w:bCs/>
      <w:smallCaps/>
      <w:color w:val="2F5496" w:themeColor="accent1" w:themeShade="BF"/>
      <w:spacing w:val="5"/>
    </w:rPr>
  </w:style>
  <w:style w:type="character" w:styleId="Hyperlink">
    <w:name w:val="Hyperlink"/>
    <w:basedOn w:val="DefaultParagraphFont"/>
    <w:uiPriority w:val="99"/>
    <w:unhideWhenUsed/>
    <w:rsid w:val="00481CB1"/>
    <w:rPr>
      <w:color w:val="0563C1" w:themeColor="hyperlink"/>
      <w:u w:val="single"/>
    </w:rPr>
  </w:style>
  <w:style w:type="character" w:styleId="UnresolvedMention">
    <w:name w:val="Unresolved Mention"/>
    <w:basedOn w:val="DefaultParagraphFont"/>
    <w:uiPriority w:val="99"/>
    <w:semiHidden/>
    <w:unhideWhenUsed/>
    <w:rsid w:val="00481CB1"/>
    <w:rPr>
      <w:color w:val="605E5C"/>
      <w:shd w:val="clear" w:color="auto" w:fill="E1DFDD"/>
    </w:rPr>
  </w:style>
  <w:style w:type="paragraph" w:styleId="NoSpacing">
    <w:name w:val="No Spacing"/>
    <w:uiPriority w:val="1"/>
    <w:qFormat/>
    <w:rsid w:val="00743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pd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theresaraju1980@gmail.com</dc:creator>
  <cp:keywords/>
  <dc:description/>
  <cp:lastModifiedBy>theresaraju1980@gmail.com</cp:lastModifiedBy>
  <cp:revision>11</cp:revision>
  <dcterms:created xsi:type="dcterms:W3CDTF">2025-10-30T03:21:00Z</dcterms:created>
  <dcterms:modified xsi:type="dcterms:W3CDTF">2025-10-30T15:35:00Z</dcterms:modified>
</cp:coreProperties>
</file>