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53" w:rsidRDefault="00652A53" w:rsidP="00652A53">
      <w:pPr>
        <w:rPr>
          <w:rFonts w:asciiTheme="majorBidi" w:hAnsiTheme="majorBidi" w:cstheme="majorBidi"/>
          <w:b/>
          <w:bCs/>
        </w:rPr>
      </w:pPr>
    </w:p>
    <w:p w:rsidR="00652A53" w:rsidRDefault="00652A53" w:rsidP="00652A53">
      <w:p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  <w:b/>
          <w:bCs/>
        </w:rPr>
        <w:t>Title:</w:t>
      </w:r>
      <w:r w:rsidRPr="00652A53">
        <w:rPr>
          <w:rFonts w:asciiTheme="majorBidi" w:hAnsiTheme="majorBidi" w:cstheme="majorBidi"/>
        </w:rPr>
        <w:t xml:space="preserve"> Bring Hygiene &amp; Hope to 300 Children in Pakistan</w:t>
      </w:r>
      <w:r w:rsidRPr="00652A53">
        <w:rPr>
          <w:rFonts w:asciiTheme="majorBidi" w:hAnsiTheme="majorBidi" w:cstheme="majorBidi"/>
        </w:rPr>
        <w:br/>
      </w:r>
      <w:r w:rsidRPr="00652A53">
        <w:rPr>
          <w:rFonts w:asciiTheme="majorBidi" w:hAnsiTheme="majorBidi" w:cstheme="majorBidi"/>
          <w:b/>
          <w:bCs/>
        </w:rPr>
        <w:t>Organization:</w:t>
      </w:r>
      <w:r w:rsidRPr="00652A53">
        <w:rPr>
          <w:rFonts w:asciiTheme="majorBidi" w:hAnsiTheme="majorBidi" w:cstheme="majorBidi"/>
        </w:rPr>
        <w:t xml:space="preserve"> Dosti Welfare Organiza</w:t>
      </w:r>
      <w:r>
        <w:rPr>
          <w:rFonts w:asciiTheme="majorBidi" w:hAnsiTheme="majorBidi" w:cstheme="majorBidi"/>
        </w:rPr>
        <w:t>tion</w:t>
      </w:r>
      <w:r w:rsidRPr="00652A53">
        <w:rPr>
          <w:rFonts w:asciiTheme="majorBidi" w:hAnsiTheme="majorBidi" w:cstheme="majorBidi"/>
        </w:rPr>
        <w:br/>
      </w:r>
      <w:r w:rsidRPr="00652A53">
        <w:rPr>
          <w:rFonts w:asciiTheme="majorBidi" w:hAnsiTheme="majorBidi" w:cstheme="majorBidi"/>
          <w:b/>
          <w:bCs/>
        </w:rPr>
        <w:t>Location:</w:t>
      </w:r>
      <w:r w:rsidRPr="00652A53">
        <w:rPr>
          <w:rFonts w:asciiTheme="majorBidi" w:hAnsiTheme="majorBidi" w:cstheme="majorBidi"/>
        </w:rPr>
        <w:t xml:space="preserve"> Khyber Pakhtunkhwa, Pakistan</w:t>
      </w:r>
      <w:r w:rsidRPr="00652A53">
        <w:rPr>
          <w:rFonts w:asciiTheme="majorBidi" w:hAnsiTheme="majorBidi" w:cstheme="majorBidi"/>
        </w:rPr>
        <w:br/>
      </w:r>
      <w:r w:rsidRPr="00652A53">
        <w:rPr>
          <w:rFonts w:asciiTheme="majorBidi" w:hAnsiTheme="majorBidi" w:cstheme="majorBidi"/>
          <w:b/>
          <w:bCs/>
        </w:rPr>
        <w:t>Duration:</w:t>
      </w:r>
      <w:r>
        <w:rPr>
          <w:rFonts w:asciiTheme="majorBidi" w:hAnsiTheme="majorBidi" w:cstheme="majorBidi"/>
        </w:rPr>
        <w:t xml:space="preserve"> 3</w:t>
      </w:r>
      <w:r w:rsidRPr="00652A53">
        <w:rPr>
          <w:rFonts w:asciiTheme="majorBidi" w:hAnsiTheme="majorBidi" w:cstheme="majorBidi"/>
        </w:rPr>
        <w:t xml:space="preserve"> months (Pilot Phase</w:t>
      </w:r>
      <w:proofErr w:type="gramStart"/>
      <w:r w:rsidRPr="00652A53">
        <w:rPr>
          <w:rFonts w:asciiTheme="majorBidi" w:hAnsiTheme="majorBidi" w:cstheme="majorBidi"/>
        </w:rPr>
        <w:t>)</w:t>
      </w:r>
      <w:proofErr w:type="gramEnd"/>
      <w:r w:rsidRPr="00652A53">
        <w:rPr>
          <w:rFonts w:asciiTheme="majorBidi" w:hAnsiTheme="majorBidi" w:cstheme="majorBidi"/>
        </w:rPr>
        <w:br/>
      </w:r>
      <w:r w:rsidRPr="00652A53">
        <w:rPr>
          <w:rFonts w:asciiTheme="majorBidi" w:hAnsiTheme="majorBidi" w:cstheme="majorBidi"/>
          <w:b/>
          <w:bCs/>
        </w:rPr>
        <w:t>Budget:</w:t>
      </w:r>
      <w:r w:rsidRPr="00652A53">
        <w:rPr>
          <w:rFonts w:asciiTheme="majorBidi" w:hAnsiTheme="majorBidi" w:cstheme="majorBidi"/>
        </w:rPr>
        <w:t xml:space="preserve"> PKR </w:t>
      </w:r>
      <w:r>
        <w:rPr>
          <w:rFonts w:asciiTheme="majorBidi" w:hAnsiTheme="majorBidi" w:cstheme="majorBidi"/>
        </w:rPr>
        <w:t>700,000</w:t>
      </w:r>
      <w:r w:rsidRPr="00652A53">
        <w:rPr>
          <w:rFonts w:asciiTheme="majorBidi" w:hAnsiTheme="majorBidi" w:cstheme="majorBidi"/>
        </w:rPr>
        <w:t xml:space="preserve"> (~USD </w:t>
      </w:r>
      <w:r>
        <w:rPr>
          <w:rFonts w:asciiTheme="majorBidi" w:hAnsiTheme="majorBidi" w:cstheme="majorBidi"/>
        </w:rPr>
        <w:t>2</w:t>
      </w:r>
      <w:r w:rsidRPr="00652A5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>5</w:t>
      </w:r>
      <w:r w:rsidRPr="00652A53">
        <w:rPr>
          <w:rFonts w:asciiTheme="majorBidi" w:hAnsiTheme="majorBidi" w:cstheme="majorBidi"/>
        </w:rPr>
        <w:t>00)</w:t>
      </w:r>
      <w:r w:rsidRPr="00652A53">
        <w:rPr>
          <w:rFonts w:asciiTheme="majorBidi" w:hAnsiTheme="majorBidi" w:cstheme="majorBidi"/>
        </w:rPr>
        <w:br/>
      </w:r>
      <w:r w:rsidRPr="00652A53">
        <w:rPr>
          <w:rFonts w:asciiTheme="majorBidi" w:hAnsiTheme="majorBidi" w:cstheme="majorBidi"/>
          <w:b/>
          <w:bCs/>
        </w:rPr>
        <w:t>Contact:</w:t>
      </w:r>
      <w:r w:rsidRPr="00652A53">
        <w:rPr>
          <w:rFonts w:asciiTheme="majorBidi" w:hAnsiTheme="majorBidi" w:cstheme="majorBidi"/>
        </w:rPr>
        <w:t xml:space="preserve"> </w:t>
      </w:r>
      <w:hyperlink r:id="rId7" w:history="1">
        <w:r w:rsidRPr="00652A53">
          <w:rPr>
            <w:rStyle w:val="Hyperlink"/>
            <w:rFonts w:asciiTheme="majorBidi" w:hAnsiTheme="majorBidi" w:cstheme="majorBidi"/>
          </w:rPr>
          <w:t>info@dostiwelfare.org</w:t>
        </w:r>
      </w:hyperlink>
      <w:r w:rsidRPr="00652A53">
        <w:rPr>
          <w:rFonts w:asciiTheme="majorBidi" w:hAnsiTheme="majorBidi" w:cstheme="majorBidi"/>
        </w:rPr>
        <w:t xml:space="preserve"> | </w:t>
      </w:r>
      <w:hyperlink r:id="rId8" w:history="1">
        <w:r w:rsidRPr="00652A53">
          <w:rPr>
            <w:rStyle w:val="Hyperlink"/>
            <w:rFonts w:asciiTheme="majorBidi" w:hAnsiTheme="majorBidi" w:cstheme="majorBidi"/>
          </w:rPr>
          <w:t>www.dostiwelfare.org</w:t>
        </w:r>
      </w:hyperlink>
      <w:r w:rsidRPr="00652A53">
        <w:rPr>
          <w:rFonts w:asciiTheme="majorBidi" w:hAnsiTheme="majorBidi" w:cstheme="majorBidi"/>
        </w:rPr>
        <w:br/>
      </w:r>
    </w:p>
    <w:p w:rsidR="00652A53" w:rsidRPr="003E5224" w:rsidRDefault="00652A53" w:rsidP="00652A53">
      <w:pPr>
        <w:rPr>
          <w:rFonts w:asciiTheme="majorBidi" w:hAnsiTheme="majorBidi" w:cstheme="majorBidi"/>
          <w:b/>
          <w:bCs/>
          <w:u w:val="single"/>
        </w:rPr>
      </w:pPr>
      <w:r w:rsidRPr="003E5224">
        <w:rPr>
          <w:rFonts w:asciiTheme="majorBidi" w:hAnsiTheme="majorBidi" w:cstheme="majorBidi"/>
          <w:b/>
          <w:bCs/>
          <w:u w:val="single"/>
        </w:rPr>
        <w:t>Project Overview</w:t>
      </w:r>
    </w:p>
    <w:p w:rsidR="00652A53" w:rsidRPr="00652A53" w:rsidRDefault="00652A53" w:rsidP="00652A53">
      <w:pPr>
        <w:jc w:val="both"/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  <w:b/>
          <w:bCs/>
        </w:rPr>
        <w:t>Background</w:t>
      </w:r>
      <w:proofErr w:type="gramStart"/>
      <w:r w:rsidRPr="00652A53">
        <w:rPr>
          <w:rFonts w:asciiTheme="majorBidi" w:hAnsiTheme="majorBidi" w:cstheme="majorBidi"/>
          <w:b/>
          <w:bCs/>
        </w:rPr>
        <w:t>:</w:t>
      </w:r>
      <w:proofErr w:type="gramEnd"/>
      <w:r w:rsidRPr="00652A53">
        <w:rPr>
          <w:rFonts w:asciiTheme="majorBidi" w:hAnsiTheme="majorBidi" w:cstheme="majorBidi"/>
        </w:rPr>
        <w:br/>
        <w:t xml:space="preserve">Dosti Welfare Organization runs Dosti School on Wheels, a mobile education program that reaches children in </w:t>
      </w:r>
      <w:r>
        <w:rPr>
          <w:rFonts w:asciiTheme="majorBidi" w:hAnsiTheme="majorBidi" w:cstheme="majorBidi"/>
        </w:rPr>
        <w:t>slum</w:t>
      </w:r>
      <w:r w:rsidRPr="00652A53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rural</w:t>
      </w:r>
      <w:r w:rsidRPr="00652A53">
        <w:rPr>
          <w:rFonts w:asciiTheme="majorBidi" w:hAnsiTheme="majorBidi" w:cstheme="majorBidi"/>
        </w:rPr>
        <w:t xml:space="preserve"> communities of Khyber Pakhtunkhwa. Most of these children lack access to hygiene education, leading to preventable illnesses and school absenteeism.</w:t>
      </w:r>
    </w:p>
    <w:p w:rsidR="00652A53" w:rsidRPr="00652A53" w:rsidRDefault="00652A53" w:rsidP="00652A53">
      <w:pPr>
        <w:jc w:val="both"/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  <w:b/>
          <w:bCs/>
        </w:rPr>
        <w:t>Objective</w:t>
      </w:r>
      <w:proofErr w:type="gramStart"/>
      <w:r w:rsidRPr="00652A53">
        <w:rPr>
          <w:rFonts w:asciiTheme="majorBidi" w:hAnsiTheme="majorBidi" w:cstheme="majorBidi"/>
          <w:b/>
          <w:bCs/>
        </w:rPr>
        <w:t>:</w:t>
      </w:r>
      <w:proofErr w:type="gramEnd"/>
      <w:r w:rsidRPr="00652A53">
        <w:rPr>
          <w:rFonts w:asciiTheme="majorBidi" w:hAnsiTheme="majorBidi" w:cstheme="majorBidi"/>
        </w:rPr>
        <w:br/>
        <w:t xml:space="preserve">To improve hygiene knowledge and practices among </w:t>
      </w:r>
      <w:r>
        <w:rPr>
          <w:rFonts w:asciiTheme="majorBidi" w:hAnsiTheme="majorBidi" w:cstheme="majorBidi"/>
        </w:rPr>
        <w:t>3</w:t>
      </w:r>
      <w:r w:rsidRPr="00652A53">
        <w:rPr>
          <w:rFonts w:asciiTheme="majorBidi" w:hAnsiTheme="majorBidi" w:cstheme="majorBidi"/>
        </w:rPr>
        <w:t>00</w:t>
      </w:r>
      <w:r>
        <w:rPr>
          <w:rFonts w:asciiTheme="majorBidi" w:hAnsiTheme="majorBidi" w:cstheme="majorBidi"/>
        </w:rPr>
        <w:t xml:space="preserve"> out-of-school children through awar</w:t>
      </w:r>
      <w:r w:rsidR="000F030C">
        <w:rPr>
          <w:rFonts w:asciiTheme="majorBidi" w:hAnsiTheme="majorBidi" w:cstheme="majorBidi"/>
        </w:rPr>
        <w:t>e</w:t>
      </w:r>
      <w:bookmarkStart w:id="0" w:name="_GoBack"/>
      <w:bookmarkEnd w:id="0"/>
      <w:r>
        <w:rPr>
          <w:rFonts w:asciiTheme="majorBidi" w:hAnsiTheme="majorBidi" w:cstheme="majorBidi"/>
        </w:rPr>
        <w:t xml:space="preserve">ness </w:t>
      </w:r>
      <w:r w:rsidRPr="00652A53">
        <w:rPr>
          <w:rFonts w:asciiTheme="majorBidi" w:hAnsiTheme="majorBidi" w:cstheme="majorBidi"/>
        </w:rPr>
        <w:t>sessions, demonstrations, and hygiene kit distribution.</w:t>
      </w:r>
    </w:p>
    <w:p w:rsidR="00652A53" w:rsidRPr="00652A53" w:rsidRDefault="00652A53" w:rsidP="00652A53">
      <w:pPr>
        <w:rPr>
          <w:rFonts w:asciiTheme="majorBidi" w:hAnsiTheme="majorBidi" w:cstheme="majorBidi"/>
          <w:b/>
          <w:bCs/>
        </w:rPr>
      </w:pPr>
      <w:r w:rsidRPr="00652A53">
        <w:rPr>
          <w:rFonts w:asciiTheme="majorBidi" w:hAnsiTheme="majorBidi" w:cstheme="majorBidi"/>
          <w:b/>
          <w:bCs/>
        </w:rPr>
        <w:t>Activities:</w:t>
      </w:r>
    </w:p>
    <w:p w:rsidR="00652A53" w:rsidRPr="00652A53" w:rsidRDefault="00652A53" w:rsidP="00652A5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</w:rPr>
        <w:t xml:space="preserve">Conduct </w:t>
      </w:r>
      <w:r>
        <w:rPr>
          <w:rFonts w:asciiTheme="majorBidi" w:hAnsiTheme="majorBidi" w:cstheme="majorBidi"/>
        </w:rPr>
        <w:t>5</w:t>
      </w:r>
      <w:r w:rsidRPr="00652A53">
        <w:rPr>
          <w:rFonts w:asciiTheme="majorBidi" w:hAnsiTheme="majorBidi" w:cstheme="majorBidi"/>
        </w:rPr>
        <w:t xml:space="preserve"> hygiene awareness sessions.</w:t>
      </w:r>
    </w:p>
    <w:p w:rsidR="00652A53" w:rsidRPr="00652A53" w:rsidRDefault="00652A53" w:rsidP="00652A5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</w:rPr>
        <w:t xml:space="preserve">Distribute </w:t>
      </w:r>
      <w:r>
        <w:rPr>
          <w:rFonts w:asciiTheme="majorBidi" w:hAnsiTheme="majorBidi" w:cstheme="majorBidi"/>
        </w:rPr>
        <w:t>3</w:t>
      </w:r>
      <w:r w:rsidRPr="00652A53">
        <w:rPr>
          <w:rFonts w:asciiTheme="majorBidi" w:hAnsiTheme="majorBidi" w:cstheme="majorBidi"/>
        </w:rPr>
        <w:t>00 hygiene kits (soap, towel, toothbrush, sanitizer</w:t>
      </w:r>
      <w:r>
        <w:rPr>
          <w:rFonts w:asciiTheme="majorBidi" w:hAnsiTheme="majorBidi" w:cstheme="majorBidi"/>
        </w:rPr>
        <w:t>, etc.</w:t>
      </w:r>
      <w:r w:rsidRPr="00652A53">
        <w:rPr>
          <w:rFonts w:asciiTheme="majorBidi" w:hAnsiTheme="majorBidi" w:cstheme="majorBidi"/>
        </w:rPr>
        <w:t>).</w:t>
      </w:r>
    </w:p>
    <w:p w:rsidR="00652A53" w:rsidRPr="00652A53" w:rsidRDefault="00652A53" w:rsidP="00652A5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</w:rPr>
        <w:t>Train teachers and volunteers in WASH education.</w:t>
      </w:r>
    </w:p>
    <w:p w:rsidR="00652A53" w:rsidRPr="00503FF3" w:rsidRDefault="00652A53" w:rsidP="00503FF3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</w:rPr>
        <w:t>Monitor behavior change and attendance improvement.</w:t>
      </w:r>
    </w:p>
    <w:p w:rsidR="00652A53" w:rsidRPr="003E5224" w:rsidRDefault="00652A53" w:rsidP="00652A53">
      <w:pPr>
        <w:rPr>
          <w:rFonts w:asciiTheme="majorBidi" w:hAnsiTheme="majorBidi" w:cstheme="majorBidi"/>
          <w:b/>
          <w:bCs/>
          <w:u w:val="single"/>
        </w:rPr>
      </w:pPr>
      <w:r w:rsidRPr="003E5224">
        <w:rPr>
          <w:rFonts w:asciiTheme="majorBidi" w:hAnsiTheme="majorBidi" w:cstheme="majorBidi"/>
          <w:b/>
          <w:bCs/>
          <w:u w:val="single"/>
        </w:rPr>
        <w:t>Budget Summary</w:t>
      </w:r>
    </w:p>
    <w:tbl>
      <w:tblPr>
        <w:tblStyle w:val="TableGrid"/>
        <w:tblW w:w="5176" w:type="pct"/>
        <w:tblLook w:val="04A0" w:firstRow="1" w:lastRow="0" w:firstColumn="1" w:lastColumn="0" w:noHBand="0" w:noVBand="1"/>
      </w:tblPr>
      <w:tblGrid>
        <w:gridCol w:w="4981"/>
        <w:gridCol w:w="1281"/>
        <w:gridCol w:w="1851"/>
        <w:gridCol w:w="1566"/>
      </w:tblGrid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3FF3">
              <w:rPr>
                <w:rFonts w:asciiTheme="majorBidi" w:hAnsiTheme="majorBidi" w:cstheme="majorBidi"/>
                <w:b/>
                <w:bCs/>
              </w:rPr>
              <w:t>Item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3FF3">
              <w:rPr>
                <w:rFonts w:asciiTheme="majorBidi" w:hAnsiTheme="majorBidi" w:cstheme="majorBidi"/>
                <w:b/>
                <w:bCs/>
              </w:rPr>
              <w:t>Quantity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3FF3">
              <w:rPr>
                <w:rFonts w:asciiTheme="majorBidi" w:hAnsiTheme="majorBidi" w:cstheme="majorBidi"/>
                <w:b/>
                <w:bCs/>
              </w:rPr>
              <w:t>Unit Cost (PKR)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3FF3">
              <w:rPr>
                <w:rFonts w:asciiTheme="majorBidi" w:hAnsiTheme="majorBidi" w:cstheme="majorBidi"/>
                <w:b/>
                <w:bCs/>
              </w:rPr>
              <w:t>Total (PKR)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Hygiene Kits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950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285,000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Educational Posters &amp; Visuals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100 sets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150,000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Volunteer Allowance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3,500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70,000</w:t>
            </w:r>
          </w:p>
        </w:tc>
      </w:tr>
      <w:tr w:rsidR="00503FF3" w:rsidRPr="00503FF3" w:rsidTr="00503FF3">
        <w:trPr>
          <w:trHeight w:val="327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Fuel &amp; Transportation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Lump Sum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50,000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Training &amp; Orientation for Volunteers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2 sessions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10,000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20,000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Refreshments for Children During Sessions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10 sessions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4,000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40,000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Monitoring, Reports, Photography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503FF3">
              <w:rPr>
                <w:rFonts w:asciiTheme="majorBidi" w:hAnsiTheme="majorBidi" w:cstheme="majorBidi"/>
              </w:rPr>
              <w:t>5,000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Miscellaneous / Contingency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—</w:t>
            </w:r>
          </w:p>
        </w:tc>
        <w:tc>
          <w:tcPr>
            <w:tcW w:w="809" w:type="pct"/>
            <w:vAlign w:val="center"/>
            <w:hideMark/>
          </w:tcPr>
          <w:p w:rsidR="00503FF3" w:rsidRPr="00503FF3" w:rsidRDefault="000616AA" w:rsidP="00503F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503FF3" w:rsidRPr="00503FF3">
              <w:rPr>
                <w:rFonts w:asciiTheme="majorBidi" w:hAnsiTheme="majorBidi" w:cstheme="majorBidi"/>
              </w:rPr>
              <w:t>0,000</w:t>
            </w:r>
          </w:p>
        </w:tc>
      </w:tr>
      <w:tr w:rsidR="00503FF3" w:rsidRPr="00503FF3" w:rsidTr="00503FF3">
        <w:trPr>
          <w:trHeight w:val="314"/>
        </w:trPr>
        <w:tc>
          <w:tcPr>
            <w:tcW w:w="2573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  <w:r w:rsidRPr="00503FF3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662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56" w:type="pct"/>
            <w:vAlign w:val="center"/>
            <w:hideMark/>
          </w:tcPr>
          <w:p w:rsidR="00503FF3" w:rsidRPr="00503FF3" w:rsidRDefault="00503FF3" w:rsidP="00503FF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09" w:type="pct"/>
            <w:vAlign w:val="center"/>
            <w:hideMark/>
          </w:tcPr>
          <w:p w:rsidR="00503FF3" w:rsidRPr="00503FF3" w:rsidRDefault="000616AA" w:rsidP="00503F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70</w:t>
            </w:r>
            <w:r w:rsidR="00503FF3" w:rsidRPr="00503FF3">
              <w:rPr>
                <w:rFonts w:asciiTheme="majorBidi" w:hAnsiTheme="majorBidi" w:cstheme="majorBidi"/>
              </w:rPr>
              <w:t>0,000 PKR</w:t>
            </w:r>
          </w:p>
        </w:tc>
      </w:tr>
    </w:tbl>
    <w:p w:rsidR="009B34CF" w:rsidRDefault="009B34CF" w:rsidP="00652A53">
      <w:pPr>
        <w:rPr>
          <w:rFonts w:asciiTheme="majorBidi" w:hAnsiTheme="majorBidi" w:cstheme="majorBidi"/>
          <w:b/>
          <w:bCs/>
        </w:rPr>
      </w:pPr>
    </w:p>
    <w:p w:rsidR="00652A53" w:rsidRPr="009B34CF" w:rsidRDefault="00652A53" w:rsidP="00652A53">
      <w:pPr>
        <w:rPr>
          <w:rFonts w:asciiTheme="majorBidi" w:hAnsiTheme="majorBidi" w:cstheme="majorBidi"/>
          <w:b/>
          <w:bCs/>
        </w:rPr>
      </w:pPr>
      <w:r w:rsidRPr="009B34CF">
        <w:rPr>
          <w:rFonts w:asciiTheme="majorBidi" w:hAnsiTheme="majorBidi" w:cstheme="majorBidi"/>
          <w:b/>
          <w:bCs/>
        </w:rPr>
        <w:t>Long-Term Vision</w:t>
      </w:r>
    </w:p>
    <w:p w:rsidR="00D119A2" w:rsidRPr="00652A53" w:rsidRDefault="00652A53" w:rsidP="00503FF3">
      <w:pPr>
        <w:rPr>
          <w:rFonts w:asciiTheme="majorBidi" w:hAnsiTheme="majorBidi" w:cstheme="majorBidi"/>
        </w:rPr>
      </w:pPr>
      <w:r w:rsidRPr="00652A53">
        <w:rPr>
          <w:rFonts w:asciiTheme="majorBidi" w:hAnsiTheme="majorBidi" w:cstheme="majorBidi"/>
        </w:rPr>
        <w:t>Dosti aims to expand this hygiene awareness model to all Dosti One Room Schools and mobile classrooms across Khyber Pakhtunkhwa. With continued donor support, the initiative will</w:t>
      </w:r>
      <w:r w:rsidR="009B34CF">
        <w:rPr>
          <w:rFonts w:asciiTheme="majorBidi" w:hAnsiTheme="majorBidi" w:cstheme="majorBidi"/>
        </w:rPr>
        <w:t xml:space="preserve"> reach 5,000 children annually</w:t>
      </w:r>
      <w:r w:rsidRPr="00652A53">
        <w:rPr>
          <w:rFonts w:asciiTheme="majorBidi" w:hAnsiTheme="majorBidi" w:cstheme="majorBidi"/>
        </w:rPr>
        <w:t xml:space="preserve"> promoting a healthier, more educated generation.</w:t>
      </w:r>
    </w:p>
    <w:sectPr w:rsidR="00D119A2" w:rsidRPr="00652A53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7D" w:rsidRDefault="0072547D" w:rsidP="00652A53">
      <w:pPr>
        <w:spacing w:after="0" w:line="240" w:lineRule="auto"/>
      </w:pPr>
      <w:r>
        <w:separator/>
      </w:r>
    </w:p>
  </w:endnote>
  <w:endnote w:type="continuationSeparator" w:id="0">
    <w:p w:rsidR="0072547D" w:rsidRDefault="0072547D" w:rsidP="0065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7D" w:rsidRDefault="0072547D" w:rsidP="00652A53">
      <w:pPr>
        <w:spacing w:after="0" w:line="240" w:lineRule="auto"/>
      </w:pPr>
      <w:r>
        <w:separator/>
      </w:r>
    </w:p>
  </w:footnote>
  <w:footnote w:type="continuationSeparator" w:id="0">
    <w:p w:rsidR="0072547D" w:rsidRDefault="0072547D" w:rsidP="0065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53" w:rsidRDefault="00652A53">
    <w:pPr>
      <w:pStyle w:val="Header"/>
    </w:pPr>
    <w:r>
      <w:rPr>
        <w:noProof/>
      </w:rPr>
      <w:drawing>
        <wp:inline distT="0" distB="0" distL="0" distR="0">
          <wp:extent cx="1353787" cy="35544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28" cy="380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C6308"/>
    <w:multiLevelType w:val="multilevel"/>
    <w:tmpl w:val="D07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F65FA"/>
    <w:multiLevelType w:val="hybridMultilevel"/>
    <w:tmpl w:val="FAB0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53"/>
    <w:rsid w:val="000616AA"/>
    <w:rsid w:val="000F030C"/>
    <w:rsid w:val="003E5224"/>
    <w:rsid w:val="00503FF3"/>
    <w:rsid w:val="00652A53"/>
    <w:rsid w:val="0072547D"/>
    <w:rsid w:val="009B34CF"/>
    <w:rsid w:val="00A37ECA"/>
    <w:rsid w:val="00A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8F138"/>
  <w15:chartTrackingRefBased/>
  <w15:docId w15:val="{A565B50C-909D-4273-8742-3CF0026E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A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52A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A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52A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2A53"/>
    <w:rPr>
      <w:b/>
      <w:bCs/>
    </w:rPr>
  </w:style>
  <w:style w:type="character" w:styleId="Emphasis">
    <w:name w:val="Emphasis"/>
    <w:basedOn w:val="DefaultParagraphFont"/>
    <w:uiPriority w:val="20"/>
    <w:qFormat/>
    <w:rsid w:val="00652A53"/>
    <w:rPr>
      <w:i/>
      <w:iCs/>
    </w:rPr>
  </w:style>
  <w:style w:type="character" w:styleId="Hyperlink">
    <w:name w:val="Hyperlink"/>
    <w:basedOn w:val="DefaultParagraphFont"/>
    <w:uiPriority w:val="99"/>
    <w:unhideWhenUsed/>
    <w:rsid w:val="00652A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A53"/>
  </w:style>
  <w:style w:type="paragraph" w:styleId="Footer">
    <w:name w:val="footer"/>
    <w:basedOn w:val="Normal"/>
    <w:link w:val="FooterChar"/>
    <w:uiPriority w:val="99"/>
    <w:unhideWhenUsed/>
    <w:rsid w:val="0065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53"/>
  </w:style>
  <w:style w:type="paragraph" w:styleId="ListParagraph">
    <w:name w:val="List Paragraph"/>
    <w:basedOn w:val="Normal"/>
    <w:uiPriority w:val="34"/>
    <w:qFormat/>
    <w:rsid w:val="00652A53"/>
    <w:pPr>
      <w:ind w:left="720"/>
      <w:contextualSpacing/>
    </w:pPr>
  </w:style>
  <w:style w:type="table" w:styleId="TableGrid">
    <w:name w:val="Table Grid"/>
    <w:basedOn w:val="TableNormal"/>
    <w:uiPriority w:val="39"/>
    <w:rsid w:val="0065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iwelfar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stiwelfa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 Hamza</dc:creator>
  <cp:keywords/>
  <dc:description/>
  <cp:lastModifiedBy>Muhammad  Hamza</cp:lastModifiedBy>
  <cp:revision>4</cp:revision>
  <dcterms:created xsi:type="dcterms:W3CDTF">2025-10-09T13:33:00Z</dcterms:created>
  <dcterms:modified xsi:type="dcterms:W3CDTF">2025-10-09T13:58:00Z</dcterms:modified>
</cp:coreProperties>
</file>