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C99B6" w14:textId="77777777" w:rsidR="0011300E" w:rsidRDefault="0011300E">
      <w:pPr>
        <w:spacing w:before="2600"/>
      </w:pPr>
    </w:p>
    <w:p w14:paraId="1F41CA50" w14:textId="77777777" w:rsidR="0011300E" w:rsidRDefault="00000000">
      <w:pPr>
        <w:spacing w:after="60"/>
        <w:jc w:val="center"/>
      </w:pPr>
      <w:r>
        <w:rPr>
          <w:rFonts w:ascii="Arial" w:eastAsia="Arial" w:hAnsi="Arial" w:cs="Arial"/>
          <w:b/>
          <w:bCs/>
          <w:color w:val="6B6B6B"/>
          <w:spacing w:val="60"/>
          <w:sz w:val="24"/>
          <w:szCs w:val="24"/>
        </w:rPr>
        <w:t>CONCEPT PAPER</w:t>
      </w:r>
    </w:p>
    <w:p w14:paraId="39FB27D2" w14:textId="77777777" w:rsidR="0011300E" w:rsidRDefault="00000000">
      <w:pPr>
        <w:spacing w:after="120"/>
        <w:jc w:val="center"/>
      </w:pPr>
      <w:r>
        <w:rPr>
          <w:rFonts w:ascii="Arial" w:eastAsia="Arial" w:hAnsi="Arial" w:cs="Arial"/>
          <w:b/>
          <w:bCs/>
          <w:color w:val="1E5631"/>
          <w:sz w:val="52"/>
          <w:szCs w:val="52"/>
        </w:rPr>
        <w:t>Mindful Eating for the</w:t>
      </w:r>
    </w:p>
    <w:p w14:paraId="73336513" w14:textId="77777777" w:rsidR="0011300E" w:rsidRDefault="00000000">
      <w:pPr>
        <w:spacing w:after="240"/>
        <w:jc w:val="center"/>
      </w:pPr>
      <w:r>
        <w:rPr>
          <w:rFonts w:ascii="Arial" w:eastAsia="Arial" w:hAnsi="Arial" w:cs="Arial"/>
          <w:b/>
          <w:bCs/>
          <w:color w:val="1E5631"/>
          <w:sz w:val="52"/>
          <w:szCs w:val="52"/>
        </w:rPr>
        <w:t>Beloved Community</w:t>
      </w:r>
    </w:p>
    <w:p w14:paraId="15B9762D" w14:textId="77777777" w:rsidR="0011300E" w:rsidRDefault="00000000">
      <w:pPr>
        <w:pBdr>
          <w:top w:val="single" w:sz="8" w:space="10" w:color="1E5631"/>
          <w:bottom w:val="single" w:sz="8" w:space="10" w:color="1E5631"/>
        </w:pBdr>
        <w:spacing w:before="120" w:after="120"/>
        <w:jc w:val="center"/>
      </w:pPr>
      <w:r>
        <w:rPr>
          <w:rFonts w:ascii="Arial" w:eastAsia="Arial" w:hAnsi="Arial" w:cs="Arial"/>
          <w:i/>
          <w:iCs/>
          <w:sz w:val="26"/>
          <w:szCs w:val="26"/>
        </w:rPr>
        <w:t>A chef-led movement for community health, built inside New York City’s public housing</w:t>
      </w:r>
    </w:p>
    <w:p w14:paraId="06F761F6" w14:textId="77777777" w:rsidR="0011300E" w:rsidRDefault="0011300E">
      <w:pPr>
        <w:spacing w:before="2400"/>
      </w:pPr>
    </w:p>
    <w:p w14:paraId="5B75C407" w14:textId="77777777" w:rsidR="0011300E" w:rsidRDefault="00000000">
      <w:pPr>
        <w:spacing w:after="40"/>
        <w:jc w:val="center"/>
      </w:pPr>
      <w:proofErr w:type="spellStart"/>
      <w:r>
        <w:rPr>
          <w:rFonts w:ascii="Arial" w:eastAsia="Arial" w:hAnsi="Arial" w:cs="Arial"/>
          <w:b/>
          <w:bCs/>
          <w:sz w:val="28"/>
          <w:szCs w:val="28"/>
        </w:rPr>
        <w:t>BCAGlobal</w:t>
      </w:r>
      <w:proofErr w:type="spellEnd"/>
    </w:p>
    <w:p w14:paraId="4FEE1A15" w14:textId="45960E5B" w:rsidR="0011300E" w:rsidRDefault="00BA4241">
      <w:pPr>
        <w:jc w:val="center"/>
      </w:pPr>
      <w:r>
        <w:rPr>
          <w:rFonts w:ascii="Arial" w:eastAsia="Arial" w:hAnsi="Arial" w:cs="Arial"/>
          <w:color w:val="6B6B6B"/>
          <w:sz w:val="20"/>
          <w:szCs w:val="20"/>
        </w:rPr>
        <w:t>EIN-11-3350321</w:t>
      </w:r>
    </w:p>
    <w:p w14:paraId="7C6B73CA" w14:textId="77777777" w:rsidR="0011300E" w:rsidRDefault="0011300E">
      <w:pPr>
        <w:sectPr w:rsidR="0011300E">
          <w:pgSz w:w="12240" w:h="15840"/>
          <w:pgMar w:top="1440" w:right="1440" w:bottom="1440" w:left="1440" w:header="708" w:footer="708" w:gutter="0"/>
          <w:cols w:space="720"/>
          <w:docGrid w:linePitch="360"/>
        </w:sectPr>
      </w:pPr>
    </w:p>
    <w:p w14:paraId="4145F642" w14:textId="77777777" w:rsidR="0011300E" w:rsidRDefault="00000000">
      <w:pPr>
        <w:pStyle w:val="Heading1"/>
        <w:pBdr>
          <w:bottom w:val="single" w:sz="8" w:space="6" w:color="1E5631"/>
        </w:pBdr>
      </w:pPr>
      <w:r>
        <w:lastRenderedPageBreak/>
        <w:t>Executive Summary</w:t>
      </w:r>
    </w:p>
    <w:p w14:paraId="34050EC7" w14:textId="77777777" w:rsidR="0011300E" w:rsidRDefault="00000000">
      <w:pPr>
        <w:spacing w:after="160" w:line="276" w:lineRule="auto"/>
        <w:jc w:val="both"/>
      </w:pPr>
      <w:r>
        <w:t>In the communities Mindful Eating for the Beloved Community (MEBC) serves, diet-related disease is not a failure of willpower. It is the predictable result of systems engineered to make the least healthy food the cheapest, the most available, and the most aggressively marketed. For decades, well-meaning programs have treated the symptoms of that design. MEBC was built to change the design itself.</w:t>
      </w:r>
    </w:p>
    <w:p w14:paraId="4114C91A" w14:textId="77777777" w:rsidR="0011300E" w:rsidRDefault="00000000">
      <w:pPr>
        <w:spacing w:after="160" w:line="276" w:lineRule="auto"/>
        <w:jc w:val="both"/>
      </w:pPr>
      <w:r>
        <w:t xml:space="preserve">MEBC is a movement-based initiative that empowers residents to confront the </w:t>
      </w:r>
      <w:r>
        <w:rPr>
          <w:b/>
          <w:bCs/>
        </w:rPr>
        <w:t>social determinants of health</w:t>
      </w:r>
      <w:r>
        <w:t xml:space="preserve"> (SDOH) at their roots. Its central innovation is the way the work is delivered: not as lectures, but through </w:t>
      </w:r>
      <w:r>
        <w:rPr>
          <w:b/>
          <w:bCs/>
        </w:rPr>
        <w:t>interactive, chef-led healthy-eating workshops</w:t>
      </w:r>
      <w:r>
        <w:t xml:space="preserve"> in which trained culinary professionals cook alongside residents and turn nutrition science into food people can taste, recreate, and own. That practice is paired with a trauma-informed mindfulness approach and the Strategic Prevention Framework (SPF) — a proven, five-stage public health model — to form durable community collectives for systemic change.</w:t>
      </w:r>
    </w:p>
    <w:p w14:paraId="5573B7FF" w14:textId="11327383" w:rsidR="0011300E" w:rsidRDefault="00000000">
      <w:pPr>
        <w:spacing w:after="160" w:line="276" w:lineRule="auto"/>
        <w:jc w:val="both"/>
      </w:pPr>
      <w:r>
        <w:t xml:space="preserve">MEBC brings this model directly into </w:t>
      </w:r>
      <w:r w:rsidR="00BA4241">
        <w:t>places</w:t>
      </w:r>
      <w:r>
        <w:t xml:space="preserve"> where the need is most concentrated and most overlooked: </w:t>
      </w:r>
      <w:r>
        <w:rPr>
          <w:b/>
          <w:bCs/>
        </w:rPr>
        <w:t>New York City’s public housing developments</w:t>
      </w:r>
      <w:r>
        <w:t xml:space="preserve">. Beginning in the Bronx and scaling across NYCHA communities citywide, MEBC treats the development not as a backdrop but as the unit of change — the campus where a movement is built resident by resident, building by building. At larger community events, lead chefs and clinicians are joined by </w:t>
      </w:r>
      <w:r>
        <w:rPr>
          <w:b/>
          <w:bCs/>
        </w:rPr>
        <w:t>culinary and medical students serving as mentees</w:t>
      </w:r>
      <w:r>
        <w:t>, who become the next generation of community health ambassadors. The result is not another service delivered to a community. It is a culture shift driven by it.</w:t>
      </w:r>
    </w:p>
    <w:p w14:paraId="53668B66" w14:textId="77777777" w:rsidR="0011300E" w:rsidRDefault="00000000">
      <w:pPr>
        <w:spacing w:after="160" w:line="276" w:lineRule="auto"/>
        <w:jc w:val="both"/>
      </w:pPr>
      <w:r>
        <w:t>This paper sets out three things: the program model and the evidence-based frameworks behind it; the depth of community need that makes it urgent; and the theory of change that explains why a movement — not a service — is the only intervention equal to the scale of the problem.</w:t>
      </w:r>
    </w:p>
    <w:p w14:paraId="1FFEB920" w14:textId="77777777" w:rsidR="0011300E" w:rsidRDefault="00000000">
      <w:pPr>
        <w:pStyle w:val="Heading1"/>
        <w:pBdr>
          <w:bottom w:val="single" w:sz="8" w:space="6" w:color="1E5631"/>
        </w:pBdr>
      </w:pPr>
      <w:r>
        <w:t>I.  The MEBC Program</w:t>
      </w:r>
    </w:p>
    <w:p w14:paraId="0A10B7C7" w14:textId="4DC1B76D" w:rsidR="0011300E" w:rsidRDefault="00000000">
      <w:pPr>
        <w:spacing w:after="160" w:line="276" w:lineRule="auto"/>
        <w:jc w:val="both"/>
      </w:pPr>
      <w:r>
        <w:t xml:space="preserve">MEBC empowers individuals and communities to address health challenges rooted in the social determinants of health — the conditions in the environments where people are </w:t>
      </w:r>
      <w:proofErr w:type="gramStart"/>
      <w:r>
        <w:t>born, live</w:t>
      </w:r>
      <w:proofErr w:type="gramEnd"/>
      <w:r>
        <w:t xml:space="preserve">, learn, work, play, worship, and age that shape health, </w:t>
      </w:r>
      <w:r w:rsidR="00BA4241">
        <w:t>function</w:t>
      </w:r>
      <w:r>
        <w:t>, and quality of life. Rather than asking residents to make better choices inside a broken food environment, MEBC partners with them to rebuild that environment so the healthy choice becomes the easy, affordable, and celebrated one.</w:t>
      </w:r>
    </w:p>
    <w:p w14:paraId="3E66F4C8" w14:textId="77777777" w:rsidR="0011300E" w:rsidRDefault="00000000">
      <w:pPr>
        <w:pStyle w:val="Heading2"/>
      </w:pPr>
      <w:r>
        <w:t>The MEBC Model in Practice: Chef-Delivered Interactive Workshops</w:t>
      </w:r>
    </w:p>
    <w:p w14:paraId="0EC96BEF" w14:textId="77777777" w:rsidR="0011300E" w:rsidRDefault="00000000">
      <w:pPr>
        <w:spacing w:after="160" w:line="276" w:lineRule="auto"/>
        <w:jc w:val="both"/>
      </w:pPr>
      <w:r>
        <w:t>At the center of MEBC is a deceptively simple innovation: every food segment is convened by a trained culinary professional, and the workshop is interactive rather than instructional. A chef cooks alongside residents — demonstrating, tasting, and adapting — so that healthy eating becomes something participants can smell, handle, and recreate in their own kitchens that same night.</w:t>
      </w:r>
    </w:p>
    <w:p w14:paraId="603E6A0B" w14:textId="77777777" w:rsidR="0011300E" w:rsidRDefault="00000000">
      <w:pPr>
        <w:spacing w:after="160" w:line="276" w:lineRule="auto"/>
        <w:jc w:val="both"/>
      </w:pPr>
      <w:r>
        <w:lastRenderedPageBreak/>
        <w:t>This matters because information alone has never changed how a community eats. Residents of low-income neighborhoods are not short on messaging about what they should eat; they are surrounded by it, and it is routinely drowned out by the marketing of cheaper, unhealthier options. What has been missing is credible, hands-on, culturally fluent guidance from someone who commands respect in the kitchen and meets people where they are. A professional chef brings exactly that. The chef-led, interactive format delivers benefits no pamphlet or slideshow can:</w:t>
      </w:r>
    </w:p>
    <w:p w14:paraId="55770701" w14:textId="77777777" w:rsidR="0011300E" w:rsidRDefault="00000000">
      <w:pPr>
        <w:pStyle w:val="ListParagraph"/>
        <w:numPr>
          <w:ilvl w:val="0"/>
          <w:numId w:val="2"/>
        </w:numPr>
        <w:spacing w:after="100" w:line="270" w:lineRule="auto"/>
        <w:jc w:val="both"/>
      </w:pPr>
      <w:r>
        <w:rPr>
          <w:b/>
          <w:bCs/>
          <w:color w:val="1E5631"/>
        </w:rPr>
        <w:t xml:space="preserve">Trust and credibility. </w:t>
      </w:r>
      <w:r>
        <w:t>A skilled chef earns immediate respect and disarms the skepticism that often greets an outside “health program.”</w:t>
      </w:r>
    </w:p>
    <w:p w14:paraId="5254977D" w14:textId="77777777" w:rsidR="0011300E" w:rsidRDefault="00000000">
      <w:pPr>
        <w:pStyle w:val="ListParagraph"/>
        <w:numPr>
          <w:ilvl w:val="0"/>
          <w:numId w:val="2"/>
        </w:numPr>
        <w:spacing w:after="100" w:line="270" w:lineRule="auto"/>
        <w:jc w:val="both"/>
      </w:pPr>
      <w:r>
        <w:rPr>
          <w:b/>
          <w:bCs/>
          <w:color w:val="1E5631"/>
        </w:rPr>
        <w:t xml:space="preserve">Experiential learning. </w:t>
      </w:r>
      <w:r>
        <w:t>Participants do not watch — they chop, season, taste, and plate. Skills learned by hand are retained and repeated long after the session ends.</w:t>
      </w:r>
    </w:p>
    <w:p w14:paraId="1244865B" w14:textId="77777777" w:rsidR="0011300E" w:rsidRDefault="00000000">
      <w:pPr>
        <w:pStyle w:val="ListParagraph"/>
        <w:numPr>
          <w:ilvl w:val="0"/>
          <w:numId w:val="2"/>
        </w:numPr>
        <w:spacing w:after="100" w:line="270" w:lineRule="auto"/>
        <w:jc w:val="both"/>
      </w:pPr>
      <w:r>
        <w:rPr>
          <w:b/>
          <w:bCs/>
          <w:color w:val="1E5631"/>
        </w:rPr>
        <w:t xml:space="preserve">Cultural fluency. </w:t>
      </w:r>
      <w:r>
        <w:t>Chefs adapt recipes to the flavors, budgets, and traditions of each community, so healthy eating feels like an upgrade to familiar food rather than a replacement of it.</w:t>
      </w:r>
    </w:p>
    <w:p w14:paraId="69E312C5" w14:textId="77777777" w:rsidR="0011300E" w:rsidRDefault="00000000">
      <w:pPr>
        <w:pStyle w:val="ListParagraph"/>
        <w:numPr>
          <w:ilvl w:val="0"/>
          <w:numId w:val="2"/>
        </w:numPr>
        <w:spacing w:after="100" w:line="270" w:lineRule="auto"/>
        <w:jc w:val="both"/>
      </w:pPr>
      <w:r>
        <w:rPr>
          <w:b/>
          <w:bCs/>
          <w:color w:val="1E5631"/>
        </w:rPr>
        <w:t xml:space="preserve">Dignity over deficit. </w:t>
      </w:r>
      <w:r>
        <w:t>The workshop treats residents as capable cooks and decision-makers, not as problems to be fixed.</w:t>
      </w:r>
    </w:p>
    <w:p w14:paraId="4753F4DF" w14:textId="77777777" w:rsidR="0011300E" w:rsidRDefault="00000000">
      <w:pPr>
        <w:pStyle w:val="ListParagraph"/>
        <w:numPr>
          <w:ilvl w:val="0"/>
          <w:numId w:val="2"/>
        </w:numPr>
        <w:spacing w:after="100" w:line="270" w:lineRule="auto"/>
        <w:jc w:val="both"/>
      </w:pPr>
      <w:r>
        <w:rPr>
          <w:b/>
          <w:bCs/>
          <w:color w:val="1E5631"/>
        </w:rPr>
        <w:t xml:space="preserve">Mindfulness in action. </w:t>
      </w:r>
      <w:r>
        <w:t>Cooking and eating together becomes the vehicle for the program’s mindfulness practice — present-moment attention, emotional regulation, and self-compassion practiced at the cutting board and the table.</w:t>
      </w:r>
    </w:p>
    <w:p w14:paraId="7AE5D8AA" w14:textId="77777777" w:rsidR="0011300E" w:rsidRDefault="00000000">
      <w:pPr>
        <w:pStyle w:val="Heading2"/>
      </w:pPr>
      <w:r>
        <w:t>Building the Next Generation: Culinary &amp; Medical Students as Community Health Ambassadors</w:t>
      </w:r>
    </w:p>
    <w:p w14:paraId="5EB5E0CD" w14:textId="77777777" w:rsidR="0011300E" w:rsidRDefault="00000000">
      <w:pPr>
        <w:spacing w:after="160" w:line="276" w:lineRule="auto"/>
        <w:jc w:val="both"/>
      </w:pPr>
      <w:r>
        <w:t>As MEBC scales to larger community events, the model deliberately pairs lead chefs and health professionals with culinary students and medical students who serve as mentees. This is not auxiliary staffing; it is succession planning for community health.</w:t>
      </w:r>
    </w:p>
    <w:p w14:paraId="027DF9CF" w14:textId="77777777" w:rsidR="0011300E" w:rsidRDefault="00000000">
      <w:pPr>
        <w:spacing w:after="160" w:line="276" w:lineRule="auto"/>
        <w:jc w:val="both"/>
      </w:pPr>
      <w:r>
        <w:t>Culinary students gain experience their training rarely provides — using food as a tool for public health and community trust, mentored by seasoned chefs who model culinary medicine in practice. Medical students gain what their training almost never includes — hands-on fluency with food, direct contact with the social determinants of health, and a working relationship with the communities they will one day treat. Together, these mentees become future community health ambassadors: a pipeline of chefs and clinicians who carry the MEBC approach into their careers and back into their neighborhoods. The benefits compound:</w:t>
      </w:r>
    </w:p>
    <w:p w14:paraId="35E52BCD" w14:textId="77777777" w:rsidR="0011300E" w:rsidRDefault="00000000">
      <w:pPr>
        <w:pStyle w:val="ListParagraph"/>
        <w:numPr>
          <w:ilvl w:val="0"/>
          <w:numId w:val="2"/>
        </w:numPr>
        <w:spacing w:after="100" w:line="270" w:lineRule="auto"/>
        <w:jc w:val="both"/>
      </w:pPr>
      <w:r>
        <w:rPr>
          <w:b/>
          <w:bCs/>
          <w:color w:val="1E5631"/>
        </w:rPr>
        <w:t xml:space="preserve">Workforce development. </w:t>
      </w:r>
      <w:r>
        <w:t>MEBC builds a credentialed bench of culinary-medicine practitioners rather than depending on a handful of experts.</w:t>
      </w:r>
    </w:p>
    <w:p w14:paraId="33CE3AC2" w14:textId="77777777" w:rsidR="0011300E" w:rsidRDefault="00000000">
      <w:pPr>
        <w:pStyle w:val="ListParagraph"/>
        <w:numPr>
          <w:ilvl w:val="0"/>
          <w:numId w:val="2"/>
        </w:numPr>
        <w:spacing w:after="100" w:line="270" w:lineRule="auto"/>
        <w:jc w:val="both"/>
      </w:pPr>
      <w:r>
        <w:rPr>
          <w:b/>
          <w:bCs/>
          <w:color w:val="1E5631"/>
        </w:rPr>
        <w:t xml:space="preserve">Bridging two professions. </w:t>
      </w:r>
      <w:r>
        <w:t>It connects the culinary and medical fields around a shared mission, embedding food-as-medicine into the formation of both.</w:t>
      </w:r>
    </w:p>
    <w:p w14:paraId="09B0E272" w14:textId="77777777" w:rsidR="0011300E" w:rsidRDefault="00000000">
      <w:pPr>
        <w:pStyle w:val="ListParagraph"/>
        <w:numPr>
          <w:ilvl w:val="0"/>
          <w:numId w:val="2"/>
        </w:numPr>
        <w:spacing w:after="100" w:line="270" w:lineRule="auto"/>
        <w:jc w:val="both"/>
      </w:pPr>
      <w:r>
        <w:rPr>
          <w:b/>
          <w:bCs/>
          <w:color w:val="1E5631"/>
        </w:rPr>
        <w:t xml:space="preserve">Sustainable scale. </w:t>
      </w:r>
      <w:r>
        <w:t xml:space="preserve">Each event trains the people who will lead the next one, lowering </w:t>
      </w:r>
      <w:proofErr w:type="gramStart"/>
      <w:r>
        <w:t>cost</w:t>
      </w:r>
      <w:proofErr w:type="gramEnd"/>
      <w:r>
        <w:t xml:space="preserve"> and deepening local ownership over time.</w:t>
      </w:r>
    </w:p>
    <w:p w14:paraId="61EBEB35" w14:textId="77777777" w:rsidR="0011300E" w:rsidRDefault="00000000">
      <w:pPr>
        <w:pStyle w:val="ListParagraph"/>
        <w:numPr>
          <w:ilvl w:val="0"/>
          <w:numId w:val="2"/>
        </w:numPr>
        <w:spacing w:after="100" w:line="270" w:lineRule="auto"/>
        <w:jc w:val="both"/>
      </w:pPr>
      <w:r>
        <w:rPr>
          <w:b/>
          <w:bCs/>
          <w:color w:val="1E5631"/>
        </w:rPr>
        <w:t xml:space="preserve">Role models from within. </w:t>
      </w:r>
      <w:r>
        <w:t>Students drawn from or connected to these communities become visible proof that this work is a viable, respected calling.</w:t>
      </w:r>
    </w:p>
    <w:p w14:paraId="32AB2825" w14:textId="77777777" w:rsidR="0011300E" w:rsidRDefault="00000000">
      <w:pPr>
        <w:pStyle w:val="Heading2"/>
      </w:pPr>
      <w:r>
        <w:t>Innovation in Public Housing: The Bronx and New York City</w:t>
      </w:r>
    </w:p>
    <w:p w14:paraId="6B2FEFC0" w14:textId="656F2AA4" w:rsidR="0011300E" w:rsidRDefault="00000000">
      <w:pPr>
        <w:spacing w:after="160" w:line="276" w:lineRule="auto"/>
        <w:jc w:val="both"/>
      </w:pPr>
      <w:r>
        <w:lastRenderedPageBreak/>
        <w:t xml:space="preserve">MEBC is an innovation in both what is delivered and where. Public housing residents face some of the steepest food-access and diet-related health disparities in New York City, yet most interventions reach them as one-off services that leave little behind. MEBC instead establishes an ongoing, chef-led, resident-powered presence — anchored at a flagship Bronx development and designed from day one to replicate across sites. The development becomes a proving ground for a model that can travel: a repeatable throughput from a single anchor site to a citywide network of NYCHA communities. In MEBC, </w:t>
      </w:r>
      <w:r w:rsidR="00BA4241">
        <w:t>housing</w:t>
      </w:r>
      <w:r>
        <w:t xml:space="preserve"> development is not the setting for the work. It is </w:t>
      </w:r>
      <w:proofErr w:type="gramStart"/>
      <w:r>
        <w:t>the</w:t>
      </w:r>
      <w:proofErr w:type="gramEnd"/>
      <w:r>
        <w:t xml:space="preserve"> enterprise.</w:t>
      </w:r>
    </w:p>
    <w:p w14:paraId="290D9090" w14:textId="77777777" w:rsidR="0011300E" w:rsidRDefault="00000000">
      <w:pPr>
        <w:pStyle w:val="Heading2"/>
      </w:pPr>
      <w:r>
        <w:t>The Mindfulness Foundation</w:t>
      </w:r>
    </w:p>
    <w:p w14:paraId="086FA8E0" w14:textId="77777777" w:rsidR="0011300E" w:rsidRDefault="00000000">
      <w:pPr>
        <w:spacing w:after="160" w:line="276" w:lineRule="auto"/>
        <w:jc w:val="both"/>
      </w:pPr>
      <w:r>
        <w:t>MEBC uses mindfulness as both an approach and a framework for mental health and trauma, woven through every workshop and event. Its core components are:</w:t>
      </w:r>
    </w:p>
    <w:p w14:paraId="3EAE5492" w14:textId="77777777" w:rsidR="0011300E" w:rsidRDefault="00000000">
      <w:pPr>
        <w:pStyle w:val="ListParagraph"/>
        <w:numPr>
          <w:ilvl w:val="0"/>
          <w:numId w:val="3"/>
        </w:numPr>
        <w:spacing w:after="120" w:line="276" w:lineRule="auto"/>
        <w:jc w:val="both"/>
      </w:pPr>
      <w:r>
        <w:rPr>
          <w:b/>
          <w:bCs/>
          <w:color w:val="1E5631"/>
        </w:rPr>
        <w:t xml:space="preserve">Mindfulness-Based Stress Reduction (MBSR). </w:t>
      </w:r>
      <w:proofErr w:type="gramStart"/>
      <w:r>
        <w:t>Helps</w:t>
      </w:r>
      <w:proofErr w:type="gramEnd"/>
      <w:r>
        <w:t xml:space="preserve"> participants manage stress, anxiety, and depression by focusing on the present moment and developing non-judgmental awareness of their thoughts and feelings.</w:t>
      </w:r>
    </w:p>
    <w:p w14:paraId="40EF2B8C" w14:textId="77777777" w:rsidR="0011300E" w:rsidRDefault="00000000">
      <w:pPr>
        <w:pStyle w:val="ListParagraph"/>
        <w:numPr>
          <w:ilvl w:val="0"/>
          <w:numId w:val="3"/>
        </w:numPr>
        <w:spacing w:after="120" w:line="276" w:lineRule="auto"/>
        <w:jc w:val="both"/>
      </w:pPr>
      <w:r>
        <w:rPr>
          <w:b/>
          <w:bCs/>
          <w:color w:val="1E5631"/>
        </w:rPr>
        <w:t xml:space="preserve">Emotional regulation. </w:t>
      </w:r>
      <w:r>
        <w:t>By creating space between stimulus and response, mindfulness helps people respond to emotions and stressful situations thoughtfully rather than reacting impulsively.</w:t>
      </w:r>
    </w:p>
    <w:p w14:paraId="326670C7" w14:textId="77777777" w:rsidR="0011300E" w:rsidRDefault="00000000">
      <w:pPr>
        <w:pStyle w:val="ListParagraph"/>
        <w:numPr>
          <w:ilvl w:val="0"/>
          <w:numId w:val="3"/>
        </w:numPr>
        <w:spacing w:after="120" w:line="276" w:lineRule="auto"/>
        <w:jc w:val="both"/>
      </w:pPr>
      <w:r>
        <w:rPr>
          <w:b/>
          <w:bCs/>
          <w:color w:val="1E5631"/>
        </w:rPr>
        <w:t xml:space="preserve">Trauma sensitivity. </w:t>
      </w:r>
      <w:r>
        <w:t>Practices are tailored to the needs of trauma survivors, emphasizing grounding techniques and a safe, supportive environment so that mindfulness never inadvertently retraumatizes.</w:t>
      </w:r>
    </w:p>
    <w:p w14:paraId="1F0150BF" w14:textId="77777777" w:rsidR="0011300E" w:rsidRDefault="00000000">
      <w:pPr>
        <w:pStyle w:val="ListParagraph"/>
        <w:numPr>
          <w:ilvl w:val="0"/>
          <w:numId w:val="3"/>
        </w:numPr>
        <w:spacing w:after="120" w:line="276" w:lineRule="auto"/>
        <w:jc w:val="both"/>
      </w:pPr>
      <w:r>
        <w:rPr>
          <w:b/>
          <w:bCs/>
          <w:color w:val="1E5631"/>
        </w:rPr>
        <w:t xml:space="preserve">Resilience building. </w:t>
      </w:r>
      <w:r>
        <w:t>Regular practice strengthens coping mechanisms and reduces vulnerability to stress.</w:t>
      </w:r>
    </w:p>
    <w:p w14:paraId="108369AF" w14:textId="77777777" w:rsidR="0011300E" w:rsidRDefault="00000000">
      <w:pPr>
        <w:pStyle w:val="ListParagraph"/>
        <w:numPr>
          <w:ilvl w:val="0"/>
          <w:numId w:val="3"/>
        </w:numPr>
        <w:spacing w:after="120" w:line="276" w:lineRule="auto"/>
        <w:jc w:val="both"/>
      </w:pPr>
      <w:r>
        <w:rPr>
          <w:b/>
          <w:bCs/>
          <w:color w:val="1E5631"/>
        </w:rPr>
        <w:t xml:space="preserve">Self-compassion. </w:t>
      </w:r>
      <w:r>
        <w:t>Mindfulness reduces self-criticism and promotes a kinder, more understanding relationship with oneself — crucial for individuals dealing with trauma.</w:t>
      </w:r>
    </w:p>
    <w:p w14:paraId="1C7A1E31" w14:textId="77777777" w:rsidR="0011300E" w:rsidRDefault="00000000">
      <w:pPr>
        <w:pStyle w:val="ListParagraph"/>
        <w:numPr>
          <w:ilvl w:val="0"/>
          <w:numId w:val="3"/>
        </w:numPr>
        <w:spacing w:after="120" w:line="276" w:lineRule="auto"/>
        <w:jc w:val="both"/>
      </w:pPr>
      <w:r>
        <w:rPr>
          <w:b/>
          <w:bCs/>
          <w:color w:val="1E5631"/>
        </w:rPr>
        <w:t xml:space="preserve">Symptom reduction. </w:t>
      </w:r>
      <w:r>
        <w:t xml:space="preserve">Research shows mindfulness can significantly reduce symptoms of anxiety and depression by breaking cycles of </w:t>
      </w:r>
      <w:proofErr w:type="gramStart"/>
      <w:r>
        <w:t>rumination, and</w:t>
      </w:r>
      <w:proofErr w:type="gramEnd"/>
      <w:r>
        <w:t xml:space="preserve"> can ease PTSD symptoms by restoring a sense of control over one’s reactions.</w:t>
      </w:r>
    </w:p>
    <w:p w14:paraId="13E4F972" w14:textId="77777777" w:rsidR="0011300E" w:rsidRDefault="00000000">
      <w:pPr>
        <w:pStyle w:val="ListParagraph"/>
        <w:numPr>
          <w:ilvl w:val="0"/>
          <w:numId w:val="3"/>
        </w:numPr>
        <w:spacing w:after="120" w:line="276" w:lineRule="auto"/>
        <w:jc w:val="both"/>
      </w:pPr>
      <w:r>
        <w:rPr>
          <w:b/>
          <w:bCs/>
          <w:color w:val="1E5631"/>
        </w:rPr>
        <w:t xml:space="preserve">Mindful living. </w:t>
      </w:r>
      <w:r>
        <w:t>Simple daily practices — mindful breathing, walking, and eating — keep people grounded and sustain mental well-being over time.</w:t>
      </w:r>
    </w:p>
    <w:p w14:paraId="5242545E" w14:textId="77777777" w:rsidR="0011300E" w:rsidRDefault="00000000">
      <w:pPr>
        <w:spacing w:after="160" w:line="276" w:lineRule="auto"/>
        <w:jc w:val="both"/>
      </w:pPr>
      <w:r>
        <w:t>Through collaboration among chefs, nutrition professionals, mindful-health advocates, and food-systems experts, these components combine to form powerful community collectives for systemic change.</w:t>
      </w:r>
    </w:p>
    <w:p w14:paraId="55AB7EB4" w14:textId="77777777" w:rsidR="0011300E" w:rsidRDefault="00000000">
      <w:pPr>
        <w:pStyle w:val="Heading2"/>
      </w:pPr>
      <w:r>
        <w:t>The Strategic Prevention Framework</w:t>
      </w:r>
    </w:p>
    <w:p w14:paraId="2F289017" w14:textId="77777777" w:rsidR="0011300E" w:rsidRDefault="00000000">
      <w:pPr>
        <w:spacing w:after="160" w:line="276" w:lineRule="auto"/>
        <w:jc w:val="both"/>
      </w:pPr>
      <w:r>
        <w:t>MEBC situates its mindfulness approach within the Strategic Prevention Framework (SPF), a comprehensive, systematic model for community planning and prevention. Originally developed for substance abuse and mental health, the SPF’s principles apply equally to systemic change in food systems. It proceeds through five stages:</w:t>
      </w:r>
    </w:p>
    <w:p w14:paraId="422C8DE2" w14:textId="77777777" w:rsidR="0011300E" w:rsidRDefault="00000000">
      <w:pPr>
        <w:pStyle w:val="ListParagraph"/>
        <w:numPr>
          <w:ilvl w:val="0"/>
          <w:numId w:val="4"/>
        </w:numPr>
        <w:spacing w:after="120" w:line="276" w:lineRule="auto"/>
        <w:jc w:val="both"/>
      </w:pPr>
      <w:r>
        <w:rPr>
          <w:b/>
          <w:bCs/>
          <w:color w:val="1E5631"/>
        </w:rPr>
        <w:lastRenderedPageBreak/>
        <w:t xml:space="preserve">Assessment. </w:t>
      </w:r>
      <w:r>
        <w:t>Identify the community’s specific needs through data collection and analysis — surveys, focus groups, and public health data. Example: a Bronx development surveys residents to gauge the prevalence of food insecurity and diet-related conditions such as diabetes and hypertension, then uses the findings to target interventions.</w:t>
      </w:r>
    </w:p>
    <w:p w14:paraId="424BF48A" w14:textId="77777777" w:rsidR="0011300E" w:rsidRDefault="00000000">
      <w:pPr>
        <w:pStyle w:val="ListParagraph"/>
        <w:numPr>
          <w:ilvl w:val="0"/>
          <w:numId w:val="4"/>
        </w:numPr>
        <w:spacing w:after="120" w:line="276" w:lineRule="auto"/>
        <w:jc w:val="both"/>
      </w:pPr>
      <w:r>
        <w:rPr>
          <w:b/>
          <w:bCs/>
          <w:color w:val="1E5631"/>
        </w:rPr>
        <w:t xml:space="preserve">Capacity building. </w:t>
      </w:r>
      <w:r>
        <w:t>Develop the resources and partnerships to support prevention — training people, securing funding, and forming coalitions. Example: resident leaders, local chefs, healthcare providers, and culinary and medical students build a shared program of chef-led workshops and nutrition education.</w:t>
      </w:r>
    </w:p>
    <w:p w14:paraId="76F11903" w14:textId="77777777" w:rsidR="0011300E" w:rsidRDefault="00000000">
      <w:pPr>
        <w:pStyle w:val="ListParagraph"/>
        <w:numPr>
          <w:ilvl w:val="0"/>
          <w:numId w:val="4"/>
        </w:numPr>
        <w:spacing w:after="120" w:line="276" w:lineRule="auto"/>
        <w:jc w:val="both"/>
      </w:pPr>
      <w:r>
        <w:rPr>
          <w:b/>
          <w:bCs/>
          <w:color w:val="1E5631"/>
        </w:rPr>
        <w:t xml:space="preserve">Planning. </w:t>
      </w:r>
      <w:r>
        <w:t>Translate the assessment into a strategic plan with concrete goals and interventions. Example: a development facing high food insecurity sets objectives to expand access to fresh produce, stand up a recurring workshop series, and launch resident-led cooking collectives.</w:t>
      </w:r>
    </w:p>
    <w:p w14:paraId="1A5981DA" w14:textId="77777777" w:rsidR="0011300E" w:rsidRDefault="00000000">
      <w:pPr>
        <w:pStyle w:val="ListParagraph"/>
        <w:numPr>
          <w:ilvl w:val="0"/>
          <w:numId w:val="4"/>
        </w:numPr>
        <w:spacing w:after="120" w:line="276" w:lineRule="auto"/>
        <w:jc w:val="both"/>
      </w:pPr>
      <w:r>
        <w:rPr>
          <w:b/>
          <w:bCs/>
          <w:color w:val="1E5631"/>
        </w:rPr>
        <w:t xml:space="preserve">Implementation. </w:t>
      </w:r>
      <w:r>
        <w:t>Put the plan into action through careful coordination. Example: a development launches its chef-led workshop series, establishes a community growing space, and hosts seasonal food events that bring in student mentees.</w:t>
      </w:r>
    </w:p>
    <w:p w14:paraId="76D7421D" w14:textId="77777777" w:rsidR="0011300E" w:rsidRDefault="00000000">
      <w:pPr>
        <w:pStyle w:val="ListParagraph"/>
        <w:numPr>
          <w:ilvl w:val="0"/>
          <w:numId w:val="4"/>
        </w:numPr>
        <w:spacing w:after="120" w:line="276" w:lineRule="auto"/>
        <w:jc w:val="both"/>
      </w:pPr>
      <w:r>
        <w:rPr>
          <w:b/>
          <w:bCs/>
          <w:color w:val="1E5631"/>
        </w:rPr>
        <w:t xml:space="preserve">Evaluation. </w:t>
      </w:r>
      <w:r>
        <w:t>Assess effectiveness continuously and adjust. MEBC uses a dedicated logic model to drive this work — measuring changes in food security, cooking confidence, and diet-related health indicators among participants.</w:t>
      </w:r>
    </w:p>
    <w:p w14:paraId="3B103C09" w14:textId="77777777" w:rsidR="0011300E" w:rsidRDefault="00000000">
      <w:pPr>
        <w:pStyle w:val="Heading2"/>
      </w:pPr>
      <w:r>
        <w:t>Types of Intervention</w:t>
      </w:r>
    </w:p>
    <w:p w14:paraId="78DBF584" w14:textId="77777777" w:rsidR="0011300E" w:rsidRDefault="00000000">
      <w:pPr>
        <w:spacing w:after="160" w:line="276" w:lineRule="auto"/>
        <w:jc w:val="both"/>
      </w:pPr>
      <w:r>
        <w:t>MEBC deploys three complementary types of intervention:</w:t>
      </w:r>
    </w:p>
    <w:p w14:paraId="2966B766" w14:textId="540BC5C3" w:rsidR="0011300E" w:rsidRDefault="00000000">
      <w:pPr>
        <w:pStyle w:val="ListParagraph"/>
        <w:numPr>
          <w:ilvl w:val="0"/>
          <w:numId w:val="2"/>
        </w:numPr>
        <w:spacing w:after="100" w:line="270" w:lineRule="auto"/>
        <w:jc w:val="both"/>
      </w:pPr>
      <w:r>
        <w:rPr>
          <w:b/>
          <w:bCs/>
          <w:color w:val="1E5631"/>
        </w:rPr>
        <w:t xml:space="preserve">Universal. </w:t>
      </w:r>
      <w:r w:rsidR="00BA4241">
        <w:t>Reaching</w:t>
      </w:r>
      <w:r>
        <w:t xml:space="preserve"> the whole population regardless of individual risk — for example, a development-wide campaign and open workshop series promoting fresh, affordable cooking.</w:t>
      </w:r>
    </w:p>
    <w:p w14:paraId="64969400" w14:textId="77777777" w:rsidR="0011300E" w:rsidRDefault="00000000">
      <w:pPr>
        <w:pStyle w:val="ListParagraph"/>
        <w:numPr>
          <w:ilvl w:val="0"/>
          <w:numId w:val="2"/>
        </w:numPr>
        <w:spacing w:after="100" w:line="270" w:lineRule="auto"/>
        <w:jc w:val="both"/>
      </w:pPr>
      <w:r>
        <w:rPr>
          <w:b/>
          <w:bCs/>
          <w:color w:val="1E5631"/>
        </w:rPr>
        <w:t xml:space="preserve">Selective. </w:t>
      </w:r>
      <w:r>
        <w:t>Target higher-risk subgroups — for example, cooking and budgeting workshops for families managing limited access to full-service grocery stores.</w:t>
      </w:r>
    </w:p>
    <w:p w14:paraId="7FB8BCEE" w14:textId="77777777" w:rsidR="0011300E" w:rsidRDefault="00000000">
      <w:pPr>
        <w:pStyle w:val="ListParagraph"/>
        <w:numPr>
          <w:ilvl w:val="0"/>
          <w:numId w:val="2"/>
        </w:numPr>
        <w:spacing w:after="100" w:line="270" w:lineRule="auto"/>
        <w:jc w:val="both"/>
      </w:pPr>
      <w:r>
        <w:rPr>
          <w:b/>
          <w:bCs/>
          <w:color w:val="1E5631"/>
        </w:rPr>
        <w:t xml:space="preserve">Indicated. </w:t>
      </w:r>
      <w:r>
        <w:t xml:space="preserve">Support individuals already experiencing food insecurity or diet-related </w:t>
      </w:r>
      <w:proofErr w:type="gramStart"/>
      <w:r>
        <w:t>illness —</w:t>
      </w:r>
      <w:proofErr w:type="gramEnd"/>
      <w:r>
        <w:t xml:space="preserve"> for example, personalized culinary-medicine guidance for residents living with diabetes.</w:t>
      </w:r>
    </w:p>
    <w:p w14:paraId="6D34FD1B" w14:textId="77777777" w:rsidR="0011300E" w:rsidRDefault="00000000">
      <w:pPr>
        <w:pStyle w:val="Heading2"/>
      </w:pPr>
      <w:r>
        <w:t>Seven Strategies for Community Change</w:t>
      </w:r>
    </w:p>
    <w:p w14:paraId="24DEDE62" w14:textId="6225EC3C" w:rsidR="0011300E" w:rsidRDefault="00000000">
      <w:pPr>
        <w:spacing w:after="160" w:line="276" w:lineRule="auto"/>
        <w:jc w:val="both"/>
      </w:pPr>
      <w:r>
        <w:t xml:space="preserve">To drive lasting change, MEBC </w:t>
      </w:r>
      <w:r w:rsidR="00BA4241">
        <w:t>adopts</w:t>
      </w:r>
      <w:r>
        <w:t xml:space="preserve"> seven proven strategies to the food systems of participating communities:</w:t>
      </w:r>
    </w:p>
    <w:p w14:paraId="15062CE5" w14:textId="77777777" w:rsidR="0011300E" w:rsidRDefault="00000000">
      <w:pPr>
        <w:pStyle w:val="ListParagraph"/>
        <w:numPr>
          <w:ilvl w:val="0"/>
          <w:numId w:val="5"/>
        </w:numPr>
        <w:spacing w:after="120" w:line="276" w:lineRule="auto"/>
        <w:jc w:val="both"/>
      </w:pPr>
      <w:r>
        <w:rPr>
          <w:b/>
          <w:bCs/>
          <w:color w:val="1E5631"/>
        </w:rPr>
        <w:t xml:space="preserve">Provide information. </w:t>
      </w:r>
      <w:r>
        <w:t>Raise awareness through trusted channels — resident-facing materials and social media on healthy, affordable cooking and local food resources.</w:t>
      </w:r>
    </w:p>
    <w:p w14:paraId="28F5181F" w14:textId="77777777" w:rsidR="0011300E" w:rsidRDefault="00000000">
      <w:pPr>
        <w:pStyle w:val="ListParagraph"/>
        <w:numPr>
          <w:ilvl w:val="0"/>
          <w:numId w:val="5"/>
        </w:numPr>
        <w:spacing w:after="120" w:line="276" w:lineRule="auto"/>
        <w:jc w:val="both"/>
      </w:pPr>
      <w:r>
        <w:rPr>
          <w:b/>
          <w:bCs/>
          <w:color w:val="1E5631"/>
        </w:rPr>
        <w:t xml:space="preserve">Enhance skills. </w:t>
      </w:r>
      <w:r>
        <w:t>Build capability through chef-led workshops on cooking, budgeting, and food preparation.</w:t>
      </w:r>
    </w:p>
    <w:p w14:paraId="5DAB2950" w14:textId="77777777" w:rsidR="0011300E" w:rsidRDefault="00000000">
      <w:pPr>
        <w:pStyle w:val="ListParagraph"/>
        <w:numPr>
          <w:ilvl w:val="0"/>
          <w:numId w:val="5"/>
        </w:numPr>
        <w:spacing w:after="120" w:line="276" w:lineRule="auto"/>
        <w:jc w:val="both"/>
      </w:pPr>
      <w:r>
        <w:rPr>
          <w:b/>
          <w:bCs/>
          <w:color w:val="1E5631"/>
        </w:rPr>
        <w:t xml:space="preserve">Provide support. </w:t>
      </w:r>
      <w:r>
        <w:t>Establish peer cooking collectives and technical assistance for community growing spaces.</w:t>
      </w:r>
    </w:p>
    <w:p w14:paraId="0A5CC9EB" w14:textId="77777777" w:rsidR="0011300E" w:rsidRDefault="00000000">
      <w:pPr>
        <w:pStyle w:val="ListParagraph"/>
        <w:numPr>
          <w:ilvl w:val="0"/>
          <w:numId w:val="5"/>
        </w:numPr>
        <w:spacing w:after="120" w:line="276" w:lineRule="auto"/>
        <w:jc w:val="both"/>
      </w:pPr>
      <w:r>
        <w:rPr>
          <w:b/>
          <w:bCs/>
          <w:color w:val="1E5631"/>
        </w:rPr>
        <w:t xml:space="preserve">Enhance access / reduce barriers. </w:t>
      </w:r>
      <w:r>
        <w:t>Bring fresh produce closer to residents and remove the friction that keeps healthy food out of reach.</w:t>
      </w:r>
    </w:p>
    <w:p w14:paraId="24BAE668" w14:textId="77777777" w:rsidR="0011300E" w:rsidRDefault="00000000">
      <w:pPr>
        <w:pStyle w:val="ListParagraph"/>
        <w:numPr>
          <w:ilvl w:val="0"/>
          <w:numId w:val="5"/>
        </w:numPr>
        <w:spacing w:after="120" w:line="276" w:lineRule="auto"/>
        <w:jc w:val="both"/>
      </w:pPr>
      <w:r>
        <w:rPr>
          <w:b/>
          <w:bCs/>
          <w:color w:val="1E5631"/>
        </w:rPr>
        <w:lastRenderedPageBreak/>
        <w:t xml:space="preserve">Change consequences. </w:t>
      </w:r>
      <w:r>
        <w:t xml:space="preserve">Use incentives — such as </w:t>
      </w:r>
      <w:proofErr w:type="gramStart"/>
      <w:r>
        <w:t>produce</w:t>
      </w:r>
      <w:proofErr w:type="gramEnd"/>
      <w:r>
        <w:t xml:space="preserve"> benefits or workshop rewards — to make healthy participation attractive.</w:t>
      </w:r>
    </w:p>
    <w:p w14:paraId="3125F9CD" w14:textId="77777777" w:rsidR="0011300E" w:rsidRDefault="00000000">
      <w:pPr>
        <w:pStyle w:val="ListParagraph"/>
        <w:numPr>
          <w:ilvl w:val="0"/>
          <w:numId w:val="5"/>
        </w:numPr>
        <w:spacing w:after="120" w:line="276" w:lineRule="auto"/>
        <w:jc w:val="both"/>
      </w:pPr>
      <w:r>
        <w:rPr>
          <w:b/>
          <w:bCs/>
          <w:color w:val="1E5631"/>
        </w:rPr>
        <w:t xml:space="preserve">Change physical design. </w:t>
      </w:r>
      <w:r>
        <w:t>Create dedicated spaces for cooking, gathering, and growing within the development itself.</w:t>
      </w:r>
    </w:p>
    <w:p w14:paraId="18ECF508" w14:textId="77777777" w:rsidR="0011300E" w:rsidRDefault="00000000">
      <w:pPr>
        <w:pStyle w:val="ListParagraph"/>
        <w:numPr>
          <w:ilvl w:val="0"/>
          <w:numId w:val="5"/>
        </w:numPr>
        <w:spacing w:after="120" w:line="276" w:lineRule="auto"/>
        <w:jc w:val="both"/>
      </w:pPr>
      <w:r>
        <w:rPr>
          <w:b/>
          <w:bCs/>
          <w:color w:val="1E5631"/>
        </w:rPr>
        <w:t xml:space="preserve">Modify policies. </w:t>
      </w:r>
      <w:r>
        <w:t>Advocate for policies that support food sovereignty and protect community access to healthy food.</w:t>
      </w:r>
    </w:p>
    <w:p w14:paraId="5580F94A" w14:textId="77777777" w:rsidR="0011300E" w:rsidRDefault="00000000">
      <w:pPr>
        <w:pStyle w:val="Heading2"/>
      </w:pPr>
      <w:r>
        <w:t>Community Assessment Techniques</w:t>
      </w:r>
    </w:p>
    <w:p w14:paraId="4FE86D5D" w14:textId="77777777" w:rsidR="0011300E" w:rsidRDefault="00000000">
      <w:pPr>
        <w:spacing w:after="160" w:line="276" w:lineRule="auto"/>
        <w:jc w:val="both"/>
      </w:pPr>
      <w:r>
        <w:t>Sound assessment underpins every stage of the SPF. MEBC relies on needs assessments (community-room town halls that surface residents’ food-related priorities), asset mapping (identifying local food producers, markets, and knowledge-holders already present in the community), and environmental scans (analyzing the availability and quality of nearby food outlets and the transit options for reaching them). Together these techniques ground the program in the realities of each development rather than in assumptions about it.</w:t>
      </w:r>
    </w:p>
    <w:p w14:paraId="22B86EB1" w14:textId="52F24688" w:rsidR="0011300E" w:rsidRDefault="00000000">
      <w:pPr>
        <w:pStyle w:val="Heading1"/>
        <w:pBdr>
          <w:bottom w:val="single" w:sz="8" w:space="6" w:color="1E5631"/>
        </w:pBdr>
      </w:pPr>
      <w:r>
        <w:t>II</w:t>
      </w:r>
      <w:r w:rsidR="00BA4241">
        <w:t>. Community</w:t>
      </w:r>
      <w:r>
        <w:t xml:space="preserve"> Need</w:t>
      </w:r>
    </w:p>
    <w:p w14:paraId="187B30FA" w14:textId="77777777" w:rsidR="0011300E" w:rsidRDefault="00000000">
      <w:pPr>
        <w:spacing w:after="160" w:line="276" w:lineRule="auto"/>
        <w:jc w:val="both"/>
      </w:pPr>
      <w:r>
        <w:t xml:space="preserve">A decade of reliable research has illuminated the powerful connection between diet and health outcomes in low-income and marginalized communities, with </w:t>
      </w:r>
      <w:proofErr w:type="gramStart"/>
      <w:r>
        <w:t>particular weight</w:t>
      </w:r>
      <w:proofErr w:type="gramEnd"/>
      <w:r>
        <w:t xml:space="preserve"> on diet-related risk factors for diabetes, cardiovascular disease, and cancer. Five findings define the </w:t>
      </w:r>
      <w:proofErr w:type="gramStart"/>
      <w:r>
        <w:t>need</w:t>
      </w:r>
      <w:proofErr w:type="gramEnd"/>
      <w:r>
        <w:t xml:space="preserve"> MEBC addresses:</w:t>
      </w:r>
    </w:p>
    <w:p w14:paraId="4912B4E5" w14:textId="77777777" w:rsidR="0011300E" w:rsidRDefault="00000000">
      <w:pPr>
        <w:pStyle w:val="ListParagraph"/>
        <w:numPr>
          <w:ilvl w:val="0"/>
          <w:numId w:val="6"/>
        </w:numPr>
        <w:spacing w:after="120" w:line="276" w:lineRule="auto"/>
        <w:jc w:val="both"/>
      </w:pPr>
      <w:r>
        <w:rPr>
          <w:b/>
          <w:bCs/>
          <w:color w:val="1E5631"/>
        </w:rPr>
        <w:t xml:space="preserve">Urban poverty constrains access to a healthy diet. </w:t>
      </w:r>
      <w:r>
        <w:t>A systematic literature review found that the “urban advantage” in food access does not extend to low-income residents, who face food deserts, income disparities, food insecurity, and elevated risks of anemia, obesity, and micronutrient deficiency.</w:t>
      </w:r>
      <w:r>
        <w:rPr>
          <w:vertAlign w:val="superscript"/>
        </w:rPr>
        <w:t>1</w:t>
      </w:r>
    </w:p>
    <w:p w14:paraId="6DB2995E" w14:textId="77777777" w:rsidR="0011300E" w:rsidRDefault="00000000">
      <w:pPr>
        <w:pStyle w:val="ListParagraph"/>
        <w:numPr>
          <w:ilvl w:val="0"/>
          <w:numId w:val="6"/>
        </w:numPr>
        <w:spacing w:after="120" w:line="276" w:lineRule="auto"/>
        <w:jc w:val="both"/>
      </w:pPr>
      <w:r>
        <w:rPr>
          <w:b/>
          <w:bCs/>
          <w:color w:val="1E5631"/>
        </w:rPr>
        <w:t xml:space="preserve">Community-level food access shapes health. </w:t>
      </w:r>
      <w:r>
        <w:t>Longitudinal analyses link positive health outcomes to community access to healthy food, while greater exposure to unhealthy food outlets drives body mass index upward.</w:t>
      </w:r>
      <w:r>
        <w:rPr>
          <w:vertAlign w:val="superscript"/>
        </w:rPr>
        <w:t>2</w:t>
      </w:r>
    </w:p>
    <w:p w14:paraId="77B2A5BA" w14:textId="77777777" w:rsidR="0011300E" w:rsidRDefault="00000000">
      <w:pPr>
        <w:pStyle w:val="ListParagraph"/>
        <w:numPr>
          <w:ilvl w:val="0"/>
          <w:numId w:val="6"/>
        </w:numPr>
        <w:spacing w:after="120" w:line="276" w:lineRule="auto"/>
        <w:jc w:val="both"/>
      </w:pPr>
      <w:r>
        <w:rPr>
          <w:b/>
          <w:bCs/>
          <w:color w:val="1E5631"/>
        </w:rPr>
        <w:t xml:space="preserve">The diet-quality gap is widening. </w:t>
      </w:r>
      <w:r>
        <w:t>Over the past decade the diets of the wealthiest Americans improved while the diets of the lowest-income Americans worsened — a divergence with direct public-health consequences.</w:t>
      </w:r>
      <w:r>
        <w:rPr>
          <w:vertAlign w:val="superscript"/>
        </w:rPr>
        <w:t>3</w:t>
      </w:r>
    </w:p>
    <w:p w14:paraId="1B8CD712" w14:textId="77777777" w:rsidR="0011300E" w:rsidRDefault="00000000">
      <w:pPr>
        <w:pStyle w:val="ListParagraph"/>
        <w:numPr>
          <w:ilvl w:val="0"/>
          <w:numId w:val="6"/>
        </w:numPr>
        <w:spacing w:after="120" w:line="276" w:lineRule="auto"/>
        <w:jc w:val="both"/>
      </w:pPr>
      <w:r>
        <w:rPr>
          <w:b/>
          <w:bCs/>
          <w:color w:val="1E5631"/>
        </w:rPr>
        <w:t xml:space="preserve">Income tracks nutrition quality. </w:t>
      </w:r>
      <w:r>
        <w:t>Higher-income households consistently show better diet quality, with education, marital status, and race further shaping dietary choices and health.</w:t>
      </w:r>
      <w:r>
        <w:rPr>
          <w:vertAlign w:val="superscript"/>
        </w:rPr>
        <w:t>4</w:t>
      </w:r>
    </w:p>
    <w:p w14:paraId="052382D1" w14:textId="77777777" w:rsidR="0011300E" w:rsidRDefault="00000000">
      <w:pPr>
        <w:pStyle w:val="ListParagraph"/>
        <w:numPr>
          <w:ilvl w:val="0"/>
          <w:numId w:val="6"/>
        </w:numPr>
        <w:spacing w:after="120" w:line="276" w:lineRule="auto"/>
        <w:jc w:val="both"/>
      </w:pPr>
      <w:r>
        <w:rPr>
          <w:b/>
          <w:bCs/>
          <w:color w:val="1E5631"/>
        </w:rPr>
        <w:t xml:space="preserve">Community gardens improve outcomes. </w:t>
      </w:r>
      <w:r>
        <w:t>Access to community growing spaces is associated with better physical and psychosocial health, fresh produce, physical activity, and stronger community ties.</w:t>
      </w:r>
      <w:r>
        <w:rPr>
          <w:vertAlign w:val="superscript"/>
        </w:rPr>
        <w:t>5</w:t>
      </w:r>
    </w:p>
    <w:p w14:paraId="3E5E4506" w14:textId="77777777" w:rsidR="0011300E" w:rsidRDefault="00000000">
      <w:pPr>
        <w:spacing w:after="160" w:line="276" w:lineRule="auto"/>
        <w:jc w:val="both"/>
      </w:pPr>
      <w:r>
        <w:t>Taken together, these studies make the case plain: in low-income communities, diet is destiny for public health. Addressing food insecurity, expanding access to nutritious food, and confronting the underlying risk factors are not lifestyle suggestions — they are prerequisites for health equity.</w:t>
      </w:r>
    </w:p>
    <w:p w14:paraId="418ABA64" w14:textId="1FD6E4C6" w:rsidR="0011300E" w:rsidRDefault="00000000">
      <w:pPr>
        <w:pStyle w:val="Heading1"/>
        <w:pBdr>
          <w:bottom w:val="single" w:sz="8" w:space="6" w:color="1E5631"/>
        </w:pBdr>
      </w:pPr>
      <w:r>
        <w:lastRenderedPageBreak/>
        <w:t>III</w:t>
      </w:r>
      <w:r w:rsidR="00BA4241">
        <w:t>. Theory</w:t>
      </w:r>
      <w:r>
        <w:t xml:space="preserve"> of Change: From Service to Movement</w:t>
      </w:r>
    </w:p>
    <w:p w14:paraId="021D658C" w14:textId="77777777" w:rsidR="0011300E" w:rsidRDefault="00000000">
      <w:pPr>
        <w:spacing w:after="160" w:line="276" w:lineRule="auto"/>
        <w:jc w:val="both"/>
      </w:pPr>
      <w:r>
        <w:t xml:space="preserve">Complex problems like unhealthy diets and the climate impact of food systems demand transformative solutions. Traditional service-based initiatives, however valuable, tend to address symptoms — meeting local needs without challenging the systems and cultural norms that perpetuate them. Movement-based initiatives do </w:t>
      </w:r>
      <w:proofErr w:type="gramStart"/>
      <w:r>
        <w:t>the harder</w:t>
      </w:r>
      <w:proofErr w:type="gramEnd"/>
      <w:r>
        <w:t xml:space="preserve"> and more durable work: they shift the norms, values, and beliefs that govern behavior at scale, addressing root causes and leveraging community power. MEBC is built as a movement.</w:t>
      </w:r>
    </w:p>
    <w:p w14:paraId="3CCD6FD2" w14:textId="77777777" w:rsidR="0011300E" w:rsidRDefault="00000000">
      <w:pPr>
        <w:pStyle w:val="Heading2"/>
      </w:pPr>
      <w:r>
        <w:t>The System That Makes Unhealthy Food the Default</w:t>
      </w:r>
    </w:p>
    <w:p w14:paraId="30479B77" w14:textId="77777777" w:rsidR="0011300E" w:rsidRDefault="00000000">
      <w:pPr>
        <w:spacing w:after="160" w:line="276" w:lineRule="auto"/>
        <w:jc w:val="both"/>
      </w:pPr>
      <w:r>
        <w:t>In America, the prevalence of poor diets alongside staggering food waste is driven largely by economic forces in which profit routinely takes precedence over public health. Three dynamics dominate, and they reinforce one another:</w:t>
      </w:r>
    </w:p>
    <w:p w14:paraId="4623FC59" w14:textId="77777777" w:rsidR="0011300E" w:rsidRDefault="00000000">
      <w:pPr>
        <w:pStyle w:val="ListParagraph"/>
        <w:numPr>
          <w:ilvl w:val="0"/>
          <w:numId w:val="2"/>
        </w:numPr>
        <w:spacing w:after="100" w:line="270" w:lineRule="auto"/>
        <w:jc w:val="both"/>
      </w:pPr>
      <w:r>
        <w:rPr>
          <w:b/>
          <w:bCs/>
          <w:color w:val="1E5631"/>
        </w:rPr>
        <w:t xml:space="preserve">Fast-food economics. </w:t>
      </w:r>
      <w:r>
        <w:t>High-volume sales of low-cost, calorie-dense ingredients make cheap, palatable meals more accessible in disadvantaged areas than healthier options — producing dietary patterns tied to obesity, diabetes, and cardiovascular disease.</w:t>
      </w:r>
    </w:p>
    <w:p w14:paraId="6D94AD2F" w14:textId="77777777" w:rsidR="0011300E" w:rsidRDefault="00000000">
      <w:pPr>
        <w:pStyle w:val="ListParagraph"/>
        <w:numPr>
          <w:ilvl w:val="0"/>
          <w:numId w:val="2"/>
        </w:numPr>
        <w:spacing w:after="100" w:line="270" w:lineRule="auto"/>
        <w:jc w:val="both"/>
      </w:pPr>
      <w:r>
        <w:rPr>
          <w:b/>
          <w:bCs/>
          <w:color w:val="1E5631"/>
        </w:rPr>
        <w:t xml:space="preserve">Agribusiness and subsidies. </w:t>
      </w:r>
      <w:r>
        <w:t>Mass production and federal subsidies for crops like corn and soy make their derivatives — high-fructose corn syrup, soy-based additives — the cheap, abundant base of processed food, especially for lower-income consumers.</w:t>
      </w:r>
    </w:p>
    <w:p w14:paraId="7BC4CF85" w14:textId="77777777" w:rsidR="0011300E" w:rsidRDefault="00000000">
      <w:pPr>
        <w:pStyle w:val="ListParagraph"/>
        <w:numPr>
          <w:ilvl w:val="0"/>
          <w:numId w:val="2"/>
        </w:numPr>
        <w:spacing w:after="100" w:line="270" w:lineRule="auto"/>
        <w:jc w:val="both"/>
      </w:pPr>
      <w:r>
        <w:rPr>
          <w:b/>
          <w:bCs/>
          <w:color w:val="1E5631"/>
        </w:rPr>
        <w:t xml:space="preserve">Targeted marketing. </w:t>
      </w:r>
      <w:r>
        <w:t xml:space="preserve">Food corporations spend billions </w:t>
      </w:r>
      <w:proofErr w:type="gramStart"/>
      <w:r>
        <w:t>to</w:t>
      </w:r>
      <w:proofErr w:type="gramEnd"/>
      <w:r>
        <w:t xml:space="preserve"> market convenience and low cost to the consumers most constrained by economics, reinforcing a cycle of poor nutrition and contributing to overproduction and waste.</w:t>
      </w:r>
    </w:p>
    <w:p w14:paraId="485A0D70" w14:textId="77777777" w:rsidR="0011300E" w:rsidRDefault="00000000">
      <w:pPr>
        <w:spacing w:after="160" w:line="276" w:lineRule="auto"/>
        <w:jc w:val="both"/>
      </w:pPr>
      <w:r>
        <w:t>The combined effect is that local public-health messaging is simply outspent. Subsidized pricing makes processed food financially easier to choose than fresh produce, and emotionally resonant advertising normalizes — even glamorizes — poor dietary habits. Well-intentioned health campaigns cannot win this contest on messaging alone. Changing behavior requires changing the environment and the culture around it.</w:t>
      </w:r>
    </w:p>
    <w:p w14:paraId="41C25FB9" w14:textId="77777777" w:rsidR="0011300E" w:rsidRDefault="00000000">
      <w:pPr>
        <w:pStyle w:val="Heading2"/>
      </w:pPr>
      <w:r>
        <w:t>Changing the Culture: What the Anti-Smoking Movement Proved</w:t>
      </w:r>
    </w:p>
    <w:p w14:paraId="58DF1479" w14:textId="77777777" w:rsidR="0011300E" w:rsidRDefault="00000000">
      <w:pPr>
        <w:spacing w:after="160" w:line="276" w:lineRule="auto"/>
        <w:jc w:val="both"/>
      </w:pPr>
      <w:r>
        <w:t>There is precedent for a deliberate cultural transformation in public health: the denormalization of smoking in the United States. Through grassroots advocacy, hard-hitting public campaigns, and legislative action — public-space bans, advertising restrictions, higher taxes, and stark labeling — smoking shifted from a widespread, socially accepted behavior to a stigmatized and declining one. The data tell the story: roughly 42% of Americans smoked in the 1960s; by 2019 the figure had fallen to about 14%. Crucially, the change was not only in individual choices but in social norms — non-smoking became the default in public and private life. MEBC intends to follow the same path for food: a sustained, multi-front movement that resets what a community considers normal, desirable, and worth fighting for.</w:t>
      </w:r>
    </w:p>
    <w:p w14:paraId="01213EC0" w14:textId="77777777" w:rsidR="0011300E" w:rsidRDefault="00000000">
      <w:pPr>
        <w:pStyle w:val="Heading2"/>
      </w:pPr>
      <w:r>
        <w:t>Shifting Mental Models</w:t>
      </w:r>
    </w:p>
    <w:p w14:paraId="73710897" w14:textId="77777777" w:rsidR="0011300E" w:rsidRDefault="00000000">
      <w:pPr>
        <w:spacing w:after="160" w:line="276" w:lineRule="auto"/>
        <w:jc w:val="both"/>
      </w:pPr>
      <w:r>
        <w:t xml:space="preserve">Lasting change requires altering mental models — the deeply held assumptions and beliefs that shape how people perceive what is possible or desirable. Mental models set a community’s priorities, filter the information it will accept, and quietly limit the solutions it considers viable. </w:t>
      </w:r>
      <w:r>
        <w:lastRenderedPageBreak/>
        <w:t xml:space="preserve">Effective change is therefore not a temporary adjustment in behavior but a redefinition of the narratives a community </w:t>
      </w:r>
      <w:proofErr w:type="gramStart"/>
      <w:r>
        <w:t>tells</w:t>
      </w:r>
      <w:proofErr w:type="gramEnd"/>
      <w:r>
        <w:t xml:space="preserve"> about itself. MEBC creates </w:t>
      </w:r>
      <w:proofErr w:type="gramStart"/>
      <w:r>
        <w:t>the spaces —</w:t>
      </w:r>
      <w:proofErr w:type="gramEnd"/>
      <w:r>
        <w:t xml:space="preserve"> in kitchens, at shared tables, and at community events — where those narratives can be examined and revised, opening the door to new aspirations and new ways of organizing community life around food.</w:t>
      </w:r>
    </w:p>
    <w:p w14:paraId="52637594" w14:textId="77777777" w:rsidR="0011300E" w:rsidRDefault="00000000">
      <w:pPr>
        <w:pStyle w:val="Heading2"/>
      </w:pPr>
      <w:r>
        <w:t>The Engine: Storytelling and Social Media</w:t>
      </w:r>
    </w:p>
    <w:p w14:paraId="4CA2835C" w14:textId="77777777" w:rsidR="0011300E" w:rsidRDefault="00000000">
      <w:pPr>
        <w:spacing w:after="160" w:line="276" w:lineRule="auto"/>
        <w:jc w:val="both"/>
      </w:pPr>
      <w:r>
        <w:t>Storytelling and social media are essential to a movement. They amplify the voices of communities too often spoken about rather than heard; they shape public opinion and inform policy through compelling, sustained narrative; and they build the solidarity and shared purpose that keep a movement alive between events. MEBC treats every workshop, meal, and milestone as a story worth telling — and equips residents and ambassadors to tell it.</w:t>
      </w:r>
    </w:p>
    <w:p w14:paraId="11963D09" w14:textId="77777777" w:rsidR="0011300E" w:rsidRDefault="00000000">
      <w:pPr>
        <w:pStyle w:val="Heading2"/>
      </w:pPr>
      <w:r>
        <w:t>Why Movements Outlast Programs</w:t>
      </w:r>
    </w:p>
    <w:p w14:paraId="4BB0493A" w14:textId="55612264" w:rsidR="0011300E" w:rsidRDefault="00000000">
      <w:pPr>
        <w:spacing w:after="160" w:line="276" w:lineRule="auto"/>
        <w:jc w:val="both"/>
      </w:pPr>
      <w:r>
        <w:t xml:space="preserve">Research bears out the </w:t>
      </w:r>
      <w:r w:rsidR="00BA4241">
        <w:t>approach of movement</w:t>
      </w:r>
      <w:r>
        <w:t>. Studies of social-norm change suggest that once roughly 25% of a group adopts a new belief or behavior, it reaches a tipping point toward becoming the new norm; and public-health interventions that engage communities in their own design and implementation are markedly more likely to succeed and endure. Movement-based initiatives outperform service-based ones because they:</w:t>
      </w:r>
    </w:p>
    <w:p w14:paraId="44F6106F" w14:textId="77777777" w:rsidR="0011300E" w:rsidRDefault="00000000">
      <w:pPr>
        <w:pStyle w:val="ListParagraph"/>
        <w:numPr>
          <w:ilvl w:val="0"/>
          <w:numId w:val="2"/>
        </w:numPr>
        <w:spacing w:after="100" w:line="270" w:lineRule="auto"/>
        <w:jc w:val="both"/>
      </w:pPr>
      <w:r>
        <w:rPr>
          <w:b/>
          <w:bCs/>
          <w:color w:val="1E5631"/>
        </w:rPr>
        <w:t xml:space="preserve">Address root causes </w:t>
      </w:r>
      <w:r>
        <w:t>rather than symptoms, confronting the systems that shape behavior.</w:t>
      </w:r>
    </w:p>
    <w:p w14:paraId="2EE14E6A" w14:textId="77777777" w:rsidR="0011300E" w:rsidRDefault="00000000">
      <w:pPr>
        <w:pStyle w:val="ListParagraph"/>
        <w:numPr>
          <w:ilvl w:val="0"/>
          <w:numId w:val="2"/>
        </w:numPr>
        <w:spacing w:after="100" w:line="270" w:lineRule="auto"/>
        <w:jc w:val="both"/>
      </w:pPr>
      <w:r>
        <w:rPr>
          <w:b/>
          <w:bCs/>
          <w:color w:val="1E5631"/>
        </w:rPr>
        <w:t xml:space="preserve">Foster community empowerment, </w:t>
      </w:r>
      <w:r>
        <w:t>building local capacity to drive change rather than depending on outside delivery.</w:t>
      </w:r>
    </w:p>
    <w:p w14:paraId="1489F50E" w14:textId="77777777" w:rsidR="0011300E" w:rsidRDefault="00000000">
      <w:pPr>
        <w:pStyle w:val="ListParagraph"/>
        <w:numPr>
          <w:ilvl w:val="0"/>
          <w:numId w:val="2"/>
        </w:numPr>
        <w:spacing w:after="100" w:line="270" w:lineRule="auto"/>
        <w:jc w:val="both"/>
      </w:pPr>
      <w:r>
        <w:rPr>
          <w:b/>
          <w:bCs/>
          <w:color w:val="1E5631"/>
        </w:rPr>
        <w:t xml:space="preserve">Achieve broad and lasting impact, </w:t>
      </w:r>
      <w:r>
        <w:t>creating shifts in culture and norms that are self-reinforcing and spread through social networks.</w:t>
      </w:r>
    </w:p>
    <w:p w14:paraId="0B8AC493" w14:textId="3437A8F3" w:rsidR="0011300E" w:rsidRDefault="00000000">
      <w:pPr>
        <w:pStyle w:val="Heading1"/>
        <w:pBdr>
          <w:bottom w:val="single" w:sz="8" w:space="6" w:color="1E5631"/>
        </w:pBdr>
      </w:pPr>
      <w:r>
        <w:t>IV</w:t>
      </w:r>
      <w:r w:rsidR="00BA4241">
        <w:t>. Conclusion</w:t>
      </w:r>
    </w:p>
    <w:p w14:paraId="65A3EE80" w14:textId="77777777" w:rsidR="0011300E" w:rsidRDefault="00000000">
      <w:pPr>
        <w:spacing w:after="160" w:line="276" w:lineRule="auto"/>
        <w:jc w:val="both"/>
      </w:pPr>
      <w:r>
        <w:t xml:space="preserve">The case for Mindful Eating for the Beloved Community rests on three convergent truths. First, the health crises in low-income communities are systemic by design, not individual by accident. Second, the tools to address them already exist and </w:t>
      </w:r>
      <w:proofErr w:type="gramStart"/>
      <w:r>
        <w:t>are proven —</w:t>
      </w:r>
      <w:proofErr w:type="gramEnd"/>
      <w:r>
        <w:t xml:space="preserve"> the Strategic Prevention Framework, trauma-informed mindfulness, and community-led coalitions. Third, change at this scale has never come from services alone; it has come from movements that change what a community believes is normal, possible, and worth fighting for.</w:t>
      </w:r>
    </w:p>
    <w:p w14:paraId="5D01A00E" w14:textId="77777777" w:rsidR="0011300E" w:rsidRDefault="00000000">
      <w:pPr>
        <w:spacing w:after="160" w:line="276" w:lineRule="auto"/>
        <w:jc w:val="both"/>
      </w:pPr>
      <w:r>
        <w:t xml:space="preserve">MEBC unites all three, and it does so through an innovation that is both practical and powerful: a </w:t>
      </w:r>
      <w:r>
        <w:rPr>
          <w:b/>
          <w:bCs/>
        </w:rPr>
        <w:t>chef-led, interactive, resident-powered model</w:t>
      </w:r>
      <w:r>
        <w:t xml:space="preserve"> delivered inside New York City’s public housing. Trained culinary professionals convene the food; residents cook, taste, and lead; and at larger events, culinary and medical students step in as mentees and leave as community health ambassadors — a self-renewing pipeline of talent committed to this work. Anchored in the Bronx and built to replicate across NYCHA communities, MEBC turns a single development into a proving ground for citywide transformation.</w:t>
      </w:r>
    </w:p>
    <w:p w14:paraId="22662715" w14:textId="77777777" w:rsidR="0011300E" w:rsidRDefault="00000000">
      <w:pPr>
        <w:spacing w:after="160" w:line="276" w:lineRule="auto"/>
        <w:jc w:val="both"/>
      </w:pPr>
      <w:r>
        <w:t>We have seen a transformation like this before. The denormalization of smoking proved that culture can be changed deliberately, at scale, when advocacy, evidence, and community power move together. MEBC will follow that path for food.</w:t>
      </w:r>
    </w:p>
    <w:p w14:paraId="43F61CFB" w14:textId="77777777" w:rsidR="0011300E" w:rsidRDefault="00000000">
      <w:pPr>
        <w:spacing w:after="160" w:line="276" w:lineRule="auto"/>
        <w:jc w:val="both"/>
      </w:pPr>
      <w:r>
        <w:lastRenderedPageBreak/>
        <w:t xml:space="preserve">We are not asking residents to make better choices inside a broken system. We are partnering with them to rebuild the system — to make the healthy choice </w:t>
      </w:r>
      <w:proofErr w:type="gramStart"/>
      <w:r>
        <w:t>the</w:t>
      </w:r>
      <w:proofErr w:type="gramEnd"/>
      <w:r>
        <w:t xml:space="preserve"> easy, affordable, and celebrated one. That is the heart of the model, and the reason it works: in MEBC, the community is not the beneficiary of the enterprise. </w:t>
      </w:r>
      <w:r>
        <w:rPr>
          <w:b/>
          <w:bCs/>
          <w:color w:val="1E5631"/>
        </w:rPr>
        <w:t>The community is the enterprise.</w:t>
      </w:r>
    </w:p>
    <w:p w14:paraId="53C2A68B" w14:textId="77777777" w:rsidR="0011300E" w:rsidRDefault="00000000">
      <w:pPr>
        <w:pStyle w:val="Heading1"/>
        <w:pBdr>
          <w:bottom w:val="single" w:sz="8" w:space="6" w:color="1E5631"/>
        </w:pBdr>
      </w:pPr>
      <w:r>
        <w:t>References</w:t>
      </w:r>
    </w:p>
    <w:p w14:paraId="6D7C08C5" w14:textId="77777777" w:rsidR="0011300E" w:rsidRDefault="00000000">
      <w:pPr>
        <w:pStyle w:val="ListParagraph"/>
        <w:numPr>
          <w:ilvl w:val="0"/>
          <w:numId w:val="7"/>
        </w:numPr>
        <w:spacing w:after="120" w:line="276" w:lineRule="auto"/>
        <w:jc w:val="both"/>
      </w:pPr>
      <w:r>
        <w:t xml:space="preserve">Vilar-Compte M, Burrola-Méndez S, Lozano-Marrufo A, et al. Urban poverty and nutrition challenges associated with accessibility to a healthy diet: a global systematic literature review. </w:t>
      </w:r>
      <w:r>
        <w:rPr>
          <w:i/>
          <w:iCs/>
        </w:rPr>
        <w:t>International Journal for Equity in Health</w:t>
      </w:r>
      <w:r>
        <w:t>. 2021;20(1):40.</w:t>
      </w:r>
    </w:p>
    <w:p w14:paraId="4A696B72" w14:textId="77777777" w:rsidR="0011300E" w:rsidRDefault="00000000">
      <w:pPr>
        <w:pStyle w:val="ListParagraph"/>
        <w:numPr>
          <w:ilvl w:val="0"/>
          <w:numId w:val="7"/>
        </w:numPr>
        <w:spacing w:after="120" w:line="276" w:lineRule="auto"/>
        <w:jc w:val="both"/>
      </w:pPr>
      <w:r>
        <w:t xml:space="preserve">Ohri-Vachaspati P, DeWeese RS, Acciai F, et al. Healthy Food Access in Low-Income High-Minority Communities: A Longitudinal Assessment—2009–2017. </w:t>
      </w:r>
      <w:r>
        <w:rPr>
          <w:i/>
          <w:iCs/>
        </w:rPr>
        <w:t>International Journal of Environmental Research and Public Health</w:t>
      </w:r>
      <w:r>
        <w:t>. 2019;16(13):2354.</w:t>
      </w:r>
    </w:p>
    <w:p w14:paraId="494BD43F" w14:textId="77777777" w:rsidR="0011300E" w:rsidRDefault="00000000">
      <w:pPr>
        <w:pStyle w:val="ListParagraph"/>
        <w:numPr>
          <w:ilvl w:val="0"/>
          <w:numId w:val="7"/>
        </w:numPr>
        <w:spacing w:after="120" w:line="276" w:lineRule="auto"/>
        <w:jc w:val="both"/>
      </w:pPr>
      <w:r>
        <w:t xml:space="preserve">Wang DD, Leung CW, Li Y, Ding EL, </w:t>
      </w:r>
      <w:proofErr w:type="spellStart"/>
      <w:r>
        <w:t>Chiuve</w:t>
      </w:r>
      <w:proofErr w:type="spellEnd"/>
      <w:r>
        <w:t xml:space="preserve"> SE, Hu FB, Willett WC. Trends in Dietary Quality Among Adults in the United States, 1999 Through 2010. </w:t>
      </w:r>
      <w:r>
        <w:rPr>
          <w:i/>
          <w:iCs/>
        </w:rPr>
        <w:t>JAMA Internal Medicine</w:t>
      </w:r>
      <w:r>
        <w:t>. 2014;174(10):1587–1595.</w:t>
      </w:r>
    </w:p>
    <w:p w14:paraId="7D1A5AF0" w14:textId="77777777" w:rsidR="0011300E" w:rsidRDefault="00000000">
      <w:pPr>
        <w:pStyle w:val="ListParagraph"/>
        <w:numPr>
          <w:ilvl w:val="0"/>
          <w:numId w:val="7"/>
        </w:numPr>
        <w:spacing w:after="120" w:line="276" w:lineRule="auto"/>
        <w:jc w:val="both"/>
      </w:pPr>
      <w:r>
        <w:t xml:space="preserve">French SA, Tangney CC, Crane MM, Wang Y, Appelhans BM. Nutrition quality of food purchases varies by household income: the </w:t>
      </w:r>
      <w:proofErr w:type="spellStart"/>
      <w:r>
        <w:t>SHoPPER</w:t>
      </w:r>
      <w:proofErr w:type="spellEnd"/>
      <w:r>
        <w:t xml:space="preserve"> study. </w:t>
      </w:r>
      <w:r>
        <w:rPr>
          <w:i/>
          <w:iCs/>
        </w:rPr>
        <w:t>BMC Public Health</w:t>
      </w:r>
      <w:r>
        <w:t>. 2019;19(1):231.</w:t>
      </w:r>
    </w:p>
    <w:p w14:paraId="771F9229" w14:textId="77777777" w:rsidR="0011300E" w:rsidRDefault="00000000">
      <w:pPr>
        <w:pStyle w:val="ListParagraph"/>
        <w:numPr>
          <w:ilvl w:val="0"/>
          <w:numId w:val="7"/>
        </w:numPr>
        <w:spacing w:after="120" w:line="276" w:lineRule="auto"/>
        <w:jc w:val="both"/>
      </w:pPr>
      <w:r>
        <w:t xml:space="preserve">Hume C, Grieger JA, </w:t>
      </w:r>
      <w:proofErr w:type="spellStart"/>
      <w:r>
        <w:t>Kalamkarian</w:t>
      </w:r>
      <w:proofErr w:type="spellEnd"/>
      <w:r>
        <w:t xml:space="preserve"> A, </w:t>
      </w:r>
      <w:proofErr w:type="spellStart"/>
      <w:r>
        <w:t>D’Onise</w:t>
      </w:r>
      <w:proofErr w:type="spellEnd"/>
      <w:r>
        <w:t xml:space="preserve"> K, Smithers LG. Community gardens and their effects on diet, health, psychosocial and community outcomes: a systematic review. </w:t>
      </w:r>
      <w:r>
        <w:rPr>
          <w:i/>
          <w:iCs/>
        </w:rPr>
        <w:t>BMC Public Health</w:t>
      </w:r>
      <w:r>
        <w:t>. 2022;22(1):1247.</w:t>
      </w:r>
    </w:p>
    <w:sectPr w:rsidR="0011300E">
      <w:footerReference w:type="default" r:id="rId7"/>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A4D9F" w14:textId="77777777" w:rsidR="00DF4935" w:rsidRDefault="00DF4935">
      <w:r>
        <w:separator/>
      </w:r>
    </w:p>
  </w:endnote>
  <w:endnote w:type="continuationSeparator" w:id="0">
    <w:p w14:paraId="539EE5DA" w14:textId="77777777" w:rsidR="00DF4935" w:rsidRDefault="00DF4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7B18" w14:textId="69D3F8EA" w:rsidR="0011300E" w:rsidRDefault="00000000">
    <w:pPr>
      <w:pBdr>
        <w:top w:val="single" w:sz="4" w:space="6" w:color="CCCCCC"/>
      </w:pBdr>
      <w:tabs>
        <w:tab w:val="right" w:pos="9026"/>
      </w:tabs>
    </w:pPr>
    <w:r>
      <w:rPr>
        <w:rFonts w:ascii="Arial" w:eastAsia="Arial" w:hAnsi="Arial" w:cs="Arial"/>
        <w:color w:val="6B6B6B"/>
        <w:sz w:val="16"/>
        <w:szCs w:val="16"/>
      </w:rPr>
      <w:t xml:space="preserve">Mindful Eating for the Beloved </w:t>
    </w:r>
    <w:r w:rsidR="00BA4241">
      <w:rPr>
        <w:rFonts w:ascii="Arial" w:eastAsia="Arial" w:hAnsi="Arial" w:cs="Arial"/>
        <w:color w:val="6B6B6B"/>
        <w:sz w:val="16"/>
        <w:szCs w:val="16"/>
      </w:rPr>
      <w:t xml:space="preserve">Community </w:t>
    </w:r>
    <w:proofErr w:type="gramStart"/>
    <w:r w:rsidR="00BA4241">
      <w:rPr>
        <w:rFonts w:ascii="Arial" w:eastAsia="Arial" w:hAnsi="Arial" w:cs="Arial"/>
        <w:color w:val="6B6B6B"/>
        <w:sz w:val="16"/>
        <w:szCs w:val="16"/>
      </w:rPr>
      <w:t>·</w:t>
    </w:r>
    <w:r>
      <w:rPr>
        <w:rFonts w:ascii="Arial" w:eastAsia="Arial" w:hAnsi="Arial" w:cs="Arial"/>
        <w:color w:val="6B6B6B"/>
        <w:sz w:val="16"/>
        <w:szCs w:val="16"/>
      </w:rPr>
      <w:t xml:space="preserve">  </w:t>
    </w:r>
    <w:proofErr w:type="spellStart"/>
    <w:r>
      <w:rPr>
        <w:rFonts w:ascii="Arial" w:eastAsia="Arial" w:hAnsi="Arial" w:cs="Arial"/>
        <w:color w:val="6B6B6B"/>
        <w:sz w:val="16"/>
        <w:szCs w:val="16"/>
      </w:rPr>
      <w:t>BCAGlobal</w:t>
    </w:r>
    <w:proofErr w:type="spellEnd"/>
    <w:proofErr w:type="gramEnd"/>
    <w:r>
      <w:rPr>
        <w:sz w:val="16"/>
        <w:szCs w:val="16"/>
      </w:rPr>
      <w:tab/>
    </w:r>
    <w:r>
      <w:rPr>
        <w:rFonts w:ascii="Arial" w:eastAsia="Arial" w:hAnsi="Arial" w:cs="Arial"/>
        <w:b/>
        <w:bCs/>
        <w:color w:val="6B6B6B"/>
        <w:sz w:val="18"/>
        <w:szCs w:val="18"/>
      </w:rPr>
      <w:fldChar w:fldCharType="begin"/>
    </w:r>
    <w:r>
      <w:rPr>
        <w:rFonts w:ascii="Arial" w:eastAsia="Arial" w:hAnsi="Arial" w:cs="Arial"/>
        <w:b/>
        <w:bCs/>
        <w:color w:val="6B6B6B"/>
        <w:sz w:val="18"/>
        <w:szCs w:val="18"/>
      </w:rPr>
      <w:instrText>PAGE</w:instrText>
    </w:r>
    <w:r>
      <w:rPr>
        <w:rFonts w:ascii="Arial" w:eastAsia="Arial" w:hAnsi="Arial" w:cs="Arial"/>
        <w:b/>
        <w:bCs/>
        <w:color w:val="6B6B6B"/>
        <w:sz w:val="18"/>
        <w:szCs w:val="18"/>
      </w:rPr>
      <w:fldChar w:fldCharType="separate"/>
    </w:r>
    <w:r w:rsidR="00BA4241">
      <w:rPr>
        <w:rFonts w:ascii="Arial" w:eastAsia="Arial" w:hAnsi="Arial" w:cs="Arial"/>
        <w:b/>
        <w:bCs/>
        <w:noProof/>
        <w:color w:val="6B6B6B"/>
        <w:sz w:val="18"/>
        <w:szCs w:val="18"/>
      </w:rPr>
      <w:t>1</w:t>
    </w:r>
    <w:r>
      <w:rPr>
        <w:rFonts w:ascii="Arial" w:eastAsia="Arial" w:hAnsi="Arial" w:cs="Arial"/>
        <w:b/>
        <w:bCs/>
        <w:color w:val="6B6B6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8C026" w14:textId="77777777" w:rsidR="00DF4935" w:rsidRDefault="00DF4935">
      <w:r>
        <w:separator/>
      </w:r>
    </w:p>
  </w:footnote>
  <w:footnote w:type="continuationSeparator" w:id="0">
    <w:p w14:paraId="7F0FEABD" w14:textId="77777777" w:rsidR="00DF4935" w:rsidRDefault="00DF49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88E"/>
    <w:multiLevelType w:val="hybridMultilevel"/>
    <w:tmpl w:val="12F805D4"/>
    <w:lvl w:ilvl="0" w:tplc="F294CC9C">
      <w:start w:val="1"/>
      <w:numFmt w:val="bullet"/>
      <w:lvlText w:val="●"/>
      <w:lvlJc w:val="left"/>
      <w:pPr>
        <w:ind w:left="720" w:hanging="360"/>
      </w:pPr>
    </w:lvl>
    <w:lvl w:ilvl="1" w:tplc="043A853C">
      <w:start w:val="1"/>
      <w:numFmt w:val="bullet"/>
      <w:lvlText w:val="○"/>
      <w:lvlJc w:val="left"/>
      <w:pPr>
        <w:ind w:left="1440" w:hanging="360"/>
      </w:pPr>
    </w:lvl>
    <w:lvl w:ilvl="2" w:tplc="E024556E">
      <w:start w:val="1"/>
      <w:numFmt w:val="bullet"/>
      <w:lvlText w:val="■"/>
      <w:lvlJc w:val="left"/>
      <w:pPr>
        <w:ind w:left="2160" w:hanging="360"/>
      </w:pPr>
    </w:lvl>
    <w:lvl w:ilvl="3" w:tplc="F4BA2A4E">
      <w:start w:val="1"/>
      <w:numFmt w:val="bullet"/>
      <w:lvlText w:val="●"/>
      <w:lvlJc w:val="left"/>
      <w:pPr>
        <w:ind w:left="2880" w:hanging="360"/>
      </w:pPr>
    </w:lvl>
    <w:lvl w:ilvl="4" w:tplc="5B32F6C6">
      <w:start w:val="1"/>
      <w:numFmt w:val="bullet"/>
      <w:lvlText w:val="○"/>
      <w:lvlJc w:val="left"/>
      <w:pPr>
        <w:ind w:left="3600" w:hanging="360"/>
      </w:pPr>
    </w:lvl>
    <w:lvl w:ilvl="5" w:tplc="BF92BDC6">
      <w:start w:val="1"/>
      <w:numFmt w:val="bullet"/>
      <w:lvlText w:val="■"/>
      <w:lvlJc w:val="left"/>
      <w:pPr>
        <w:ind w:left="4320" w:hanging="360"/>
      </w:pPr>
    </w:lvl>
    <w:lvl w:ilvl="6" w:tplc="D54C5AA8">
      <w:start w:val="1"/>
      <w:numFmt w:val="bullet"/>
      <w:lvlText w:val="●"/>
      <w:lvlJc w:val="left"/>
      <w:pPr>
        <w:ind w:left="5040" w:hanging="360"/>
      </w:pPr>
    </w:lvl>
    <w:lvl w:ilvl="7" w:tplc="633A23CC">
      <w:start w:val="1"/>
      <w:numFmt w:val="bullet"/>
      <w:lvlText w:val="●"/>
      <w:lvlJc w:val="left"/>
      <w:pPr>
        <w:ind w:left="5760" w:hanging="360"/>
      </w:pPr>
    </w:lvl>
    <w:lvl w:ilvl="8" w:tplc="AEF45A38">
      <w:start w:val="1"/>
      <w:numFmt w:val="bullet"/>
      <w:lvlText w:val="●"/>
      <w:lvlJc w:val="left"/>
      <w:pPr>
        <w:ind w:left="6480" w:hanging="360"/>
      </w:pPr>
    </w:lvl>
  </w:abstractNum>
  <w:abstractNum w:abstractNumId="1" w15:restartNumberingAfterBreak="0">
    <w:nsid w:val="041A7CEA"/>
    <w:multiLevelType w:val="hybridMultilevel"/>
    <w:tmpl w:val="F2B0123C"/>
    <w:lvl w:ilvl="0" w:tplc="C896BE08">
      <w:start w:val="1"/>
      <w:numFmt w:val="decimal"/>
      <w:lvlText w:val="%1."/>
      <w:lvlJc w:val="left"/>
      <w:pPr>
        <w:ind w:left="540" w:hanging="360"/>
      </w:pPr>
      <w:rPr>
        <w:b/>
        <w:bCs/>
        <w:color w:val="1E5631"/>
      </w:rPr>
    </w:lvl>
    <w:lvl w:ilvl="1" w:tplc="C8B66902">
      <w:numFmt w:val="decimal"/>
      <w:lvlText w:val=""/>
      <w:lvlJc w:val="left"/>
    </w:lvl>
    <w:lvl w:ilvl="2" w:tplc="EFB8E742">
      <w:numFmt w:val="decimal"/>
      <w:lvlText w:val=""/>
      <w:lvlJc w:val="left"/>
    </w:lvl>
    <w:lvl w:ilvl="3" w:tplc="8FE83BAC">
      <w:numFmt w:val="decimal"/>
      <w:lvlText w:val=""/>
      <w:lvlJc w:val="left"/>
    </w:lvl>
    <w:lvl w:ilvl="4" w:tplc="B1CA2EDC">
      <w:numFmt w:val="decimal"/>
      <w:lvlText w:val=""/>
      <w:lvlJc w:val="left"/>
    </w:lvl>
    <w:lvl w:ilvl="5" w:tplc="15326D5C">
      <w:numFmt w:val="decimal"/>
      <w:lvlText w:val=""/>
      <w:lvlJc w:val="left"/>
    </w:lvl>
    <w:lvl w:ilvl="6" w:tplc="C14654FC">
      <w:numFmt w:val="decimal"/>
      <w:lvlText w:val=""/>
      <w:lvlJc w:val="left"/>
    </w:lvl>
    <w:lvl w:ilvl="7" w:tplc="A17217C2">
      <w:numFmt w:val="decimal"/>
      <w:lvlText w:val=""/>
      <w:lvlJc w:val="left"/>
    </w:lvl>
    <w:lvl w:ilvl="8" w:tplc="D8DE4A7A">
      <w:numFmt w:val="decimal"/>
      <w:lvlText w:val=""/>
      <w:lvlJc w:val="left"/>
    </w:lvl>
  </w:abstractNum>
  <w:abstractNum w:abstractNumId="2" w15:restartNumberingAfterBreak="0">
    <w:nsid w:val="155500E2"/>
    <w:multiLevelType w:val="hybridMultilevel"/>
    <w:tmpl w:val="2C3AFAD2"/>
    <w:lvl w:ilvl="0" w:tplc="0A98DF72">
      <w:start w:val="1"/>
      <w:numFmt w:val="decimal"/>
      <w:lvlText w:val="%1."/>
      <w:lvlJc w:val="left"/>
      <w:pPr>
        <w:ind w:left="540" w:hanging="360"/>
      </w:pPr>
      <w:rPr>
        <w:b/>
        <w:bCs/>
        <w:color w:val="1E5631"/>
      </w:rPr>
    </w:lvl>
    <w:lvl w:ilvl="1" w:tplc="CB42194C">
      <w:numFmt w:val="decimal"/>
      <w:lvlText w:val=""/>
      <w:lvlJc w:val="left"/>
    </w:lvl>
    <w:lvl w:ilvl="2" w:tplc="EE1E7818">
      <w:numFmt w:val="decimal"/>
      <w:lvlText w:val=""/>
      <w:lvlJc w:val="left"/>
    </w:lvl>
    <w:lvl w:ilvl="3" w:tplc="A6269AEA">
      <w:numFmt w:val="decimal"/>
      <w:lvlText w:val=""/>
      <w:lvlJc w:val="left"/>
    </w:lvl>
    <w:lvl w:ilvl="4" w:tplc="930E2EB4">
      <w:numFmt w:val="decimal"/>
      <w:lvlText w:val=""/>
      <w:lvlJc w:val="left"/>
    </w:lvl>
    <w:lvl w:ilvl="5" w:tplc="33908D16">
      <w:numFmt w:val="decimal"/>
      <w:lvlText w:val=""/>
      <w:lvlJc w:val="left"/>
    </w:lvl>
    <w:lvl w:ilvl="6" w:tplc="ECE6C6E0">
      <w:numFmt w:val="decimal"/>
      <w:lvlText w:val=""/>
      <w:lvlJc w:val="left"/>
    </w:lvl>
    <w:lvl w:ilvl="7" w:tplc="18E0A02C">
      <w:numFmt w:val="decimal"/>
      <w:lvlText w:val=""/>
      <w:lvlJc w:val="left"/>
    </w:lvl>
    <w:lvl w:ilvl="8" w:tplc="64242BEA">
      <w:numFmt w:val="decimal"/>
      <w:lvlText w:val=""/>
      <w:lvlJc w:val="left"/>
    </w:lvl>
  </w:abstractNum>
  <w:abstractNum w:abstractNumId="3" w15:restartNumberingAfterBreak="0">
    <w:nsid w:val="267A5AE0"/>
    <w:multiLevelType w:val="hybridMultilevel"/>
    <w:tmpl w:val="32E251F4"/>
    <w:lvl w:ilvl="0" w:tplc="56BE4DBC">
      <w:start w:val="1"/>
      <w:numFmt w:val="decimal"/>
      <w:lvlText w:val="%1."/>
      <w:lvlJc w:val="left"/>
      <w:pPr>
        <w:ind w:left="540" w:hanging="360"/>
      </w:pPr>
      <w:rPr>
        <w:b/>
        <w:bCs/>
        <w:color w:val="1E5631"/>
      </w:rPr>
    </w:lvl>
    <w:lvl w:ilvl="1" w:tplc="76AC1B1E">
      <w:numFmt w:val="decimal"/>
      <w:lvlText w:val=""/>
      <w:lvlJc w:val="left"/>
    </w:lvl>
    <w:lvl w:ilvl="2" w:tplc="C42A37A0">
      <w:numFmt w:val="decimal"/>
      <w:lvlText w:val=""/>
      <w:lvlJc w:val="left"/>
    </w:lvl>
    <w:lvl w:ilvl="3" w:tplc="74B6D6FA">
      <w:numFmt w:val="decimal"/>
      <w:lvlText w:val=""/>
      <w:lvlJc w:val="left"/>
    </w:lvl>
    <w:lvl w:ilvl="4" w:tplc="CE30BA78">
      <w:numFmt w:val="decimal"/>
      <w:lvlText w:val=""/>
      <w:lvlJc w:val="left"/>
    </w:lvl>
    <w:lvl w:ilvl="5" w:tplc="44A60962">
      <w:numFmt w:val="decimal"/>
      <w:lvlText w:val=""/>
      <w:lvlJc w:val="left"/>
    </w:lvl>
    <w:lvl w:ilvl="6" w:tplc="2DF695FE">
      <w:numFmt w:val="decimal"/>
      <w:lvlText w:val=""/>
      <w:lvlJc w:val="left"/>
    </w:lvl>
    <w:lvl w:ilvl="7" w:tplc="A5CAE2E6">
      <w:numFmt w:val="decimal"/>
      <w:lvlText w:val=""/>
      <w:lvlJc w:val="left"/>
    </w:lvl>
    <w:lvl w:ilvl="8" w:tplc="42343050">
      <w:numFmt w:val="decimal"/>
      <w:lvlText w:val=""/>
      <w:lvlJc w:val="left"/>
    </w:lvl>
  </w:abstractNum>
  <w:abstractNum w:abstractNumId="4" w15:restartNumberingAfterBreak="0">
    <w:nsid w:val="2D4C0797"/>
    <w:multiLevelType w:val="hybridMultilevel"/>
    <w:tmpl w:val="BB4A88DE"/>
    <w:lvl w:ilvl="0" w:tplc="4B6E3346">
      <w:start w:val="1"/>
      <w:numFmt w:val="decimal"/>
      <w:lvlText w:val="%1."/>
      <w:lvlJc w:val="left"/>
      <w:pPr>
        <w:ind w:left="540" w:hanging="360"/>
      </w:pPr>
      <w:rPr>
        <w:b/>
        <w:bCs/>
        <w:color w:val="1E5631"/>
      </w:rPr>
    </w:lvl>
    <w:lvl w:ilvl="1" w:tplc="74FED2E2">
      <w:numFmt w:val="decimal"/>
      <w:lvlText w:val=""/>
      <w:lvlJc w:val="left"/>
    </w:lvl>
    <w:lvl w:ilvl="2" w:tplc="DBECAAA4">
      <w:numFmt w:val="decimal"/>
      <w:lvlText w:val=""/>
      <w:lvlJc w:val="left"/>
    </w:lvl>
    <w:lvl w:ilvl="3" w:tplc="05C0E132">
      <w:numFmt w:val="decimal"/>
      <w:lvlText w:val=""/>
      <w:lvlJc w:val="left"/>
    </w:lvl>
    <w:lvl w:ilvl="4" w:tplc="BC50F6AA">
      <w:numFmt w:val="decimal"/>
      <w:lvlText w:val=""/>
      <w:lvlJc w:val="left"/>
    </w:lvl>
    <w:lvl w:ilvl="5" w:tplc="75B06022">
      <w:numFmt w:val="decimal"/>
      <w:lvlText w:val=""/>
      <w:lvlJc w:val="left"/>
    </w:lvl>
    <w:lvl w:ilvl="6" w:tplc="5DBC82A0">
      <w:numFmt w:val="decimal"/>
      <w:lvlText w:val=""/>
      <w:lvlJc w:val="left"/>
    </w:lvl>
    <w:lvl w:ilvl="7" w:tplc="94920EBC">
      <w:numFmt w:val="decimal"/>
      <w:lvlText w:val=""/>
      <w:lvlJc w:val="left"/>
    </w:lvl>
    <w:lvl w:ilvl="8" w:tplc="BFF0DF56">
      <w:numFmt w:val="decimal"/>
      <w:lvlText w:val=""/>
      <w:lvlJc w:val="left"/>
    </w:lvl>
  </w:abstractNum>
  <w:abstractNum w:abstractNumId="5" w15:restartNumberingAfterBreak="0">
    <w:nsid w:val="359D0684"/>
    <w:multiLevelType w:val="hybridMultilevel"/>
    <w:tmpl w:val="60A03A8C"/>
    <w:lvl w:ilvl="0" w:tplc="9426F462">
      <w:start w:val="1"/>
      <w:numFmt w:val="decimal"/>
      <w:lvlText w:val="%1."/>
      <w:lvlJc w:val="left"/>
      <w:pPr>
        <w:ind w:left="540" w:hanging="360"/>
      </w:pPr>
      <w:rPr>
        <w:b/>
        <w:bCs/>
        <w:color w:val="1E5631"/>
      </w:rPr>
    </w:lvl>
    <w:lvl w:ilvl="1" w:tplc="F81868EC">
      <w:numFmt w:val="decimal"/>
      <w:lvlText w:val=""/>
      <w:lvlJc w:val="left"/>
    </w:lvl>
    <w:lvl w:ilvl="2" w:tplc="B1F45AC4">
      <w:numFmt w:val="decimal"/>
      <w:lvlText w:val=""/>
      <w:lvlJc w:val="left"/>
    </w:lvl>
    <w:lvl w:ilvl="3" w:tplc="9D205A08">
      <w:numFmt w:val="decimal"/>
      <w:lvlText w:val=""/>
      <w:lvlJc w:val="left"/>
    </w:lvl>
    <w:lvl w:ilvl="4" w:tplc="7C74EE70">
      <w:numFmt w:val="decimal"/>
      <w:lvlText w:val=""/>
      <w:lvlJc w:val="left"/>
    </w:lvl>
    <w:lvl w:ilvl="5" w:tplc="0308A72A">
      <w:numFmt w:val="decimal"/>
      <w:lvlText w:val=""/>
      <w:lvlJc w:val="left"/>
    </w:lvl>
    <w:lvl w:ilvl="6" w:tplc="A2284A0A">
      <w:numFmt w:val="decimal"/>
      <w:lvlText w:val=""/>
      <w:lvlJc w:val="left"/>
    </w:lvl>
    <w:lvl w:ilvl="7" w:tplc="DBEA5B42">
      <w:numFmt w:val="decimal"/>
      <w:lvlText w:val=""/>
      <w:lvlJc w:val="left"/>
    </w:lvl>
    <w:lvl w:ilvl="8" w:tplc="7DF49E3C">
      <w:numFmt w:val="decimal"/>
      <w:lvlText w:val=""/>
      <w:lvlJc w:val="left"/>
    </w:lvl>
  </w:abstractNum>
  <w:abstractNum w:abstractNumId="6" w15:restartNumberingAfterBreak="0">
    <w:nsid w:val="52C51759"/>
    <w:multiLevelType w:val="hybridMultilevel"/>
    <w:tmpl w:val="AD9A5E40"/>
    <w:lvl w:ilvl="0" w:tplc="2740269A">
      <w:start w:val="1"/>
      <w:numFmt w:val="bullet"/>
      <w:lvlText w:val="•"/>
      <w:lvlJc w:val="left"/>
      <w:pPr>
        <w:ind w:left="540" w:hanging="270"/>
      </w:pPr>
      <w:rPr>
        <w:color w:val="1E5631"/>
      </w:rPr>
    </w:lvl>
    <w:lvl w:ilvl="1" w:tplc="245C5BE8">
      <w:numFmt w:val="decimal"/>
      <w:lvlText w:val=""/>
      <w:lvlJc w:val="left"/>
    </w:lvl>
    <w:lvl w:ilvl="2" w:tplc="51907BE0">
      <w:numFmt w:val="decimal"/>
      <w:lvlText w:val=""/>
      <w:lvlJc w:val="left"/>
    </w:lvl>
    <w:lvl w:ilvl="3" w:tplc="E7C87348">
      <w:numFmt w:val="decimal"/>
      <w:lvlText w:val=""/>
      <w:lvlJc w:val="left"/>
    </w:lvl>
    <w:lvl w:ilvl="4" w:tplc="1CB6BC32">
      <w:numFmt w:val="decimal"/>
      <w:lvlText w:val=""/>
      <w:lvlJc w:val="left"/>
    </w:lvl>
    <w:lvl w:ilvl="5" w:tplc="718C69A6">
      <w:numFmt w:val="decimal"/>
      <w:lvlText w:val=""/>
      <w:lvlJc w:val="left"/>
    </w:lvl>
    <w:lvl w:ilvl="6" w:tplc="70F28B42">
      <w:numFmt w:val="decimal"/>
      <w:lvlText w:val=""/>
      <w:lvlJc w:val="left"/>
    </w:lvl>
    <w:lvl w:ilvl="7" w:tplc="E0603F92">
      <w:numFmt w:val="decimal"/>
      <w:lvlText w:val=""/>
      <w:lvlJc w:val="left"/>
    </w:lvl>
    <w:lvl w:ilvl="8" w:tplc="4DE0FADC">
      <w:numFmt w:val="decimal"/>
      <w:lvlText w:val=""/>
      <w:lvlJc w:val="left"/>
    </w:lvl>
  </w:abstractNum>
  <w:num w:numId="1" w16cid:durableId="182669131">
    <w:abstractNumId w:val="0"/>
    <w:lvlOverride w:ilvl="0">
      <w:startOverride w:val="1"/>
    </w:lvlOverride>
  </w:num>
  <w:num w:numId="2" w16cid:durableId="730079513">
    <w:abstractNumId w:val="6"/>
    <w:lvlOverride w:ilvl="0">
      <w:startOverride w:val="1"/>
    </w:lvlOverride>
  </w:num>
  <w:num w:numId="3" w16cid:durableId="1200361284">
    <w:abstractNumId w:val="3"/>
    <w:lvlOverride w:ilvl="0">
      <w:startOverride w:val="1"/>
    </w:lvlOverride>
  </w:num>
  <w:num w:numId="4" w16cid:durableId="1113669699">
    <w:abstractNumId w:val="4"/>
    <w:lvlOverride w:ilvl="0">
      <w:startOverride w:val="1"/>
    </w:lvlOverride>
  </w:num>
  <w:num w:numId="5" w16cid:durableId="478228231">
    <w:abstractNumId w:val="1"/>
    <w:lvlOverride w:ilvl="0">
      <w:startOverride w:val="1"/>
    </w:lvlOverride>
  </w:num>
  <w:num w:numId="6" w16cid:durableId="1071317885">
    <w:abstractNumId w:val="5"/>
    <w:lvlOverride w:ilvl="0">
      <w:startOverride w:val="1"/>
    </w:lvlOverride>
  </w:num>
  <w:num w:numId="7" w16cid:durableId="92912304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00E"/>
    <w:rsid w:val="0011300E"/>
    <w:rsid w:val="00A74EB3"/>
    <w:rsid w:val="00BA4241"/>
    <w:rsid w:val="00DF4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AD0D0"/>
  <w15:docId w15:val="{35946959-1516-4EA3-AC68-AFA1CB69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color w:val="1A1A1A"/>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rFonts w:ascii="Arial" w:eastAsia="Arial" w:hAnsi="Arial" w:cs="Arial"/>
      <w:b/>
      <w:bCs/>
      <w:color w:val="1E5631"/>
      <w:sz w:val="30"/>
      <w:szCs w:val="30"/>
    </w:rPr>
  </w:style>
  <w:style w:type="paragraph" w:styleId="Heading2">
    <w:name w:val="heading 2"/>
    <w:uiPriority w:val="9"/>
    <w:unhideWhenUsed/>
    <w:qFormat/>
    <w:pPr>
      <w:spacing w:before="240" w:after="100"/>
      <w:outlineLvl w:val="1"/>
    </w:pPr>
    <w:rPr>
      <w:rFonts w:ascii="Arial" w:eastAsia="Arial" w:hAnsi="Arial" w:cs="Arial"/>
      <w:b/>
      <w:bCs/>
      <w:color w:val="2E7D52"/>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A4241"/>
    <w:pPr>
      <w:tabs>
        <w:tab w:val="center" w:pos="4680"/>
        <w:tab w:val="right" w:pos="9360"/>
      </w:tabs>
    </w:pPr>
  </w:style>
  <w:style w:type="character" w:customStyle="1" w:styleId="HeaderChar">
    <w:name w:val="Header Char"/>
    <w:basedOn w:val="DefaultParagraphFont"/>
    <w:link w:val="Header"/>
    <w:uiPriority w:val="99"/>
    <w:rsid w:val="00BA4241"/>
  </w:style>
  <w:style w:type="paragraph" w:styleId="Footer">
    <w:name w:val="footer"/>
    <w:basedOn w:val="Normal"/>
    <w:link w:val="FooterChar"/>
    <w:uiPriority w:val="99"/>
    <w:unhideWhenUsed/>
    <w:rsid w:val="00BA4241"/>
    <w:pPr>
      <w:tabs>
        <w:tab w:val="center" w:pos="4680"/>
        <w:tab w:val="right" w:pos="9360"/>
      </w:tabs>
    </w:pPr>
  </w:style>
  <w:style w:type="character" w:customStyle="1" w:styleId="FooterChar">
    <w:name w:val="Footer Char"/>
    <w:basedOn w:val="DefaultParagraphFont"/>
    <w:link w:val="Footer"/>
    <w:uiPriority w:val="99"/>
    <w:rsid w:val="00BA4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3215</Words>
  <Characters>18329</Characters>
  <Application>Microsoft Office Word</Application>
  <DocSecurity>0</DocSecurity>
  <Lines>152</Lines>
  <Paragraphs>43</Paragraphs>
  <ScaleCrop>false</ScaleCrop>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Chef Alex</cp:lastModifiedBy>
  <cp:revision>2</cp:revision>
  <dcterms:created xsi:type="dcterms:W3CDTF">2026-06-24T13:39:00Z</dcterms:created>
  <dcterms:modified xsi:type="dcterms:W3CDTF">2026-06-24T13:39:00Z</dcterms:modified>
</cp:coreProperties>
</file>