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05D8CB6D" w:rsidR="002843CA" w:rsidRDefault="004103C3">
            <w:r>
              <w:t>Alawite Islamic Charity Association</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670EB465" w:rsidR="002843CA" w:rsidRDefault="00CC0985">
            <w:r>
              <w:t>Ali Eid</w:t>
            </w:r>
            <w:r w:rsidR="004103C3">
              <w:t xml:space="preserve"> – First Responder Leader</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5F84A696" w:rsidR="00A31AD9" w:rsidRDefault="007F1E3B" w:rsidP="00A31AD9">
            <w:pPr>
              <w:tabs>
                <w:tab w:val="left" w:pos="1170"/>
              </w:tabs>
            </w:pPr>
            <w:r>
              <w:t>Name:</w:t>
            </w:r>
            <w:r w:rsidR="000E51FE">
              <w:t xml:space="preserve"> </w:t>
            </w:r>
            <w:r w:rsidR="00CC0985">
              <w:t>Ali Eid</w:t>
            </w:r>
          </w:p>
          <w:p w14:paraId="2ACDF208" w14:textId="4E1B1460" w:rsidR="002843CA" w:rsidRDefault="00CD6E72" w:rsidP="00A31AD9">
            <w:r>
              <w:t>P</w:t>
            </w:r>
            <w:r w:rsidR="000E51FE">
              <w:t xml:space="preserve">hone </w:t>
            </w:r>
            <w:r w:rsidR="008376BB">
              <w:t>Number:</w:t>
            </w:r>
            <w:r w:rsidR="001B130F">
              <w:t xml:space="preserve"> +961 </w:t>
            </w:r>
            <w:r w:rsidR="00CC0985">
              <w:t>70 772515</w:t>
            </w:r>
            <w:r w:rsidR="000E51FE">
              <w:t xml:space="preserve"> </w:t>
            </w:r>
            <w:r w:rsidR="007F1E3B">
              <w:t xml:space="preserve">          </w:t>
            </w:r>
            <w:r>
              <w:t xml:space="preserve">    E</w:t>
            </w:r>
            <w:r w:rsidR="000E51FE">
              <w:t>mail:</w:t>
            </w:r>
            <w:r w:rsidR="00A7262B">
              <w:t xml:space="preserve"> </w:t>
            </w:r>
            <w:r w:rsidR="00CC0985">
              <w:t>frt</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32F6EFF6" w:rsidR="002843CA" w:rsidRDefault="001B130F" w:rsidP="00F07966">
            <w:r>
              <w:t xml:space="preserve">From </w:t>
            </w:r>
            <w:r w:rsidR="004F26D7">
              <w:t xml:space="preserve">the </w:t>
            </w:r>
            <w:proofErr w:type="gramStart"/>
            <w:r w:rsidR="00CC0985">
              <w:t>8</w:t>
            </w:r>
            <w:r w:rsidR="00CC0985">
              <w:rPr>
                <w:vertAlign w:val="superscript"/>
              </w:rPr>
              <w:t>th</w:t>
            </w:r>
            <w:proofErr w:type="gramEnd"/>
            <w:r w:rsidR="004103C3">
              <w:t xml:space="preserve"> </w:t>
            </w:r>
            <w:r w:rsidR="00CC0985">
              <w:t>March</w:t>
            </w:r>
            <w:r>
              <w:t xml:space="preserve"> 202</w:t>
            </w:r>
            <w:r w:rsidR="00CC0985">
              <w:t>5</w:t>
            </w:r>
            <w:r>
              <w:t xml:space="preserve"> to </w:t>
            </w:r>
            <w:r w:rsidR="00FC6F8F">
              <w:t>31</w:t>
            </w:r>
            <w:r w:rsidR="00FC6F8F" w:rsidRPr="00FC6F8F">
              <w:rPr>
                <w:vertAlign w:val="superscript"/>
              </w:rPr>
              <w:t>st</w:t>
            </w:r>
            <w:r>
              <w:t xml:space="preserve"> </w:t>
            </w:r>
            <w:r w:rsidR="00CC0985">
              <w:t>June</w:t>
            </w:r>
            <w:r w:rsidR="008376BB">
              <w:t xml:space="preserve"> </w:t>
            </w:r>
            <w:r w:rsidR="006C3C39">
              <w:t>202</w:t>
            </w:r>
            <w:r w:rsidR="00FD0CDC">
              <w:t>5</w:t>
            </w:r>
          </w:p>
        </w:tc>
      </w:tr>
    </w:tbl>
    <w:p w14:paraId="2390EE0D" w14:textId="77777777" w:rsidR="002843CA" w:rsidRDefault="002843CA"/>
    <w:p w14:paraId="63F2A6C0" w14:textId="5154FEC8" w:rsidR="004103C3" w:rsidRPr="004103C3" w:rsidRDefault="004103C3" w:rsidP="004103C3">
      <w:pPr>
        <w:tabs>
          <w:tab w:val="left" w:pos="1455"/>
        </w:tabs>
      </w:pPr>
      <w:r w:rsidRPr="004103C3">
        <w:rPr>
          <w:b/>
          <w:bCs/>
        </w:rPr>
        <w:t>AICA Humanitarian Response Report</w:t>
      </w:r>
      <w:r w:rsidRPr="004103C3">
        <w:br/>
      </w:r>
      <w:r w:rsidRPr="004103C3">
        <w:rPr>
          <w:b/>
          <w:bCs/>
        </w:rPr>
        <w:t>Syrian Refugee Influx in North Lebanon</w:t>
      </w:r>
      <w:r w:rsidRPr="004103C3">
        <w:pict w14:anchorId="783DC8BF">
          <v:rect id="_x0000_i1079" style="width:0;height:1.5pt" o:hralign="center" o:hrstd="t" o:hr="t" fillcolor="#a0a0a0" stroked="f"/>
        </w:pict>
      </w:r>
    </w:p>
    <w:p w14:paraId="6EF410F4" w14:textId="77777777" w:rsidR="004103C3" w:rsidRPr="004103C3" w:rsidRDefault="004103C3" w:rsidP="004103C3">
      <w:pPr>
        <w:tabs>
          <w:tab w:val="left" w:pos="1455"/>
        </w:tabs>
        <w:rPr>
          <w:b/>
          <w:bCs/>
        </w:rPr>
      </w:pPr>
      <w:r w:rsidRPr="004103C3">
        <w:rPr>
          <w:b/>
          <w:bCs/>
        </w:rPr>
        <w:t>1. Executive Summary</w:t>
      </w:r>
    </w:p>
    <w:p w14:paraId="243B4E7D" w14:textId="46606CE9" w:rsidR="004103C3" w:rsidRPr="004103C3" w:rsidRDefault="004103C3" w:rsidP="004103C3">
      <w:pPr>
        <w:tabs>
          <w:tab w:val="left" w:pos="1455"/>
        </w:tabs>
      </w:pPr>
      <w:r w:rsidRPr="004103C3">
        <w:t>In response to the sudden and large-scale influx of Syrian refugees into North Lebanon following the collapse of the Syrian regime in late 2024, the Alawite Islamic Charity Association (AICA) mobilized a multisectoral humanitarian intervention targeting vulnerable displaced populations in Tripoli (Jabal Mohsen) and Akkar. With partial funding support from Global</w:t>
      </w:r>
      <w:r>
        <w:t xml:space="preserve"> </w:t>
      </w:r>
      <w:r w:rsidRPr="004103C3">
        <w:t xml:space="preserve">Giving (USD 20,000), alongside other </w:t>
      </w:r>
      <w:proofErr w:type="gramStart"/>
      <w:r w:rsidRPr="004103C3">
        <w:t>donor</w:t>
      </w:r>
      <w:proofErr w:type="gramEnd"/>
      <w:r w:rsidRPr="004103C3">
        <w:t xml:space="preserve"> and in-kind support, AICA responded swiftly to urgent needs in food security, shelter, health, WASH, protection, and psychosocial support.</w:t>
      </w:r>
    </w:p>
    <w:p w14:paraId="123ECFFA" w14:textId="77777777" w:rsidR="004103C3" w:rsidRPr="004103C3" w:rsidRDefault="004103C3" w:rsidP="004103C3">
      <w:pPr>
        <w:tabs>
          <w:tab w:val="left" w:pos="1455"/>
        </w:tabs>
      </w:pPr>
      <w:r w:rsidRPr="004103C3">
        <w:pict w14:anchorId="754B38D3">
          <v:rect id="_x0000_i1080" style="width:0;height:1.5pt" o:hralign="center" o:hrstd="t" o:hr="t" fillcolor="#a0a0a0" stroked="f"/>
        </w:pict>
      </w:r>
    </w:p>
    <w:p w14:paraId="0EBD7700" w14:textId="77777777" w:rsidR="004103C3" w:rsidRPr="004103C3" w:rsidRDefault="004103C3" w:rsidP="004103C3">
      <w:pPr>
        <w:tabs>
          <w:tab w:val="left" w:pos="1455"/>
        </w:tabs>
        <w:rPr>
          <w:b/>
          <w:bCs/>
        </w:rPr>
      </w:pPr>
      <w:r w:rsidRPr="004103C3">
        <w:rPr>
          <w:b/>
          <w:bCs/>
        </w:rPr>
        <w:t>2. Background and Context</w:t>
      </w:r>
    </w:p>
    <w:p w14:paraId="158AF1ED" w14:textId="2598C2BA" w:rsidR="004103C3" w:rsidRPr="004103C3" w:rsidRDefault="004103C3" w:rsidP="004103C3">
      <w:pPr>
        <w:tabs>
          <w:tab w:val="left" w:pos="1455"/>
        </w:tabs>
      </w:pPr>
      <w:r w:rsidRPr="004103C3">
        <w:t xml:space="preserve">Following the fall of the Syrian regime in December 2024, sectarian violence and regional instability triggered mass displacement. Over 85,000 Syrians entered Lebanon through unofficial and remote border points, with more than </w:t>
      </w:r>
      <w:r>
        <w:t>40</w:t>
      </w:r>
      <w:r w:rsidRPr="004103C3">
        <w:t xml:space="preserve">,000 arriving in Akkar and Tripoli. The majority include </w:t>
      </w:r>
      <w:r>
        <w:t>minorities</w:t>
      </w:r>
      <w:r w:rsidRPr="004103C3">
        <w:t xml:space="preserve"> families, many fleeing targeted violence in Latakia, Tartous, and Homs.</w:t>
      </w:r>
    </w:p>
    <w:p w14:paraId="0E6FCA0C" w14:textId="77777777" w:rsidR="004103C3" w:rsidRPr="004103C3" w:rsidRDefault="004103C3" w:rsidP="004103C3">
      <w:pPr>
        <w:tabs>
          <w:tab w:val="left" w:pos="1455"/>
        </w:tabs>
      </w:pPr>
      <w:r w:rsidRPr="004103C3">
        <w:lastRenderedPageBreak/>
        <w:t>Given AICA’s deep-rooted community presence and operational capacity in these areas, the organization became a primary responder for displaced populations, especially those in collective shelters and makeshift accommodations.</w:t>
      </w:r>
    </w:p>
    <w:p w14:paraId="71A6E3A1" w14:textId="77777777" w:rsidR="004103C3" w:rsidRPr="004103C3" w:rsidRDefault="004103C3" w:rsidP="004103C3">
      <w:pPr>
        <w:tabs>
          <w:tab w:val="left" w:pos="1455"/>
        </w:tabs>
      </w:pPr>
      <w:r w:rsidRPr="004103C3">
        <w:pict w14:anchorId="61CFF727">
          <v:rect id="_x0000_i1081" style="width:0;height:1.5pt" o:hralign="center" o:hrstd="t" o:hr="t" fillcolor="#a0a0a0" stroked="f"/>
        </w:pict>
      </w:r>
    </w:p>
    <w:p w14:paraId="2A779D50" w14:textId="77777777" w:rsidR="004103C3" w:rsidRPr="004103C3" w:rsidRDefault="004103C3" w:rsidP="004103C3">
      <w:pPr>
        <w:tabs>
          <w:tab w:val="left" w:pos="1455"/>
        </w:tabs>
        <w:rPr>
          <w:b/>
          <w:bCs/>
        </w:rPr>
      </w:pPr>
      <w:r w:rsidRPr="004103C3">
        <w:rPr>
          <w:b/>
          <w:bCs/>
        </w:rPr>
        <w:t>3. Objectives of the Response</w:t>
      </w:r>
    </w:p>
    <w:p w14:paraId="49DAC96C" w14:textId="77777777" w:rsidR="004103C3" w:rsidRPr="004103C3" w:rsidRDefault="004103C3" w:rsidP="004103C3">
      <w:pPr>
        <w:numPr>
          <w:ilvl w:val="0"/>
          <w:numId w:val="11"/>
        </w:numPr>
        <w:tabs>
          <w:tab w:val="left" w:pos="1455"/>
        </w:tabs>
      </w:pPr>
      <w:r w:rsidRPr="004103C3">
        <w:t>Provide lifesaving assistance to newly displaced Syrians.</w:t>
      </w:r>
    </w:p>
    <w:p w14:paraId="696E1963" w14:textId="77777777" w:rsidR="004103C3" w:rsidRPr="004103C3" w:rsidRDefault="004103C3" w:rsidP="004103C3">
      <w:pPr>
        <w:numPr>
          <w:ilvl w:val="0"/>
          <w:numId w:val="11"/>
        </w:numPr>
        <w:tabs>
          <w:tab w:val="left" w:pos="1455"/>
        </w:tabs>
      </w:pPr>
      <w:r w:rsidRPr="004103C3">
        <w:t>Ensure access to food, water, shelter, and hygiene.</w:t>
      </w:r>
    </w:p>
    <w:p w14:paraId="3FD0CD0C" w14:textId="77777777" w:rsidR="004103C3" w:rsidRPr="004103C3" w:rsidRDefault="004103C3" w:rsidP="004103C3">
      <w:pPr>
        <w:numPr>
          <w:ilvl w:val="0"/>
          <w:numId w:val="11"/>
        </w:numPr>
        <w:tabs>
          <w:tab w:val="left" w:pos="1455"/>
        </w:tabs>
      </w:pPr>
      <w:r w:rsidRPr="004103C3">
        <w:t>Support vulnerable populations with health and psychosocial services.</w:t>
      </w:r>
    </w:p>
    <w:p w14:paraId="48571648" w14:textId="77777777" w:rsidR="004103C3" w:rsidRPr="004103C3" w:rsidRDefault="004103C3" w:rsidP="004103C3">
      <w:pPr>
        <w:numPr>
          <w:ilvl w:val="0"/>
          <w:numId w:val="11"/>
        </w:numPr>
        <w:tabs>
          <w:tab w:val="left" w:pos="1455"/>
        </w:tabs>
      </w:pPr>
      <w:r w:rsidRPr="004103C3">
        <w:t>Promote dignity, safety, and inclusion for affected children and women.</w:t>
      </w:r>
    </w:p>
    <w:p w14:paraId="4FFEA897" w14:textId="77777777" w:rsidR="004103C3" w:rsidRPr="004103C3" w:rsidRDefault="004103C3" w:rsidP="004103C3">
      <w:pPr>
        <w:tabs>
          <w:tab w:val="left" w:pos="1455"/>
        </w:tabs>
      </w:pPr>
      <w:r w:rsidRPr="004103C3">
        <w:pict w14:anchorId="024980CB">
          <v:rect id="_x0000_i1082" style="width:0;height:1.5pt" o:hralign="center" o:hrstd="t" o:hr="t" fillcolor="#a0a0a0" stroked="f"/>
        </w:pict>
      </w:r>
    </w:p>
    <w:p w14:paraId="779679ED" w14:textId="7C2FADE2" w:rsidR="004103C3" w:rsidRPr="004103C3" w:rsidRDefault="004103C3" w:rsidP="004103C3">
      <w:pPr>
        <w:tabs>
          <w:tab w:val="left" w:pos="1455"/>
        </w:tabs>
        <w:rPr>
          <w:b/>
          <w:bCs/>
        </w:rPr>
      </w:pPr>
      <w:r w:rsidRPr="004103C3">
        <w:rPr>
          <w:b/>
          <w:bCs/>
        </w:rPr>
        <w:t>4. Key Achievements (</w:t>
      </w:r>
      <w:r>
        <w:rPr>
          <w:b/>
          <w:bCs/>
        </w:rPr>
        <w:t>March</w:t>
      </w:r>
      <w:r w:rsidRPr="004103C3">
        <w:rPr>
          <w:b/>
          <w:bCs/>
        </w:rPr>
        <w:t xml:space="preserve"> 1</w:t>
      </w:r>
      <w:r>
        <w:rPr>
          <w:b/>
          <w:bCs/>
        </w:rPr>
        <w:t>5</w:t>
      </w:r>
      <w:r w:rsidRPr="004103C3">
        <w:rPr>
          <w:b/>
          <w:bCs/>
        </w:rPr>
        <w:t xml:space="preserve"> – April </w:t>
      </w:r>
      <w:r>
        <w:rPr>
          <w:b/>
          <w:bCs/>
        </w:rPr>
        <w:t>15</w:t>
      </w:r>
      <w:r w:rsidRPr="004103C3">
        <w:rPr>
          <w:b/>
          <w:bCs/>
        </w:rPr>
        <w:t>, 2025)</w:t>
      </w:r>
    </w:p>
    <w:p w14:paraId="62D06777" w14:textId="77777777" w:rsidR="004103C3" w:rsidRPr="004103C3" w:rsidRDefault="004103C3" w:rsidP="004103C3">
      <w:pPr>
        <w:tabs>
          <w:tab w:val="left" w:pos="1455"/>
        </w:tabs>
      </w:pPr>
      <w:r w:rsidRPr="004103C3">
        <w:rPr>
          <w:b/>
          <w:bCs/>
        </w:rPr>
        <w:t>4.1 Relief and Non-Food Items (NFIs):</w:t>
      </w:r>
    </w:p>
    <w:p w14:paraId="701E2F7F" w14:textId="77777777" w:rsidR="004103C3" w:rsidRPr="004103C3" w:rsidRDefault="004103C3" w:rsidP="004103C3">
      <w:pPr>
        <w:numPr>
          <w:ilvl w:val="0"/>
          <w:numId w:val="12"/>
        </w:numPr>
        <w:tabs>
          <w:tab w:val="left" w:pos="1455"/>
        </w:tabs>
      </w:pPr>
      <w:r w:rsidRPr="004103C3">
        <w:t>32,400 cooked meals distributed</w:t>
      </w:r>
    </w:p>
    <w:p w14:paraId="51111139" w14:textId="77777777" w:rsidR="004103C3" w:rsidRPr="004103C3" w:rsidRDefault="004103C3" w:rsidP="004103C3">
      <w:pPr>
        <w:numPr>
          <w:ilvl w:val="0"/>
          <w:numId w:val="12"/>
        </w:numPr>
        <w:tabs>
          <w:tab w:val="left" w:pos="1455"/>
        </w:tabs>
      </w:pPr>
      <w:r w:rsidRPr="004103C3">
        <w:t>17,429 mattresses and blankets</w:t>
      </w:r>
    </w:p>
    <w:p w14:paraId="16CE9BBD" w14:textId="77777777" w:rsidR="004103C3" w:rsidRPr="004103C3" w:rsidRDefault="004103C3" w:rsidP="004103C3">
      <w:pPr>
        <w:numPr>
          <w:ilvl w:val="0"/>
          <w:numId w:val="12"/>
        </w:numPr>
        <w:tabs>
          <w:tab w:val="left" w:pos="1455"/>
        </w:tabs>
      </w:pPr>
      <w:r w:rsidRPr="004103C3">
        <w:t>5,572 dry food rations and packages</w:t>
      </w:r>
    </w:p>
    <w:p w14:paraId="0F3967F2" w14:textId="77777777" w:rsidR="004103C3" w:rsidRPr="004103C3" w:rsidRDefault="004103C3" w:rsidP="004103C3">
      <w:pPr>
        <w:numPr>
          <w:ilvl w:val="0"/>
          <w:numId w:val="12"/>
        </w:numPr>
        <w:tabs>
          <w:tab w:val="left" w:pos="1455"/>
        </w:tabs>
      </w:pPr>
      <w:r w:rsidRPr="004103C3">
        <w:t>10,851 liters of drinking water</w:t>
      </w:r>
    </w:p>
    <w:p w14:paraId="285570ED" w14:textId="77777777" w:rsidR="004103C3" w:rsidRPr="004103C3" w:rsidRDefault="004103C3" w:rsidP="004103C3">
      <w:pPr>
        <w:numPr>
          <w:ilvl w:val="0"/>
          <w:numId w:val="12"/>
        </w:numPr>
        <w:tabs>
          <w:tab w:val="left" w:pos="1455"/>
        </w:tabs>
      </w:pPr>
      <w:r w:rsidRPr="004103C3">
        <w:t>1,281 personal hygiene kits</w:t>
      </w:r>
    </w:p>
    <w:p w14:paraId="70DA0EE8" w14:textId="77777777" w:rsidR="004103C3" w:rsidRPr="004103C3" w:rsidRDefault="004103C3" w:rsidP="004103C3">
      <w:pPr>
        <w:numPr>
          <w:ilvl w:val="0"/>
          <w:numId w:val="12"/>
        </w:numPr>
        <w:tabs>
          <w:tab w:val="left" w:pos="1455"/>
        </w:tabs>
      </w:pPr>
      <w:r w:rsidRPr="004103C3">
        <w:t>1,446 health hygiene kits</w:t>
      </w:r>
    </w:p>
    <w:p w14:paraId="787AE02D" w14:textId="77777777" w:rsidR="004103C3" w:rsidRPr="004103C3" w:rsidRDefault="004103C3" w:rsidP="004103C3">
      <w:pPr>
        <w:numPr>
          <w:ilvl w:val="0"/>
          <w:numId w:val="12"/>
        </w:numPr>
        <w:tabs>
          <w:tab w:val="left" w:pos="1455"/>
        </w:tabs>
      </w:pPr>
      <w:r w:rsidRPr="004103C3">
        <w:t>1,880 cleaning supply kits</w:t>
      </w:r>
    </w:p>
    <w:p w14:paraId="1CF70EF8" w14:textId="77777777" w:rsidR="004103C3" w:rsidRPr="004103C3" w:rsidRDefault="004103C3" w:rsidP="004103C3">
      <w:pPr>
        <w:numPr>
          <w:ilvl w:val="0"/>
          <w:numId w:val="12"/>
        </w:numPr>
        <w:tabs>
          <w:tab w:val="left" w:pos="1455"/>
        </w:tabs>
      </w:pPr>
      <w:r w:rsidRPr="004103C3">
        <w:t>1,693 kitchen utensil kits</w:t>
      </w:r>
    </w:p>
    <w:p w14:paraId="4D05F3DE" w14:textId="77777777" w:rsidR="004103C3" w:rsidRPr="004103C3" w:rsidRDefault="004103C3" w:rsidP="004103C3">
      <w:pPr>
        <w:numPr>
          <w:ilvl w:val="0"/>
          <w:numId w:val="12"/>
        </w:numPr>
        <w:tabs>
          <w:tab w:val="left" w:pos="1455"/>
        </w:tabs>
      </w:pPr>
      <w:r w:rsidRPr="004103C3">
        <w:t>958 children’s supply packages</w:t>
      </w:r>
    </w:p>
    <w:p w14:paraId="78697931" w14:textId="77777777" w:rsidR="004103C3" w:rsidRPr="004103C3" w:rsidRDefault="004103C3" w:rsidP="004103C3">
      <w:pPr>
        <w:tabs>
          <w:tab w:val="left" w:pos="1455"/>
        </w:tabs>
      </w:pPr>
      <w:r w:rsidRPr="004103C3">
        <w:rPr>
          <w:b/>
          <w:bCs/>
        </w:rPr>
        <w:t>4.2 Shelter &amp; Rehabilitation:</w:t>
      </w:r>
    </w:p>
    <w:p w14:paraId="015B3C13" w14:textId="77777777" w:rsidR="004103C3" w:rsidRPr="004103C3" w:rsidRDefault="004103C3" w:rsidP="004103C3">
      <w:pPr>
        <w:numPr>
          <w:ilvl w:val="0"/>
          <w:numId w:val="13"/>
        </w:numPr>
        <w:tabs>
          <w:tab w:val="left" w:pos="1455"/>
        </w:tabs>
      </w:pPr>
      <w:r w:rsidRPr="004103C3">
        <w:t>7 collective shelters established or rehabilitated (5 in Tripoli, 2 in Akkar)</w:t>
      </w:r>
    </w:p>
    <w:p w14:paraId="241C4E57" w14:textId="77777777" w:rsidR="004103C3" w:rsidRPr="004103C3" w:rsidRDefault="004103C3" w:rsidP="004103C3">
      <w:pPr>
        <w:numPr>
          <w:ilvl w:val="0"/>
          <w:numId w:val="13"/>
        </w:numPr>
        <w:tabs>
          <w:tab w:val="left" w:pos="1455"/>
        </w:tabs>
      </w:pPr>
      <w:r w:rsidRPr="004103C3">
        <w:t>Structural repairs, internal partitions, and sanitation systems restored</w:t>
      </w:r>
    </w:p>
    <w:p w14:paraId="6CF6243D" w14:textId="77777777" w:rsidR="004103C3" w:rsidRPr="004103C3" w:rsidRDefault="004103C3" w:rsidP="004103C3">
      <w:pPr>
        <w:numPr>
          <w:ilvl w:val="0"/>
          <w:numId w:val="13"/>
        </w:numPr>
        <w:tabs>
          <w:tab w:val="left" w:pos="1455"/>
        </w:tabs>
      </w:pPr>
      <w:r w:rsidRPr="004103C3">
        <w:t>Supported by in-kind materials from UNHCR and Lebanese Red Cross</w:t>
      </w:r>
    </w:p>
    <w:p w14:paraId="39D92C30" w14:textId="77777777" w:rsidR="004103C3" w:rsidRPr="004103C3" w:rsidRDefault="004103C3" w:rsidP="004103C3">
      <w:pPr>
        <w:tabs>
          <w:tab w:val="left" w:pos="1455"/>
        </w:tabs>
      </w:pPr>
      <w:r w:rsidRPr="004103C3">
        <w:rPr>
          <w:b/>
          <w:bCs/>
        </w:rPr>
        <w:t>4.3 Health and PSS Services:</w:t>
      </w:r>
    </w:p>
    <w:p w14:paraId="5B80FE95" w14:textId="77777777" w:rsidR="004103C3" w:rsidRPr="004103C3" w:rsidRDefault="004103C3" w:rsidP="004103C3">
      <w:pPr>
        <w:numPr>
          <w:ilvl w:val="0"/>
          <w:numId w:val="14"/>
        </w:numPr>
        <w:tabs>
          <w:tab w:val="left" w:pos="1455"/>
        </w:tabs>
      </w:pPr>
      <w:r w:rsidRPr="004103C3">
        <w:t>Mobile medical clinic operating 5 days/week in rotation across shelter sites</w:t>
      </w:r>
    </w:p>
    <w:p w14:paraId="7EB38F77" w14:textId="4BEE77BA" w:rsidR="004103C3" w:rsidRPr="004103C3" w:rsidRDefault="004103C3" w:rsidP="004103C3">
      <w:pPr>
        <w:numPr>
          <w:ilvl w:val="0"/>
          <w:numId w:val="14"/>
        </w:numPr>
        <w:tabs>
          <w:tab w:val="left" w:pos="1455"/>
        </w:tabs>
      </w:pPr>
      <w:r w:rsidRPr="004103C3">
        <w:t xml:space="preserve">Over </w:t>
      </w:r>
      <w:r>
        <w:t>4,5</w:t>
      </w:r>
      <w:r w:rsidRPr="004103C3">
        <w:t>00 consultations conducted (supported by Ministry of Public Health)</w:t>
      </w:r>
    </w:p>
    <w:p w14:paraId="4993B34E" w14:textId="77777777" w:rsidR="004103C3" w:rsidRPr="004103C3" w:rsidRDefault="004103C3" w:rsidP="004103C3">
      <w:pPr>
        <w:numPr>
          <w:ilvl w:val="0"/>
          <w:numId w:val="14"/>
        </w:numPr>
        <w:tabs>
          <w:tab w:val="left" w:pos="1455"/>
        </w:tabs>
      </w:pPr>
      <w:r w:rsidRPr="004103C3">
        <w:t>Psychosocial support sessions targeting women and children in collective shelters</w:t>
      </w:r>
    </w:p>
    <w:p w14:paraId="4252808B" w14:textId="77777777" w:rsidR="004103C3" w:rsidRPr="004103C3" w:rsidRDefault="004103C3" w:rsidP="004103C3">
      <w:pPr>
        <w:tabs>
          <w:tab w:val="left" w:pos="1455"/>
        </w:tabs>
      </w:pPr>
      <w:r w:rsidRPr="004103C3">
        <w:rPr>
          <w:b/>
          <w:bCs/>
        </w:rPr>
        <w:t>4.4 Coordination and Partnerships:</w:t>
      </w:r>
    </w:p>
    <w:p w14:paraId="721A19BA" w14:textId="77777777" w:rsidR="004103C3" w:rsidRPr="004103C3" w:rsidRDefault="004103C3" w:rsidP="004103C3">
      <w:pPr>
        <w:numPr>
          <w:ilvl w:val="0"/>
          <w:numId w:val="15"/>
        </w:numPr>
        <w:tabs>
          <w:tab w:val="left" w:pos="1455"/>
        </w:tabs>
      </w:pPr>
      <w:r w:rsidRPr="004103C3">
        <w:t>Joint distributions conducted with Lebanese Red Cross and Save the Children</w:t>
      </w:r>
    </w:p>
    <w:p w14:paraId="6E59EE7A" w14:textId="3793AAB0" w:rsidR="004103C3" w:rsidRPr="004103C3" w:rsidRDefault="004103C3" w:rsidP="004103C3">
      <w:pPr>
        <w:numPr>
          <w:ilvl w:val="0"/>
          <w:numId w:val="15"/>
        </w:numPr>
        <w:tabs>
          <w:tab w:val="left" w:pos="1455"/>
        </w:tabs>
      </w:pPr>
      <w:r w:rsidRPr="004103C3">
        <w:lastRenderedPageBreak/>
        <w:t>Legal and access advocacy support to refugees at risk of deportation</w:t>
      </w:r>
    </w:p>
    <w:p w14:paraId="0B1EAC8B" w14:textId="23C0B57C" w:rsidR="004103C3" w:rsidRPr="004103C3" w:rsidRDefault="004103C3" w:rsidP="004103C3">
      <w:pPr>
        <w:numPr>
          <w:ilvl w:val="0"/>
          <w:numId w:val="15"/>
        </w:numPr>
        <w:tabs>
          <w:tab w:val="left" w:pos="1455"/>
        </w:tabs>
      </w:pPr>
      <w:r w:rsidRPr="004103C3">
        <w:t>Coordination meetings with local municipalities and UNHCR field teams</w:t>
      </w:r>
    </w:p>
    <w:p w14:paraId="32CE0B77" w14:textId="77777777" w:rsidR="004103C3" w:rsidRPr="004103C3" w:rsidRDefault="004103C3" w:rsidP="004103C3">
      <w:pPr>
        <w:tabs>
          <w:tab w:val="left" w:pos="1455"/>
        </w:tabs>
      </w:pPr>
      <w:r w:rsidRPr="004103C3">
        <w:pict w14:anchorId="58DE9541">
          <v:rect id="_x0000_i1125" style="width:0;height:1.5pt" o:hralign="center" o:hrstd="t" o:hr="t" fillcolor="#a0a0a0" stroked="f"/>
        </w:pict>
      </w:r>
    </w:p>
    <w:p w14:paraId="259AAC33" w14:textId="77777777" w:rsidR="004103C3" w:rsidRPr="004103C3" w:rsidRDefault="004103C3" w:rsidP="004103C3">
      <w:pPr>
        <w:tabs>
          <w:tab w:val="left" w:pos="1455"/>
        </w:tabs>
        <w:rPr>
          <w:b/>
          <w:bCs/>
        </w:rPr>
      </w:pPr>
      <w:r w:rsidRPr="004103C3">
        <w:rPr>
          <w:b/>
          <w:bCs/>
        </w:rPr>
        <w:t xml:space="preserve">5. </w:t>
      </w:r>
      <w:proofErr w:type="spellStart"/>
      <w:r w:rsidRPr="004103C3">
        <w:rPr>
          <w:b/>
          <w:bCs/>
        </w:rPr>
        <w:t>GlobalGiving</w:t>
      </w:r>
      <w:proofErr w:type="spellEnd"/>
      <w:r w:rsidRPr="004103C3">
        <w:rPr>
          <w:b/>
          <w:bCs/>
        </w:rPr>
        <w:t xml:space="preserve"> Grant Impact</w:t>
      </w:r>
    </w:p>
    <w:p w14:paraId="39CCDD72" w14:textId="50D395E5" w:rsidR="004103C3" w:rsidRPr="004103C3" w:rsidRDefault="004103C3" w:rsidP="004103C3">
      <w:pPr>
        <w:tabs>
          <w:tab w:val="left" w:pos="1455"/>
        </w:tabs>
      </w:pPr>
      <w:r w:rsidRPr="004103C3">
        <w:t>The USD 20,000 grant from Global</w:t>
      </w:r>
      <w:r>
        <w:t xml:space="preserve"> </w:t>
      </w:r>
      <w:r w:rsidRPr="004103C3">
        <w:t>Giving was allocated as follows:</w:t>
      </w:r>
    </w:p>
    <w:p w14:paraId="03582BBE" w14:textId="009FDB4F" w:rsidR="004103C3" w:rsidRPr="004103C3" w:rsidRDefault="004103C3" w:rsidP="004103C3">
      <w:pPr>
        <w:numPr>
          <w:ilvl w:val="0"/>
          <w:numId w:val="16"/>
        </w:numPr>
        <w:tabs>
          <w:tab w:val="left" w:pos="1455"/>
        </w:tabs>
      </w:pPr>
      <w:r w:rsidRPr="004103C3">
        <w:t>$7,500 for procurement of food packages and cooked meals</w:t>
      </w:r>
    </w:p>
    <w:p w14:paraId="6892DCE1" w14:textId="269B3F97" w:rsidR="004103C3" w:rsidRPr="004103C3" w:rsidRDefault="004103C3" w:rsidP="004103C3">
      <w:pPr>
        <w:numPr>
          <w:ilvl w:val="0"/>
          <w:numId w:val="16"/>
        </w:numPr>
        <w:tabs>
          <w:tab w:val="left" w:pos="1455"/>
        </w:tabs>
      </w:pPr>
      <w:r w:rsidRPr="004103C3">
        <w:t>$5,000 for hygiene and cleaning kits</w:t>
      </w:r>
    </w:p>
    <w:p w14:paraId="6530A12B" w14:textId="31C893C3" w:rsidR="004103C3" w:rsidRPr="004103C3" w:rsidRDefault="004103C3" w:rsidP="004103C3">
      <w:pPr>
        <w:numPr>
          <w:ilvl w:val="0"/>
          <w:numId w:val="16"/>
        </w:numPr>
        <w:tabs>
          <w:tab w:val="left" w:pos="1455"/>
        </w:tabs>
      </w:pPr>
      <w:r w:rsidRPr="004103C3">
        <w:t>$4,000 for mobile clinic equipment and medications</w:t>
      </w:r>
    </w:p>
    <w:p w14:paraId="15A3CB03" w14:textId="77777777" w:rsidR="004103C3" w:rsidRPr="004103C3" w:rsidRDefault="004103C3" w:rsidP="004103C3">
      <w:pPr>
        <w:numPr>
          <w:ilvl w:val="0"/>
          <w:numId w:val="16"/>
        </w:numPr>
        <w:tabs>
          <w:tab w:val="left" w:pos="1455"/>
        </w:tabs>
      </w:pPr>
      <w:r w:rsidRPr="004103C3">
        <w:t>$3,500 for transportation, fuel, and shelter logistics</w:t>
      </w:r>
    </w:p>
    <w:p w14:paraId="47AFE424" w14:textId="77777777" w:rsidR="004103C3" w:rsidRPr="004103C3" w:rsidRDefault="004103C3" w:rsidP="004103C3">
      <w:pPr>
        <w:tabs>
          <w:tab w:val="left" w:pos="1455"/>
        </w:tabs>
      </w:pPr>
      <w:r w:rsidRPr="004103C3">
        <w:t>This grant directly contributed to serving over 6,000 individuals across all program sectors.</w:t>
      </w:r>
    </w:p>
    <w:p w14:paraId="41D01FCE" w14:textId="16394263" w:rsidR="004103C3" w:rsidRPr="004103C3" w:rsidRDefault="004103C3" w:rsidP="004103C3">
      <w:pPr>
        <w:tabs>
          <w:tab w:val="left" w:pos="1455"/>
        </w:tabs>
      </w:pPr>
      <w:r w:rsidRPr="004103C3">
        <w:pict w14:anchorId="6E10D094">
          <v:rect id="_x0000_i1126" style="width:0;height:1.5pt" o:hralign="center" o:hrstd="t" o:hr="t" fillcolor="#a0a0a0" stroked="f"/>
        </w:pict>
      </w:r>
    </w:p>
    <w:p w14:paraId="6860FCCC" w14:textId="77777777" w:rsidR="004103C3" w:rsidRPr="004103C3" w:rsidRDefault="004103C3" w:rsidP="004103C3">
      <w:pPr>
        <w:tabs>
          <w:tab w:val="left" w:pos="1455"/>
        </w:tabs>
        <w:rPr>
          <w:b/>
          <w:bCs/>
        </w:rPr>
      </w:pPr>
      <w:r w:rsidRPr="004103C3">
        <w:rPr>
          <w:b/>
          <w:bCs/>
        </w:rPr>
        <w:t>6. Challenges and Mitigation</w:t>
      </w:r>
    </w:p>
    <w:p w14:paraId="6BCF0B94" w14:textId="77777777" w:rsidR="004103C3" w:rsidRPr="004103C3" w:rsidRDefault="004103C3" w:rsidP="004103C3">
      <w:pPr>
        <w:numPr>
          <w:ilvl w:val="0"/>
          <w:numId w:val="17"/>
        </w:numPr>
        <w:tabs>
          <w:tab w:val="left" w:pos="1455"/>
        </w:tabs>
      </w:pPr>
      <w:r w:rsidRPr="004103C3">
        <w:rPr>
          <w:b/>
          <w:bCs/>
        </w:rPr>
        <w:t>Overwhelming demand vs. resources:</w:t>
      </w:r>
      <w:r w:rsidRPr="004103C3">
        <w:t xml:space="preserve"> Needs significantly exceed current capacity. AICA is actively seeking further donor support.</w:t>
      </w:r>
    </w:p>
    <w:p w14:paraId="00FC1512" w14:textId="77777777" w:rsidR="004103C3" w:rsidRPr="004103C3" w:rsidRDefault="004103C3" w:rsidP="004103C3">
      <w:pPr>
        <w:numPr>
          <w:ilvl w:val="0"/>
          <w:numId w:val="17"/>
        </w:numPr>
        <w:tabs>
          <w:tab w:val="left" w:pos="1455"/>
        </w:tabs>
      </w:pPr>
      <w:r w:rsidRPr="004103C3">
        <w:rPr>
          <w:b/>
          <w:bCs/>
        </w:rPr>
        <w:t>Border and legal restrictions:</w:t>
      </w:r>
      <w:r w:rsidRPr="004103C3">
        <w:t xml:space="preserve"> Advocacy continues with local authorities to avoid unlawful deportations.</w:t>
      </w:r>
    </w:p>
    <w:p w14:paraId="61C10105" w14:textId="77777777" w:rsidR="004103C3" w:rsidRPr="004103C3" w:rsidRDefault="004103C3" w:rsidP="004103C3">
      <w:pPr>
        <w:numPr>
          <w:ilvl w:val="0"/>
          <w:numId w:val="17"/>
        </w:numPr>
        <w:tabs>
          <w:tab w:val="left" w:pos="1455"/>
        </w:tabs>
      </w:pPr>
      <w:r w:rsidRPr="004103C3">
        <w:rPr>
          <w:b/>
          <w:bCs/>
        </w:rPr>
        <w:t>Security risks in distribution:</w:t>
      </w:r>
      <w:r w:rsidRPr="004103C3">
        <w:t xml:space="preserve"> Partnered with Lebanese Red Cross for crowd control and safety management.</w:t>
      </w:r>
    </w:p>
    <w:p w14:paraId="44510079" w14:textId="466CF2F5" w:rsidR="004103C3" w:rsidRPr="004103C3" w:rsidRDefault="004103C3" w:rsidP="004103C3">
      <w:pPr>
        <w:tabs>
          <w:tab w:val="left" w:pos="1455"/>
        </w:tabs>
      </w:pPr>
      <w:r w:rsidRPr="004103C3">
        <w:pict w14:anchorId="161EB92D">
          <v:rect id="_x0000_i1127" style="width:0;height:1.5pt" o:hralign="center" o:hrstd="t" o:hr="t" fillcolor="#a0a0a0" stroked="f"/>
        </w:pict>
      </w:r>
    </w:p>
    <w:p w14:paraId="728BF739" w14:textId="02429204" w:rsidR="004103C3" w:rsidRPr="004103C3" w:rsidRDefault="004103C3" w:rsidP="004103C3">
      <w:pPr>
        <w:tabs>
          <w:tab w:val="left" w:pos="1455"/>
        </w:tabs>
        <w:rPr>
          <w:b/>
          <w:bCs/>
        </w:rPr>
      </w:pPr>
      <w:r w:rsidRPr="004103C3">
        <w:rPr>
          <w:b/>
          <w:bCs/>
        </w:rPr>
        <w:t>7. Next Steps and Recommendations</w:t>
      </w:r>
    </w:p>
    <w:p w14:paraId="7E983AAB" w14:textId="6B164B01" w:rsidR="004103C3" w:rsidRPr="004103C3" w:rsidRDefault="004103C3" w:rsidP="004103C3">
      <w:pPr>
        <w:numPr>
          <w:ilvl w:val="0"/>
          <w:numId w:val="18"/>
        </w:numPr>
        <w:tabs>
          <w:tab w:val="left" w:pos="1455"/>
        </w:tabs>
      </w:pPr>
      <w:r w:rsidRPr="004103C3">
        <w:t>Scale up education support for out-of-school refugee children.</w:t>
      </w:r>
    </w:p>
    <w:p w14:paraId="310FA0CB" w14:textId="41031499" w:rsidR="004103C3" w:rsidRPr="004103C3" w:rsidRDefault="004103C3" w:rsidP="004103C3">
      <w:pPr>
        <w:numPr>
          <w:ilvl w:val="0"/>
          <w:numId w:val="18"/>
        </w:numPr>
        <w:tabs>
          <w:tab w:val="left" w:pos="1455"/>
        </w:tabs>
      </w:pPr>
      <w:r w:rsidRPr="004103C3">
        <w:t>Expand shelter capacity and upgrade WASH infrastructure.</w:t>
      </w:r>
    </w:p>
    <w:p w14:paraId="3F984A29" w14:textId="77777777" w:rsidR="004103C3" w:rsidRPr="004103C3" w:rsidRDefault="004103C3" w:rsidP="004103C3">
      <w:pPr>
        <w:numPr>
          <w:ilvl w:val="0"/>
          <w:numId w:val="18"/>
        </w:numPr>
        <w:tabs>
          <w:tab w:val="left" w:pos="1455"/>
        </w:tabs>
      </w:pPr>
      <w:r w:rsidRPr="004103C3">
        <w:t>Sustain mobile medical and PSS services.</w:t>
      </w:r>
    </w:p>
    <w:p w14:paraId="5061EC7F" w14:textId="77777777" w:rsidR="004103C3" w:rsidRPr="004103C3" w:rsidRDefault="004103C3" w:rsidP="004103C3">
      <w:pPr>
        <w:numPr>
          <w:ilvl w:val="0"/>
          <w:numId w:val="18"/>
        </w:numPr>
        <w:tabs>
          <w:tab w:val="left" w:pos="1455"/>
        </w:tabs>
      </w:pPr>
      <w:r w:rsidRPr="004103C3">
        <w:t>Launch a second fundraising campaign to sustain activities beyond July 2025.</w:t>
      </w:r>
    </w:p>
    <w:p w14:paraId="2C80AE5B" w14:textId="3B760F18" w:rsidR="00883BD7" w:rsidRPr="00076BD5" w:rsidRDefault="004103C3" w:rsidP="00F47343">
      <w:pPr>
        <w:tabs>
          <w:tab w:val="left" w:pos="1455"/>
        </w:tabs>
      </w:pPr>
      <w:r w:rsidRPr="004103C3">
        <w:pict w14:anchorId="33B2AD1E">
          <v:rect id="_x0000_i1128" style="width:0;height:1.5pt" o:hralign="center" o:hrstd="t" o:hr="t" fillcolor="#a0a0a0" stroked="f"/>
        </w:pic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FE24" w14:textId="77777777" w:rsidR="00B742EF" w:rsidRDefault="00B742EF">
      <w:pPr>
        <w:spacing w:after="0" w:line="240" w:lineRule="auto"/>
      </w:pPr>
      <w:r>
        <w:separator/>
      </w:r>
    </w:p>
  </w:endnote>
  <w:endnote w:type="continuationSeparator" w:id="0">
    <w:p w14:paraId="4FB2EE8F" w14:textId="77777777" w:rsidR="00B742EF" w:rsidRDefault="00B742EF">
      <w:pPr>
        <w:spacing w:after="0" w:line="240" w:lineRule="auto"/>
      </w:pPr>
      <w:r>
        <w:continuationSeparator/>
      </w:r>
    </w:p>
  </w:endnote>
  <w:endnote w:type="continuationNotice" w:id="1">
    <w:p w14:paraId="4C1C82E6" w14:textId="77777777" w:rsidR="00B742EF" w:rsidRDefault="00B74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8C1E" w14:textId="77777777" w:rsidR="00B742EF" w:rsidRDefault="00B742EF">
      <w:pPr>
        <w:spacing w:after="0" w:line="240" w:lineRule="auto"/>
      </w:pPr>
      <w:r>
        <w:separator/>
      </w:r>
    </w:p>
  </w:footnote>
  <w:footnote w:type="continuationSeparator" w:id="0">
    <w:p w14:paraId="2E8D34C4" w14:textId="77777777" w:rsidR="00B742EF" w:rsidRDefault="00B742EF">
      <w:pPr>
        <w:spacing w:after="0" w:line="240" w:lineRule="auto"/>
      </w:pPr>
      <w:r>
        <w:continuationSeparator/>
      </w:r>
    </w:p>
  </w:footnote>
  <w:footnote w:type="continuationNotice" w:id="1">
    <w:p w14:paraId="5317C375" w14:textId="77777777" w:rsidR="00B742EF" w:rsidRDefault="00B74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35F"/>
    <w:multiLevelType w:val="multilevel"/>
    <w:tmpl w:val="3C22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86D12"/>
    <w:multiLevelType w:val="multilevel"/>
    <w:tmpl w:val="4AB6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6"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33552"/>
    <w:multiLevelType w:val="multilevel"/>
    <w:tmpl w:val="78A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734F9"/>
    <w:multiLevelType w:val="multilevel"/>
    <w:tmpl w:val="E10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92055"/>
    <w:multiLevelType w:val="multilevel"/>
    <w:tmpl w:val="20B8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96D9D"/>
    <w:multiLevelType w:val="multilevel"/>
    <w:tmpl w:val="B840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222B8"/>
    <w:multiLevelType w:val="multilevel"/>
    <w:tmpl w:val="4B1C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14C7F"/>
    <w:multiLevelType w:val="multilevel"/>
    <w:tmpl w:val="D11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E082E"/>
    <w:multiLevelType w:val="multilevel"/>
    <w:tmpl w:val="0CAA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127843">
    <w:abstractNumId w:val="16"/>
  </w:num>
  <w:num w:numId="2" w16cid:durableId="1194345807">
    <w:abstractNumId w:val="4"/>
  </w:num>
  <w:num w:numId="3" w16cid:durableId="817455358">
    <w:abstractNumId w:val="5"/>
  </w:num>
  <w:num w:numId="4" w16cid:durableId="1075131017">
    <w:abstractNumId w:val="17"/>
  </w:num>
  <w:num w:numId="5" w16cid:durableId="1706907010">
    <w:abstractNumId w:val="14"/>
  </w:num>
  <w:num w:numId="6" w16cid:durableId="1469128886">
    <w:abstractNumId w:val="1"/>
  </w:num>
  <w:num w:numId="7" w16cid:durableId="1524367559">
    <w:abstractNumId w:val="6"/>
  </w:num>
  <w:num w:numId="8" w16cid:durableId="1183278294">
    <w:abstractNumId w:val="10"/>
  </w:num>
  <w:num w:numId="9" w16cid:durableId="1606691569">
    <w:abstractNumId w:val="7"/>
  </w:num>
  <w:num w:numId="10" w16cid:durableId="779685149">
    <w:abstractNumId w:val="3"/>
  </w:num>
  <w:num w:numId="11" w16cid:durableId="491995447">
    <w:abstractNumId w:val="15"/>
  </w:num>
  <w:num w:numId="12" w16cid:durableId="2089040542">
    <w:abstractNumId w:val="9"/>
  </w:num>
  <w:num w:numId="13" w16cid:durableId="367923688">
    <w:abstractNumId w:val="0"/>
  </w:num>
  <w:num w:numId="14" w16cid:durableId="249655026">
    <w:abstractNumId w:val="12"/>
  </w:num>
  <w:num w:numId="15" w16cid:durableId="993802857">
    <w:abstractNumId w:val="18"/>
  </w:num>
  <w:num w:numId="16" w16cid:durableId="2092509077">
    <w:abstractNumId w:val="8"/>
  </w:num>
  <w:num w:numId="17" w16cid:durableId="458501270">
    <w:abstractNumId w:val="13"/>
  </w:num>
  <w:num w:numId="18" w16cid:durableId="814907307">
    <w:abstractNumId w:val="11"/>
  </w:num>
  <w:num w:numId="19" w16cid:durableId="1695644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B17D3"/>
    <w:rsid w:val="000B2154"/>
    <w:rsid w:val="000B2312"/>
    <w:rsid w:val="000B4511"/>
    <w:rsid w:val="000B5A8E"/>
    <w:rsid w:val="000C1D76"/>
    <w:rsid w:val="000C2965"/>
    <w:rsid w:val="000C424C"/>
    <w:rsid w:val="000C5984"/>
    <w:rsid w:val="000C7F08"/>
    <w:rsid w:val="000D118A"/>
    <w:rsid w:val="000D280B"/>
    <w:rsid w:val="000D2DFE"/>
    <w:rsid w:val="000E25E7"/>
    <w:rsid w:val="000E276C"/>
    <w:rsid w:val="000E51FE"/>
    <w:rsid w:val="000F2C6A"/>
    <w:rsid w:val="000F375B"/>
    <w:rsid w:val="000F463C"/>
    <w:rsid w:val="000F48F3"/>
    <w:rsid w:val="000F5BA5"/>
    <w:rsid w:val="001005F9"/>
    <w:rsid w:val="001054E3"/>
    <w:rsid w:val="00106808"/>
    <w:rsid w:val="00110A4A"/>
    <w:rsid w:val="00111370"/>
    <w:rsid w:val="00126E24"/>
    <w:rsid w:val="001319AF"/>
    <w:rsid w:val="001326E7"/>
    <w:rsid w:val="00133BEF"/>
    <w:rsid w:val="001342B3"/>
    <w:rsid w:val="00135A0A"/>
    <w:rsid w:val="00137474"/>
    <w:rsid w:val="00140580"/>
    <w:rsid w:val="001431AD"/>
    <w:rsid w:val="00143A3D"/>
    <w:rsid w:val="001445EA"/>
    <w:rsid w:val="001445F3"/>
    <w:rsid w:val="001446E0"/>
    <w:rsid w:val="00144A03"/>
    <w:rsid w:val="00145EBE"/>
    <w:rsid w:val="001516F5"/>
    <w:rsid w:val="00151A46"/>
    <w:rsid w:val="00152501"/>
    <w:rsid w:val="001527A1"/>
    <w:rsid w:val="00154BC7"/>
    <w:rsid w:val="0016110C"/>
    <w:rsid w:val="001620CE"/>
    <w:rsid w:val="001653D1"/>
    <w:rsid w:val="001666C1"/>
    <w:rsid w:val="00173C64"/>
    <w:rsid w:val="00177AEF"/>
    <w:rsid w:val="00177BDE"/>
    <w:rsid w:val="00183B17"/>
    <w:rsid w:val="001927C0"/>
    <w:rsid w:val="00192B41"/>
    <w:rsid w:val="001A338C"/>
    <w:rsid w:val="001A6C47"/>
    <w:rsid w:val="001B130F"/>
    <w:rsid w:val="001B3B1E"/>
    <w:rsid w:val="001B3F2A"/>
    <w:rsid w:val="001C05D3"/>
    <w:rsid w:val="001D24E0"/>
    <w:rsid w:val="001D4F3D"/>
    <w:rsid w:val="001D5214"/>
    <w:rsid w:val="001E0AEB"/>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300178"/>
    <w:rsid w:val="003014DD"/>
    <w:rsid w:val="00303A7F"/>
    <w:rsid w:val="00303EDC"/>
    <w:rsid w:val="00307226"/>
    <w:rsid w:val="003114A5"/>
    <w:rsid w:val="00312189"/>
    <w:rsid w:val="00313D6C"/>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CFE"/>
    <w:rsid w:val="003D00C1"/>
    <w:rsid w:val="003D4659"/>
    <w:rsid w:val="003D7E6D"/>
    <w:rsid w:val="003E0A10"/>
    <w:rsid w:val="003E3F1E"/>
    <w:rsid w:val="003E7338"/>
    <w:rsid w:val="003F18F2"/>
    <w:rsid w:val="003F2719"/>
    <w:rsid w:val="003F38A0"/>
    <w:rsid w:val="004074BF"/>
    <w:rsid w:val="004103C3"/>
    <w:rsid w:val="0041181A"/>
    <w:rsid w:val="00411EC6"/>
    <w:rsid w:val="004133C6"/>
    <w:rsid w:val="0041432D"/>
    <w:rsid w:val="00420EDF"/>
    <w:rsid w:val="00424E52"/>
    <w:rsid w:val="0042578F"/>
    <w:rsid w:val="00427C67"/>
    <w:rsid w:val="00427E08"/>
    <w:rsid w:val="0043533D"/>
    <w:rsid w:val="004500D2"/>
    <w:rsid w:val="004524FA"/>
    <w:rsid w:val="00457A36"/>
    <w:rsid w:val="004649F4"/>
    <w:rsid w:val="00471B46"/>
    <w:rsid w:val="00474431"/>
    <w:rsid w:val="00474B91"/>
    <w:rsid w:val="004779BB"/>
    <w:rsid w:val="0048096D"/>
    <w:rsid w:val="004824B6"/>
    <w:rsid w:val="00483C14"/>
    <w:rsid w:val="004903A8"/>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CD5"/>
    <w:rsid w:val="004F755E"/>
    <w:rsid w:val="004F78FB"/>
    <w:rsid w:val="00513C52"/>
    <w:rsid w:val="00514943"/>
    <w:rsid w:val="00514BF6"/>
    <w:rsid w:val="005164C4"/>
    <w:rsid w:val="00516C74"/>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1717"/>
    <w:rsid w:val="005822CD"/>
    <w:rsid w:val="0058377D"/>
    <w:rsid w:val="00591665"/>
    <w:rsid w:val="00592749"/>
    <w:rsid w:val="00594A2E"/>
    <w:rsid w:val="005952FB"/>
    <w:rsid w:val="005958E9"/>
    <w:rsid w:val="005A09F0"/>
    <w:rsid w:val="005A21AD"/>
    <w:rsid w:val="005A43D6"/>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E306C"/>
    <w:rsid w:val="006E7429"/>
    <w:rsid w:val="006E7981"/>
    <w:rsid w:val="006F10F2"/>
    <w:rsid w:val="006F4521"/>
    <w:rsid w:val="006F60F1"/>
    <w:rsid w:val="006F76A7"/>
    <w:rsid w:val="0070048C"/>
    <w:rsid w:val="007007EE"/>
    <w:rsid w:val="007034AE"/>
    <w:rsid w:val="00710D5E"/>
    <w:rsid w:val="00711D6B"/>
    <w:rsid w:val="0071256B"/>
    <w:rsid w:val="0071534A"/>
    <w:rsid w:val="0072070F"/>
    <w:rsid w:val="007270BA"/>
    <w:rsid w:val="0073408C"/>
    <w:rsid w:val="00737D47"/>
    <w:rsid w:val="00741B84"/>
    <w:rsid w:val="00743A4B"/>
    <w:rsid w:val="00751ADE"/>
    <w:rsid w:val="00761D25"/>
    <w:rsid w:val="00762525"/>
    <w:rsid w:val="00763767"/>
    <w:rsid w:val="00763C79"/>
    <w:rsid w:val="00765838"/>
    <w:rsid w:val="0078071B"/>
    <w:rsid w:val="00781149"/>
    <w:rsid w:val="007826B7"/>
    <w:rsid w:val="007831C7"/>
    <w:rsid w:val="007845B6"/>
    <w:rsid w:val="00786193"/>
    <w:rsid w:val="007916D2"/>
    <w:rsid w:val="00791883"/>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A70"/>
    <w:rsid w:val="0080465F"/>
    <w:rsid w:val="00806A4B"/>
    <w:rsid w:val="008177DA"/>
    <w:rsid w:val="008203C1"/>
    <w:rsid w:val="008208B8"/>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32E1"/>
    <w:rsid w:val="00904D41"/>
    <w:rsid w:val="00904E4F"/>
    <w:rsid w:val="009060C8"/>
    <w:rsid w:val="00907B41"/>
    <w:rsid w:val="009155C2"/>
    <w:rsid w:val="0092074A"/>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1FFD"/>
    <w:rsid w:val="009538B3"/>
    <w:rsid w:val="009541EB"/>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3BFD"/>
    <w:rsid w:val="009F53F6"/>
    <w:rsid w:val="009F7CD4"/>
    <w:rsid w:val="00A022DB"/>
    <w:rsid w:val="00A02B9B"/>
    <w:rsid w:val="00A110CC"/>
    <w:rsid w:val="00A12D24"/>
    <w:rsid w:val="00A15BFC"/>
    <w:rsid w:val="00A207EF"/>
    <w:rsid w:val="00A2208C"/>
    <w:rsid w:val="00A229EB"/>
    <w:rsid w:val="00A274D7"/>
    <w:rsid w:val="00A275F9"/>
    <w:rsid w:val="00A31AD9"/>
    <w:rsid w:val="00A33EAA"/>
    <w:rsid w:val="00A419A9"/>
    <w:rsid w:val="00A43880"/>
    <w:rsid w:val="00A459BF"/>
    <w:rsid w:val="00A464D1"/>
    <w:rsid w:val="00A474E6"/>
    <w:rsid w:val="00A506BC"/>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32A6C"/>
    <w:rsid w:val="00B40245"/>
    <w:rsid w:val="00B432F2"/>
    <w:rsid w:val="00B433FC"/>
    <w:rsid w:val="00B452C6"/>
    <w:rsid w:val="00B51EA3"/>
    <w:rsid w:val="00B52FDE"/>
    <w:rsid w:val="00B533B3"/>
    <w:rsid w:val="00B62A7D"/>
    <w:rsid w:val="00B635C4"/>
    <w:rsid w:val="00B73FF2"/>
    <w:rsid w:val="00B742EF"/>
    <w:rsid w:val="00B769CC"/>
    <w:rsid w:val="00B7796A"/>
    <w:rsid w:val="00B8128D"/>
    <w:rsid w:val="00B92243"/>
    <w:rsid w:val="00B933FF"/>
    <w:rsid w:val="00B93948"/>
    <w:rsid w:val="00B95C1C"/>
    <w:rsid w:val="00B970D5"/>
    <w:rsid w:val="00B97757"/>
    <w:rsid w:val="00BA1D25"/>
    <w:rsid w:val="00BA4227"/>
    <w:rsid w:val="00BA707F"/>
    <w:rsid w:val="00BA79EC"/>
    <w:rsid w:val="00BB2EEA"/>
    <w:rsid w:val="00BB4AE8"/>
    <w:rsid w:val="00BB6069"/>
    <w:rsid w:val="00BC2582"/>
    <w:rsid w:val="00BC2747"/>
    <w:rsid w:val="00BC6F75"/>
    <w:rsid w:val="00BD352D"/>
    <w:rsid w:val="00BD3F8A"/>
    <w:rsid w:val="00BD5481"/>
    <w:rsid w:val="00BE15C5"/>
    <w:rsid w:val="00BE4C17"/>
    <w:rsid w:val="00BF1B09"/>
    <w:rsid w:val="00BF5D88"/>
    <w:rsid w:val="00BF73F3"/>
    <w:rsid w:val="00C03648"/>
    <w:rsid w:val="00C06233"/>
    <w:rsid w:val="00C0643D"/>
    <w:rsid w:val="00C07351"/>
    <w:rsid w:val="00C10907"/>
    <w:rsid w:val="00C16CEC"/>
    <w:rsid w:val="00C232E2"/>
    <w:rsid w:val="00C24751"/>
    <w:rsid w:val="00C416C0"/>
    <w:rsid w:val="00C44A50"/>
    <w:rsid w:val="00C46AD9"/>
    <w:rsid w:val="00C503AD"/>
    <w:rsid w:val="00C522F6"/>
    <w:rsid w:val="00C52A89"/>
    <w:rsid w:val="00C53C47"/>
    <w:rsid w:val="00C611C8"/>
    <w:rsid w:val="00C64E73"/>
    <w:rsid w:val="00C6522D"/>
    <w:rsid w:val="00C6652C"/>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0985"/>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6158"/>
    <w:rsid w:val="00DB6964"/>
    <w:rsid w:val="00DB781F"/>
    <w:rsid w:val="00DB7DD7"/>
    <w:rsid w:val="00DC17FD"/>
    <w:rsid w:val="00DC46DB"/>
    <w:rsid w:val="00DC4948"/>
    <w:rsid w:val="00DD0536"/>
    <w:rsid w:val="00DD055D"/>
    <w:rsid w:val="00DD198A"/>
    <w:rsid w:val="00DD2296"/>
    <w:rsid w:val="00DD61D5"/>
    <w:rsid w:val="00DE283E"/>
    <w:rsid w:val="00DE40D8"/>
    <w:rsid w:val="00DE59CF"/>
    <w:rsid w:val="00DE5CA5"/>
    <w:rsid w:val="00DF4893"/>
    <w:rsid w:val="00DF55DF"/>
    <w:rsid w:val="00DF7F9B"/>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91D14"/>
    <w:rsid w:val="00EA1F03"/>
    <w:rsid w:val="00EA45FE"/>
    <w:rsid w:val="00EA5C83"/>
    <w:rsid w:val="00EB06B0"/>
    <w:rsid w:val="00EB1552"/>
    <w:rsid w:val="00EB59BE"/>
    <w:rsid w:val="00EB7291"/>
    <w:rsid w:val="00EC00B8"/>
    <w:rsid w:val="00EC704E"/>
    <w:rsid w:val="00ED6FA8"/>
    <w:rsid w:val="00EE1D4C"/>
    <w:rsid w:val="00EE2048"/>
    <w:rsid w:val="00EE43B9"/>
    <w:rsid w:val="00EF0477"/>
    <w:rsid w:val="00EF1108"/>
    <w:rsid w:val="00EF1E00"/>
    <w:rsid w:val="00EF4A45"/>
    <w:rsid w:val="00EF57AD"/>
    <w:rsid w:val="00EF65DD"/>
    <w:rsid w:val="00F007ED"/>
    <w:rsid w:val="00F01523"/>
    <w:rsid w:val="00F04C0C"/>
    <w:rsid w:val="00F055C4"/>
    <w:rsid w:val="00F0603D"/>
    <w:rsid w:val="00F07966"/>
    <w:rsid w:val="00F1697D"/>
    <w:rsid w:val="00F2682F"/>
    <w:rsid w:val="00F334DC"/>
    <w:rsid w:val="00F335F0"/>
    <w:rsid w:val="00F33F21"/>
    <w:rsid w:val="00F34946"/>
    <w:rsid w:val="00F3547F"/>
    <w:rsid w:val="00F4078D"/>
    <w:rsid w:val="00F41B6C"/>
    <w:rsid w:val="00F43171"/>
    <w:rsid w:val="00F45174"/>
    <w:rsid w:val="00F46E3D"/>
    <w:rsid w:val="00F47343"/>
    <w:rsid w:val="00F5378A"/>
    <w:rsid w:val="00F6317A"/>
    <w:rsid w:val="00F64AC4"/>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C6F8F"/>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 w:type="character" w:styleId="Hyperlink">
    <w:name w:val="Hyperlink"/>
    <w:basedOn w:val="DefaultParagraphFont"/>
    <w:uiPriority w:val="99"/>
    <w:unhideWhenUsed/>
    <w:rsid w:val="004103C3"/>
    <w:rPr>
      <w:color w:val="5F5F5F" w:themeColor="hyperlink"/>
      <w:u w:val="single"/>
    </w:rPr>
  </w:style>
  <w:style w:type="character" w:styleId="UnresolvedMention">
    <w:name w:val="Unresolved Mention"/>
    <w:basedOn w:val="DefaultParagraphFont"/>
    <w:uiPriority w:val="99"/>
    <w:semiHidden/>
    <w:unhideWhenUsed/>
    <w:rsid w:val="0041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26949571">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794447391">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2399</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 </cp:lastModifiedBy>
  <cp:revision>696</cp:revision>
  <dcterms:created xsi:type="dcterms:W3CDTF">2023-02-18T08:06:00Z</dcterms:created>
  <dcterms:modified xsi:type="dcterms:W3CDTF">2025-07-07T22:51:00Z</dcterms:modified>
</cp:coreProperties>
</file>