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05B6C" w14:textId="77777777" w:rsidR="00EF0296" w:rsidRDefault="00F3512D">
      <w:pPr>
        <w:pStyle w:val="BodyA"/>
        <w:rPr>
          <w:b/>
          <w:bCs/>
        </w:rPr>
      </w:pPr>
      <w:r>
        <w:rPr>
          <w:b/>
          <w:bCs/>
        </w:rPr>
        <w:t xml:space="preserve">2.5 </w:t>
      </w:r>
      <w:proofErr w:type="gramStart"/>
      <w:r>
        <w:rPr>
          <w:b/>
          <w:bCs/>
        </w:rPr>
        <w:t>Million</w:t>
      </w:r>
      <w:proofErr w:type="gramEnd"/>
      <w:r>
        <w:rPr>
          <w:b/>
          <w:bCs/>
        </w:rPr>
        <w:t xml:space="preserve"> Missing Micro-Units</w:t>
      </w:r>
    </w:p>
    <w:p w14:paraId="53F05B6D" w14:textId="77777777" w:rsidR="00EF0296" w:rsidRDefault="00F3512D">
      <w:pPr>
        <w:pStyle w:val="BodyA"/>
        <w:rPr>
          <w:rStyle w:val="NoneA"/>
        </w:rPr>
      </w:pPr>
      <w:r>
        <w:rPr>
          <w:rStyle w:val="NoneA"/>
        </w:rPr>
        <w:t>How cities and states blocked low-cost housing and unleashed mass homelessness</w:t>
      </w:r>
    </w:p>
    <w:p w14:paraId="53F05B6E" w14:textId="77777777" w:rsidR="00EF0296" w:rsidRDefault="00F3512D">
      <w:pPr>
        <w:pStyle w:val="BodyA"/>
        <w:rPr>
          <w:rStyle w:val="NoneA"/>
        </w:rPr>
      </w:pPr>
      <w:r>
        <w:rPr>
          <w:rStyle w:val="NoneA"/>
        </w:rPr>
        <w:t>By Rebecca Baird-</w:t>
      </w:r>
      <w:proofErr w:type="spellStart"/>
      <w:r>
        <w:rPr>
          <w:rStyle w:val="NoneA"/>
        </w:rPr>
        <w:t>Remba</w:t>
      </w:r>
      <w:proofErr w:type="spellEnd"/>
      <w:r>
        <w:rPr>
          <w:rStyle w:val="NoneA"/>
        </w:rPr>
        <w:t xml:space="preserve"> and Alex Horowitz</w:t>
      </w:r>
    </w:p>
    <w:p w14:paraId="53F05B6F" w14:textId="77777777" w:rsidR="00EF0296" w:rsidRDefault="00EF0296">
      <w:pPr>
        <w:pStyle w:val="BodyA"/>
        <w:rPr>
          <w:rStyle w:val="NoneA"/>
        </w:rPr>
      </w:pPr>
    </w:p>
    <w:p w14:paraId="53F05B70" w14:textId="2875A0FA" w:rsidR="00EF0296" w:rsidRDefault="00F3512D">
      <w:pPr>
        <w:pStyle w:val="BodyA"/>
      </w:pPr>
      <w:r>
        <w:t>Low-cost micro-units, often called single-room occupancy apartments, or SROs, were once a reliable form of housing for America</w:t>
      </w:r>
      <w:r>
        <w:rPr>
          <w:rFonts w:ascii="Arial Unicode MS" w:hAnsi="Arial Unicode MS"/>
          <w:rtl/>
          <w:lang w:val="ar-SA"/>
        </w:rPr>
        <w:t>’</w:t>
      </w:r>
      <w:r>
        <w:t xml:space="preserve">s poorest citizens and newcomers in big cities like New York, Chicago, and San Francisco. The decline of SRO housing from the mid-1960s </w:t>
      </w:r>
      <w:r w:rsidR="00AC7CDF">
        <w:t xml:space="preserve">into </w:t>
      </w:r>
      <w:r>
        <w:t xml:space="preserve">the 1990s aligns closely with the increase in homelessness, both in shelters and on the street. People who could once pay $100 to $500 a month for a small room with a shared bathroom were suddenly priced out of the housing market, as three decades of anti-urban housing policy choices began to bear fruit. </w:t>
      </w:r>
    </w:p>
    <w:p w14:paraId="53F05B71" w14:textId="77777777" w:rsidR="00EF0296" w:rsidRDefault="00EF0296">
      <w:pPr>
        <w:pStyle w:val="BodyA"/>
        <w:rPr>
          <w:rStyle w:val="NoneA"/>
        </w:rPr>
      </w:pPr>
    </w:p>
    <w:p w14:paraId="53F05B72" w14:textId="49317AEC" w:rsidR="00EF0296" w:rsidRDefault="00F3512D">
      <w:pPr>
        <w:pStyle w:val="BodyA"/>
        <w:rPr>
          <w:rStyle w:val="NoneA"/>
        </w:rPr>
      </w:pPr>
      <w:r>
        <w:rPr>
          <w:rStyle w:val="NoneA"/>
        </w:rPr>
        <w:t xml:space="preserve">The United States has lost at least one million SRO units since 1960, while the housing stock has grown by a factor of two and a half since then (from 58.3 million homes to 145.3 million). If cities and states had allowed </w:t>
      </w:r>
      <w:r w:rsidR="00EA3AE2">
        <w:rPr>
          <w:rStyle w:val="NoneA"/>
        </w:rPr>
        <w:t xml:space="preserve">the </w:t>
      </w:r>
      <w:r>
        <w:rPr>
          <w:rStyle w:val="NoneA"/>
        </w:rPr>
        <w:t xml:space="preserve">SRO stock to grow at a similar rate rather than </w:t>
      </w:r>
      <w:r w:rsidR="00714BAA">
        <w:rPr>
          <w:rStyle w:val="NoneA"/>
        </w:rPr>
        <w:t xml:space="preserve">reducing </w:t>
      </w:r>
      <w:r>
        <w:rPr>
          <w:rStyle w:val="NoneA"/>
        </w:rPr>
        <w:t>it through zoning and building codes</w:t>
      </w:r>
      <w:r w:rsidR="00714BAA">
        <w:rPr>
          <w:rStyle w:val="NoneA"/>
        </w:rPr>
        <w:t xml:space="preserve"> and tax incentives</w:t>
      </w:r>
      <w:r>
        <w:rPr>
          <w:rStyle w:val="NoneA"/>
        </w:rPr>
        <w:t xml:space="preserve">, the U.S. could have 2.5 million additional </w:t>
      </w:r>
      <w:r w:rsidR="00F26850">
        <w:rPr>
          <w:rStyle w:val="NoneA"/>
        </w:rPr>
        <w:t xml:space="preserve">low-cost </w:t>
      </w:r>
      <w:r>
        <w:rPr>
          <w:rStyle w:val="NoneA"/>
        </w:rPr>
        <w:t>homes today, roughly four times the number of people experiencing homelessness in the most recent count from the Department of Housing and Urban Development.</w:t>
      </w:r>
      <w:r>
        <w:rPr>
          <w:rStyle w:val="EndnoteReference"/>
          <w:rFonts w:eastAsia="Helvetica" w:cs="Helvetica"/>
        </w:rPr>
        <w:endnoteReference w:id="2"/>
      </w:r>
      <w:r>
        <w:rPr>
          <w:rStyle w:val="NoneA"/>
        </w:rPr>
        <w:t xml:space="preserve"> </w:t>
      </w:r>
    </w:p>
    <w:p w14:paraId="53F05B73" w14:textId="77777777" w:rsidR="00EF0296" w:rsidRDefault="00EF0296">
      <w:pPr>
        <w:pStyle w:val="BodyA"/>
        <w:rPr>
          <w:rStyle w:val="NoneA"/>
        </w:rPr>
      </w:pPr>
    </w:p>
    <w:p w14:paraId="53F05B74" w14:textId="77777777" w:rsidR="00EF0296" w:rsidRDefault="00F3512D">
      <w:pPr>
        <w:pStyle w:val="BodyA"/>
        <w:rPr>
          <w:b/>
          <w:bCs/>
        </w:rPr>
      </w:pPr>
      <w:r>
        <w:rPr>
          <w:b/>
          <w:bCs/>
        </w:rPr>
        <w:t>The rise of homelessness</w:t>
      </w:r>
    </w:p>
    <w:p w14:paraId="53F05B75" w14:textId="77777777" w:rsidR="00EF0296" w:rsidRDefault="00EF0296">
      <w:pPr>
        <w:pStyle w:val="BodyA"/>
        <w:rPr>
          <w:rStyle w:val="NoneA"/>
        </w:rPr>
      </w:pPr>
    </w:p>
    <w:p w14:paraId="53F05B76" w14:textId="19A88B8F" w:rsidR="00EF0296" w:rsidRPr="007748B9" w:rsidRDefault="00F3512D">
      <w:pPr>
        <w:pStyle w:val="BodyA"/>
        <w:rPr>
          <w:rStyle w:val="NoneA"/>
          <w:rFonts w:cs="Helvetica"/>
        </w:rPr>
      </w:pPr>
      <w:r>
        <w:rPr>
          <w:rStyle w:val="NoneA"/>
        </w:rPr>
        <w:t xml:space="preserve">Homelessness was rare as recently as the early 1970s. But as SROs disappeared in large numbers, that changed. </w:t>
      </w:r>
      <w:r>
        <w:rPr>
          <w:i/>
          <w:iCs/>
        </w:rPr>
        <w:t>The Atlantic</w:t>
      </w:r>
      <w:r>
        <w:rPr>
          <w:rStyle w:val="NoneA"/>
        </w:rPr>
        <w:t xml:space="preserve">’s Jerusalem </w:t>
      </w:r>
      <w:proofErr w:type="spellStart"/>
      <w:r>
        <w:rPr>
          <w:rStyle w:val="NoneA"/>
        </w:rPr>
        <w:t>Demsas</w:t>
      </w:r>
      <w:proofErr w:type="spellEnd"/>
      <w:r>
        <w:rPr>
          <w:rStyle w:val="NoneA"/>
        </w:rPr>
        <w:t xml:space="preserve"> notes that “tent encampments were not a significant part of the urban landscape before the 1980s</w:t>
      </w:r>
      <w:r w:rsidR="00166261">
        <w:rPr>
          <w:rStyle w:val="NoneA"/>
        </w:rPr>
        <w:t xml:space="preserve">. </w:t>
      </w:r>
      <w:r w:rsidR="004E0D1B">
        <w:rPr>
          <w:rStyle w:val="NoneA"/>
        </w:rPr>
        <w:t>… [But now they are]</w:t>
      </w:r>
      <w:r>
        <w:rPr>
          <w:rStyle w:val="NoneA"/>
        </w:rPr>
        <w:t xml:space="preserve"> because local governments have sought to rid their housing markets of low-income people by getting rid of low</w:t>
      </w:r>
      <w:r w:rsidRPr="007748B9">
        <w:rPr>
          <w:rStyle w:val="NoneA"/>
          <w:rFonts w:cs="Helvetica"/>
        </w:rPr>
        <w:t xml:space="preserve">-income-housing options, while ensuring that the rest of the market would become prohibitively expensive.” In 1978, even </w:t>
      </w:r>
      <w:r w:rsidR="00B46B9D" w:rsidRPr="007748B9">
        <w:rPr>
          <w:rStyle w:val="NoneA"/>
          <w:rFonts w:cs="Helvetica"/>
        </w:rPr>
        <w:t xml:space="preserve">a </w:t>
      </w:r>
      <w:r w:rsidRPr="007748B9">
        <w:rPr>
          <w:rStyle w:val="NoneA"/>
          <w:rFonts w:cs="Helvetica"/>
        </w:rPr>
        <w:t>potential SRO buyer lamented that “old hotels are torn down and the people who lived in them are left homeless,” according to a U.S. Senate report published that year on the destruction of residential hotels.</w:t>
      </w:r>
      <w:r w:rsidRPr="007748B9">
        <w:rPr>
          <w:rFonts w:eastAsia="Helvetica" w:cs="Helvetica"/>
          <w:vertAlign w:val="superscript"/>
        </w:rPr>
        <w:endnoteReference w:id="3"/>
      </w:r>
      <w:r w:rsidRPr="007748B9">
        <w:rPr>
          <w:rStyle w:val="NoneA"/>
          <w:rFonts w:cs="Helvetica"/>
        </w:rPr>
        <w:t xml:space="preserve"> </w:t>
      </w:r>
      <w:r w:rsidR="00796A56" w:rsidRPr="007748B9">
        <w:rPr>
          <w:rStyle w:val="NoneA"/>
          <w:rFonts w:cs="Helvetica"/>
        </w:rPr>
        <w:t xml:space="preserve">Professor Dennis Culhane has noted </w:t>
      </w:r>
      <w:r w:rsidR="00A605CB" w:rsidRPr="007748B9">
        <w:rPr>
          <w:rFonts w:cs="Helvetica"/>
          <w:color w:val="333333"/>
          <w:shd w:val="clear" w:color="auto" w:fill="FFFFFF"/>
        </w:rPr>
        <w:t>“Many people attribute the growth of street homelessness in the ’80s to the loss of this SRO stock that began in the ’60s</w:t>
      </w:r>
      <w:r w:rsidR="001A247A" w:rsidRPr="007748B9">
        <w:rPr>
          <w:rFonts w:cs="Helvetica"/>
          <w:color w:val="333333"/>
          <w:shd w:val="clear" w:color="auto" w:fill="FFFFFF"/>
        </w:rPr>
        <w:t xml:space="preserve">… </w:t>
      </w:r>
      <w:r w:rsidR="00A605CB" w:rsidRPr="007748B9">
        <w:rPr>
          <w:rFonts w:cs="Helvetica"/>
          <w:color w:val="333333"/>
          <w:shd w:val="clear" w:color="auto" w:fill="FFFFFF"/>
        </w:rPr>
        <w:t xml:space="preserve">It’s a necessary option. If we could get a few thousand of those units in [Philadelphia], it could have a </w:t>
      </w:r>
      <w:proofErr w:type="gramStart"/>
      <w:r w:rsidR="00A605CB" w:rsidRPr="007748B9">
        <w:rPr>
          <w:rFonts w:cs="Helvetica"/>
          <w:color w:val="333333"/>
          <w:shd w:val="clear" w:color="auto" w:fill="FFFFFF"/>
        </w:rPr>
        <w:t>really significant</w:t>
      </w:r>
      <w:proofErr w:type="gramEnd"/>
      <w:r w:rsidR="00A605CB" w:rsidRPr="007748B9">
        <w:rPr>
          <w:rFonts w:cs="Helvetica"/>
          <w:color w:val="333333"/>
          <w:shd w:val="clear" w:color="auto" w:fill="FFFFFF"/>
        </w:rPr>
        <w:t xml:space="preserve"> impact on homelessness.”</w:t>
      </w:r>
      <w:r w:rsidR="001A247A" w:rsidRPr="007748B9">
        <w:rPr>
          <w:rStyle w:val="EndnoteReference"/>
          <w:rFonts w:eastAsia="Helvetica" w:cs="Helvetica"/>
        </w:rPr>
        <w:endnoteReference w:id="4"/>
      </w:r>
    </w:p>
    <w:p w14:paraId="53F05B77" w14:textId="77777777" w:rsidR="00EF0296" w:rsidRPr="007748B9" w:rsidRDefault="00EF0296">
      <w:pPr>
        <w:pStyle w:val="BodyA"/>
        <w:rPr>
          <w:rStyle w:val="NoneA"/>
          <w:rFonts w:cs="Helvetica"/>
        </w:rPr>
      </w:pPr>
    </w:p>
    <w:p w14:paraId="53F05B78" w14:textId="77777777" w:rsidR="00EF0296" w:rsidRDefault="00F3512D">
      <w:pPr>
        <w:pStyle w:val="BodyA"/>
        <w:rPr>
          <w:rStyle w:val="NoneA"/>
        </w:rPr>
      </w:pPr>
      <w:r>
        <w:rPr>
          <w:rStyle w:val="NoneA"/>
        </w:rPr>
        <w:t xml:space="preserve">A 1993 </w:t>
      </w:r>
      <w:r>
        <w:rPr>
          <w:rStyle w:val="None"/>
          <w:i/>
          <w:iCs/>
        </w:rPr>
        <w:t>Washington Post</w:t>
      </w:r>
      <w:r>
        <w:rPr>
          <w:rStyle w:val="NoneA"/>
        </w:rPr>
        <w:t xml:space="preserve"> article by Malcolm Gladwell was written close enough to the loss of many SROs that the connection between their demise and the rise in homelessness was obvious to many. Gladwell wrote of New York City: “As the city systematically upgraded its housing stock, more than 100,000 rooms that housed the poor have been renovated and converted to other uses, helping to create a homelessness problem that has become the nation’s worst.” The piece quoted the head of a low-income housing group who explained, “We had literally hundreds of thousands of SRO units that provided housing to large segments of the population. Then the city decided that it was inadequate and unsuitable and developed zoning provisions and incentives to put them out of business. The result is the enormous homeless mess we now have.” Gladwell writes, “When city social workers polled homeless men entering shelters in 1980, they found that about half had lived in SROs.” He cites the head of the Coalition for the Homeless in New York City who laments, “The people you see sleeping under bridges used to be valued members of the housing market… they aren’t anymore.” </w:t>
      </w:r>
    </w:p>
    <w:p w14:paraId="53F05B79" w14:textId="77777777" w:rsidR="00EF0296" w:rsidRDefault="00EF0296">
      <w:pPr>
        <w:pStyle w:val="BodyA"/>
        <w:rPr>
          <w:rStyle w:val="NoneA"/>
        </w:rPr>
      </w:pPr>
    </w:p>
    <w:p w14:paraId="53F05B7A" w14:textId="77777777" w:rsidR="00EF0296" w:rsidRDefault="00F3512D">
      <w:pPr>
        <w:pStyle w:val="BodyA"/>
        <w:rPr>
          <w:rStyle w:val="NoneA"/>
        </w:rPr>
      </w:pPr>
      <w:r>
        <w:rPr>
          <w:rStyle w:val="NoneA"/>
        </w:rPr>
        <w:t xml:space="preserve">The Coalition for the Homeless recounts, “The first sign of modern homelessness in New York City was the appearance of thousands of homeless men sleeping in parks, on sidewalks, in transportation terminals, and in other public spaces in the late 1970s.” National Alliance to End Homelessness president Nan Roman explains this was new because “In the 1970s, there was </w:t>
      </w:r>
      <w:r>
        <w:rPr>
          <w:rStyle w:val="NoneA"/>
        </w:rPr>
        <w:lastRenderedPageBreak/>
        <w:t xml:space="preserve">an adequate supply of affordable units for every low-income household that needed one — and we really didn't have homelessness." </w:t>
      </w:r>
    </w:p>
    <w:p w14:paraId="74C93526" w14:textId="77777777" w:rsidR="004A1A7A" w:rsidRDefault="004A1A7A">
      <w:pPr>
        <w:pStyle w:val="BodyA"/>
        <w:rPr>
          <w:rStyle w:val="NoneA"/>
        </w:rPr>
      </w:pPr>
    </w:p>
    <w:p w14:paraId="7FF7EA20" w14:textId="0F108215" w:rsidR="004A1A7A" w:rsidRDefault="004A1A7A">
      <w:pPr>
        <w:pStyle w:val="BodyA"/>
        <w:rPr>
          <w:rStyle w:val="NoneA"/>
        </w:rPr>
      </w:pPr>
      <w:r>
        <w:rPr>
          <w:rStyle w:val="NoneA"/>
        </w:rPr>
        <w:t xml:space="preserve">Former head of the U.S. Interagency Council on Homelessness Philip Mangano explained: “[In Massachusetts] </w:t>
      </w:r>
      <w:r>
        <w:rPr>
          <w:rFonts w:ascii="Roboto" w:hAnsi="Roboto"/>
          <w:color w:val="0A0A0A"/>
          <w:shd w:val="clear" w:color="auto" w:fill="FEFEFE"/>
        </w:rPr>
        <w:t>we lost 96 percent of those single-room-occupancy units — lodging-house rooms for people on the fringe of economic stability who could still find a place to live at night even if they had an addiction. As those were wiped out, we made a graph of the diminution of those rooms and another graph showing the increase in number of shelter beds in the state. It was perfectly aligned, except the number of shelter beds was far less than the number of rooms that were lost.”</w:t>
      </w:r>
      <w:r w:rsidR="00B81388">
        <w:rPr>
          <w:rStyle w:val="EndnoteReference"/>
          <w:rFonts w:ascii="Roboto" w:hAnsi="Roboto"/>
          <w:color w:val="0A0A0A"/>
          <w:shd w:val="clear" w:color="auto" w:fill="FEFEFE"/>
        </w:rPr>
        <w:endnoteReference w:id="5"/>
      </w:r>
    </w:p>
    <w:p w14:paraId="53F05B7B" w14:textId="77777777" w:rsidR="00EF0296" w:rsidRDefault="00EF0296">
      <w:pPr>
        <w:pStyle w:val="BodyA"/>
        <w:rPr>
          <w:rStyle w:val="NoneA"/>
        </w:rPr>
      </w:pPr>
    </w:p>
    <w:p w14:paraId="53F05B7C" w14:textId="77777777" w:rsidR="00EF0296" w:rsidRDefault="00F3512D">
      <w:pPr>
        <w:pStyle w:val="BodyA"/>
        <w:rPr>
          <w:rStyle w:val="NoneA"/>
        </w:rPr>
      </w:pPr>
      <w:r>
        <w:rPr>
          <w:rStyle w:val="NoneA"/>
        </w:rPr>
        <w:t>Advocates and researchers recognize that those going through homelessness have vulnerabilities, but there are people in poverty, with disabilities, mental illness, and addiction in every state and city. But Mississippi, with low housing costs, has a homelessness rate about one-fifteenth of high-cost states. Houston, the most affordable large city in the U.S. because it continuously builds housing, has homelessness just one-twentieth of high-cost cities like New York and San Francisco. Even in New York and San Francisco, homelessness was a rarity as recently as the early 1970s when they still had a large stock of SROs.</w:t>
      </w:r>
    </w:p>
    <w:p w14:paraId="53F05B7D" w14:textId="77777777" w:rsidR="00EF0296" w:rsidRDefault="00EF0296">
      <w:pPr>
        <w:pStyle w:val="BodyA"/>
        <w:rPr>
          <w:rStyle w:val="NoneA"/>
        </w:rPr>
      </w:pPr>
    </w:p>
    <w:p w14:paraId="53F05B80" w14:textId="77777777" w:rsidR="00EF0296" w:rsidRDefault="00EF0296">
      <w:pPr>
        <w:pStyle w:val="BodyA"/>
        <w:rPr>
          <w:rStyle w:val="NoneA"/>
        </w:rPr>
      </w:pPr>
    </w:p>
    <w:p w14:paraId="53F05B81" w14:textId="77777777" w:rsidR="00EF0296" w:rsidRDefault="00F3512D">
      <w:pPr>
        <w:pStyle w:val="BodyA"/>
        <w:rPr>
          <w:b/>
          <w:bCs/>
        </w:rPr>
      </w:pPr>
      <w:r>
        <w:rPr>
          <w:b/>
          <w:bCs/>
        </w:rPr>
        <w:t>History of SROs</w:t>
      </w:r>
    </w:p>
    <w:p w14:paraId="53F05B82" w14:textId="77777777" w:rsidR="00EF0296" w:rsidRDefault="00F3512D">
      <w:pPr>
        <w:pStyle w:val="BodyA"/>
      </w:pPr>
      <w:r>
        <w:rPr>
          <w:rStyle w:val="NoneA"/>
        </w:rPr>
        <w:t xml:space="preserve">Originally, most SROs were residential hotels, and the nicer ones offered meal service in luxurious dining rooms, as well as regular laundry and maid service. But beginning in the 1960s, many city and state governments crafted policies that incentivized converting SROs to tourist-oriented hotels, or to traditional apartment buildings. Local politicians and activists of the early and mid-20th century portrayed hotel residents as poor, dependent on alcohol or drugs, reliant on public welfare, transient, and immoral, choosing to live outside of what they considered normal society and respectable family life. </w:t>
      </w:r>
    </w:p>
    <w:p w14:paraId="53F05B83" w14:textId="77777777" w:rsidR="00EF0296" w:rsidRDefault="00EF0296">
      <w:pPr>
        <w:pStyle w:val="BodyA"/>
      </w:pPr>
    </w:p>
    <w:p w14:paraId="53F05B84" w14:textId="77777777" w:rsidR="00EF0296" w:rsidRDefault="00F3512D">
      <w:pPr>
        <w:pStyle w:val="BodyA"/>
      </w:pPr>
      <w:r>
        <w:rPr>
          <w:rStyle w:val="NoneA"/>
        </w:rPr>
        <w:t>In 1907, social worker Robert Woods warned readers of the “social dangers of a population made up of detached men and women” living away from “the safeguards of a good home.”</w:t>
      </w:r>
      <w:r>
        <w:rPr>
          <w:rStyle w:val="EndnoteReference"/>
          <w:rFonts w:eastAsia="Helvetica" w:cs="Helvetica"/>
        </w:rPr>
        <w:endnoteReference w:id="6"/>
      </w:r>
      <w:r>
        <w:rPr>
          <w:rStyle w:val="NoneA"/>
        </w:rPr>
        <w:t xml:space="preserve"> Woods was the founder of several Christian settlement houses in the 1890s, in New York, Boston, and Chicago, where he and his wife provided a mix of social services, childcare, and housing. </w:t>
      </w:r>
    </w:p>
    <w:p w14:paraId="53F05B85" w14:textId="77777777" w:rsidR="00EF0296" w:rsidRDefault="00EF0296">
      <w:pPr>
        <w:pStyle w:val="BodyA"/>
      </w:pPr>
    </w:p>
    <w:p w14:paraId="53F05B86" w14:textId="77777777" w:rsidR="00EF0296" w:rsidRDefault="00F3512D">
      <w:pPr>
        <w:pStyle w:val="BodyA"/>
      </w:pPr>
      <w:r>
        <w:rPr>
          <w:rStyle w:val="NoneA"/>
        </w:rPr>
        <w:t xml:space="preserve">Lawrence </w:t>
      </w:r>
      <w:proofErr w:type="spellStart"/>
      <w:r>
        <w:rPr>
          <w:rStyle w:val="NoneA"/>
        </w:rPr>
        <w:t>Veiller</w:t>
      </w:r>
      <w:proofErr w:type="spellEnd"/>
      <w:r>
        <w:rPr>
          <w:rStyle w:val="NoneA"/>
        </w:rPr>
        <w:t>, who became a New York City housing official in the 1890s and served as an early advocate for housing and building codes, condemned hotel living in 1905. He argued that the “bad effect upon the community of a congregate form of living is by no means limited to the poorer people. Waldorf-</w:t>
      </w:r>
      <w:proofErr w:type="spellStart"/>
      <w:r>
        <w:rPr>
          <w:rStyle w:val="NoneA"/>
        </w:rPr>
        <w:t>Astorias</w:t>
      </w:r>
      <w:proofErr w:type="spellEnd"/>
      <w:r>
        <w:rPr>
          <w:rStyle w:val="NoneA"/>
        </w:rPr>
        <w:t xml:space="preserve"> at one end of town and ‘big flats’ at the other end are equally bad in their destruction of civic spirit and the responsibilities of citizenship.”</w:t>
      </w:r>
      <w:r>
        <w:rPr>
          <w:rStyle w:val="EndnoteReference"/>
          <w:rFonts w:eastAsia="Helvetica" w:cs="Helvetica"/>
        </w:rPr>
        <w:endnoteReference w:id="7"/>
      </w:r>
      <w:r>
        <w:rPr>
          <w:rStyle w:val="NoneA"/>
        </w:rPr>
        <w:t xml:space="preserve"> </w:t>
      </w:r>
    </w:p>
    <w:p w14:paraId="53F05B87" w14:textId="77777777" w:rsidR="00EF0296" w:rsidRDefault="00EF0296">
      <w:pPr>
        <w:pStyle w:val="BodyA"/>
      </w:pPr>
    </w:p>
    <w:p w14:paraId="53F05B88" w14:textId="77777777" w:rsidR="00EF0296" w:rsidRDefault="00F3512D">
      <w:pPr>
        <w:pStyle w:val="BodyA"/>
      </w:pPr>
      <w:r>
        <w:rPr>
          <w:rStyle w:val="NoneA"/>
        </w:rPr>
        <w:t xml:space="preserve">Residential hotels and SROs were increasingly considered a public nuisance and a decaying form of housing stock that had to be eliminated. Even at the turn of the 20th century, many were run down and neglected, and reformers like </w:t>
      </w:r>
      <w:proofErr w:type="spellStart"/>
      <w:r>
        <w:rPr>
          <w:rStyle w:val="NoneA"/>
        </w:rPr>
        <w:t>Veiller</w:t>
      </w:r>
      <w:proofErr w:type="spellEnd"/>
      <w:r>
        <w:rPr>
          <w:rStyle w:val="NoneA"/>
        </w:rPr>
        <w:t>, Woods, Lillian Wald, and Alfred T. White blamed overcrowded apartments and unsanitary shared bathroom facilities for common diseases like pneumonia and tuberculosis.</w:t>
      </w:r>
      <w:r>
        <w:rPr>
          <w:rStyle w:val="EndnoteReference"/>
          <w:rFonts w:eastAsia="Helvetica" w:cs="Helvetica"/>
        </w:rPr>
        <w:endnoteReference w:id="8"/>
      </w:r>
      <w:r>
        <w:rPr>
          <w:rStyle w:val="NoneA"/>
        </w:rPr>
        <w:t xml:space="preserve"> </w:t>
      </w:r>
    </w:p>
    <w:p w14:paraId="53F05B89" w14:textId="77777777" w:rsidR="00EF0296" w:rsidRDefault="00EF0296">
      <w:pPr>
        <w:pStyle w:val="BodyA"/>
        <w:rPr>
          <w:rStyle w:val="NoneA"/>
        </w:rPr>
      </w:pPr>
    </w:p>
    <w:p w14:paraId="53F05B8A" w14:textId="77777777" w:rsidR="00EF0296" w:rsidRDefault="00F3512D">
      <w:pPr>
        <w:pStyle w:val="BodyA"/>
        <w:rPr>
          <w:b/>
          <w:bCs/>
        </w:rPr>
      </w:pPr>
      <w:r>
        <w:rPr>
          <w:b/>
          <w:bCs/>
        </w:rPr>
        <w:t>Loss of SROs</w:t>
      </w:r>
    </w:p>
    <w:p w14:paraId="53F05B8B" w14:textId="3C07137A" w:rsidR="00EF0296" w:rsidRDefault="00F3512D">
      <w:pPr>
        <w:pStyle w:val="BodyA"/>
      </w:pPr>
      <w:r>
        <w:rPr>
          <w:rStyle w:val="None"/>
        </w:rPr>
        <w:t>While it</w:t>
      </w:r>
      <w:r>
        <w:rPr>
          <w:rStyle w:val="None"/>
          <w:rFonts w:ascii="Arial Unicode MS" w:hAnsi="Arial Unicode MS"/>
          <w:rtl/>
          <w:lang w:val="ar-SA"/>
        </w:rPr>
        <w:t>’</w:t>
      </w:r>
      <w:r>
        <w:rPr>
          <w:rStyle w:val="None"/>
        </w:rPr>
        <w:t xml:space="preserve">s hard to find comprehensive data on SROs and their destruction nationwide, Paul </w:t>
      </w:r>
      <w:proofErr w:type="spellStart"/>
      <w:r>
        <w:rPr>
          <w:rStyle w:val="None"/>
        </w:rPr>
        <w:t>Groth</w:t>
      </w:r>
      <w:proofErr w:type="spellEnd"/>
      <w:r>
        <w:rPr>
          <w:rStyle w:val="None"/>
          <w:rFonts w:ascii="Arial Unicode MS" w:hAnsi="Arial Unicode MS"/>
          <w:rtl/>
          <w:lang w:val="ar-SA"/>
        </w:rPr>
        <w:t>’</w:t>
      </w:r>
      <w:r>
        <w:rPr>
          <w:rStyle w:val="None"/>
        </w:rPr>
        <w:t xml:space="preserve">s seminal 1994 book on residential hotels and SROs, </w:t>
      </w:r>
      <w:r>
        <w:rPr>
          <w:rStyle w:val="None"/>
          <w:i/>
          <w:iCs/>
        </w:rPr>
        <w:t>Living Downtown</w:t>
      </w:r>
      <w:r>
        <w:rPr>
          <w:rStyle w:val="None"/>
        </w:rPr>
        <w:t xml:space="preserve">, provides several </w:t>
      </w:r>
      <w:r>
        <w:rPr>
          <w:rStyle w:val="None"/>
        </w:rPr>
        <w:lastRenderedPageBreak/>
        <w:t>important data points on major cities throughout the 19th and 20th centuries. Between 1975 and 1980, San Francisco landlords eliminated 6,085 residential hotel units, while Chicago lost 80 percent—or 32,000—of its SRO units between 1973 and 1984.</w:t>
      </w:r>
      <w:r>
        <w:rPr>
          <w:rStyle w:val="None"/>
          <w:vertAlign w:val="superscript"/>
        </w:rPr>
        <w:endnoteReference w:id="9"/>
      </w:r>
      <w:r>
        <w:rPr>
          <w:rStyle w:val="None"/>
        </w:rPr>
        <w:t xml:space="preserve"> New York City, meanwhile, destroyed two-thirds—or 30,000—of its remaining SRO units between 1976 and 1981, the state assembly found in a study at the time.</w:t>
      </w:r>
      <w:r>
        <w:rPr>
          <w:rStyle w:val="None"/>
          <w:vertAlign w:val="superscript"/>
        </w:rPr>
        <w:endnoteReference w:id="10"/>
      </w:r>
      <w:r>
        <w:rPr>
          <w:rStyle w:val="None"/>
        </w:rPr>
        <w:t xml:space="preserve"> Seattle lost 15,000 units between 1960 and 1981, and San Diego lost 1,247 units from 1976 to 1984.</w:t>
      </w:r>
      <w:r>
        <w:rPr>
          <w:rStyle w:val="None"/>
          <w:vertAlign w:val="superscript"/>
        </w:rPr>
        <w:endnoteReference w:id="11"/>
      </w:r>
      <w:r>
        <w:rPr>
          <w:rStyle w:val="None"/>
        </w:rPr>
        <w:t xml:space="preserve"> Nationwide, </w:t>
      </w:r>
      <w:proofErr w:type="spellStart"/>
      <w:r>
        <w:rPr>
          <w:rStyle w:val="None"/>
        </w:rPr>
        <w:t>Groth</w:t>
      </w:r>
      <w:proofErr w:type="spellEnd"/>
      <w:r>
        <w:rPr>
          <w:rStyle w:val="None"/>
        </w:rPr>
        <w:t xml:space="preserve"> estimates that one million residential hotel rooms were destroyed or converted between 1970 and 1980.</w:t>
      </w:r>
      <w:r>
        <w:rPr>
          <w:rStyle w:val="None"/>
          <w:vertAlign w:val="superscript"/>
        </w:rPr>
        <w:endnoteReference w:id="12"/>
      </w:r>
      <w:r>
        <w:rPr>
          <w:rStyle w:val="None"/>
        </w:rPr>
        <w:t xml:space="preserve"> While there aren’t national estimates for the number of units destroyed before 1970, he puts the figure in the millions.</w:t>
      </w:r>
      <w:r>
        <w:rPr>
          <w:rStyle w:val="None"/>
          <w:vertAlign w:val="superscript"/>
        </w:rPr>
        <w:endnoteReference w:id="13"/>
      </w:r>
      <w:r w:rsidR="00337ED2">
        <w:rPr>
          <w:rStyle w:val="None"/>
        </w:rPr>
        <w:t xml:space="preserve"> A separate report estimates Massachusetts lost 96 percent of its SROs from 1965 to 1985.</w:t>
      </w:r>
      <w:r w:rsidR="00F71BED">
        <w:rPr>
          <w:rStyle w:val="None"/>
          <w:vertAlign w:val="superscript"/>
        </w:rPr>
        <w:endnoteReference w:id="14"/>
      </w:r>
      <w:r>
        <w:rPr>
          <w:rStyle w:val="None"/>
        </w:rPr>
        <w:t xml:space="preserve"> Still, in 1990, there were still </w:t>
      </w:r>
      <w:r>
        <w:rPr>
          <w:rStyle w:val="None"/>
          <w:lang w:val="it-IT"/>
        </w:rPr>
        <w:t xml:space="preserve">one </w:t>
      </w:r>
      <w:r>
        <w:rPr>
          <w:rStyle w:val="None"/>
        </w:rPr>
        <w:t>to two million people living in hotels long-term.</w:t>
      </w:r>
      <w:r>
        <w:rPr>
          <w:rStyle w:val="None"/>
          <w:vertAlign w:val="superscript"/>
        </w:rPr>
        <w:endnoteReference w:id="15"/>
      </w:r>
    </w:p>
    <w:p w14:paraId="53F05B8C" w14:textId="77777777" w:rsidR="00EF0296" w:rsidRDefault="00EF0296">
      <w:pPr>
        <w:pStyle w:val="BodyA"/>
      </w:pPr>
    </w:p>
    <w:p w14:paraId="53F05B8D" w14:textId="77777777" w:rsidR="00EF0296" w:rsidRDefault="00F3512D">
      <w:pPr>
        <w:pStyle w:val="BodyA"/>
      </w:pPr>
      <w:r>
        <w:rPr>
          <w:rStyle w:val="NoneA"/>
        </w:rPr>
        <w:t xml:space="preserve">“As supply of residential hotel rooms dwindles, former hotel residents join the homeless on American streets and in city shelters,” </w:t>
      </w:r>
      <w:proofErr w:type="spellStart"/>
      <w:r>
        <w:rPr>
          <w:rStyle w:val="NoneA"/>
        </w:rPr>
        <w:t>Groth</w:t>
      </w:r>
      <w:proofErr w:type="spellEnd"/>
      <w:r>
        <w:rPr>
          <w:rStyle w:val="NoneA"/>
        </w:rPr>
        <w:t xml:space="preserve"> writes. “In part, the present crisis results from misconceptions about who currently lives in hotels and has its roots in a cultural amnesia about this alternative downtown housing style.”</w:t>
      </w:r>
      <w:r>
        <w:rPr>
          <w:rStyle w:val="EndnoteReference"/>
          <w:rFonts w:eastAsia="Helvetica" w:cs="Helvetica"/>
        </w:rPr>
        <w:endnoteReference w:id="16"/>
      </w:r>
    </w:p>
    <w:p w14:paraId="53F05B8E" w14:textId="77777777" w:rsidR="00EF0296" w:rsidRDefault="00EF0296">
      <w:pPr>
        <w:pStyle w:val="BodyA"/>
      </w:pPr>
    </w:p>
    <w:p w14:paraId="53F05B8F" w14:textId="77777777" w:rsidR="00EF0296" w:rsidRDefault="00F3512D">
      <w:pPr>
        <w:pStyle w:val="BodyA"/>
      </w:pPr>
      <w:r>
        <w:rPr>
          <w:rStyle w:val="None"/>
        </w:rPr>
        <w:t>In 1986, 87,000 New Yorkers lived in hotels, according to what was then the largest study of inexpensive hotels undertaken by a city government in the U.S.</w:t>
      </w:r>
      <w:r>
        <w:rPr>
          <w:rStyle w:val="None"/>
          <w:vertAlign w:val="superscript"/>
        </w:rPr>
        <w:endnoteReference w:id="17"/>
      </w:r>
      <w:r>
        <w:rPr>
          <w:rStyle w:val="None"/>
        </w:rPr>
        <w:t xml:space="preserve"> Forty-three percent of all SRO residents in the five boroughs were under 40 years old, while 32 percent were 40 to 60 years old. At the time, a third of all the city</w:t>
      </w:r>
      <w:r>
        <w:rPr>
          <w:rStyle w:val="None"/>
          <w:rFonts w:ascii="Arial Unicode MS" w:hAnsi="Arial Unicode MS"/>
          <w:rtl/>
          <w:lang w:val="ar-SA"/>
        </w:rPr>
        <w:t>’</w:t>
      </w:r>
      <w:r>
        <w:rPr>
          <w:rStyle w:val="None"/>
        </w:rPr>
        <w:t>s SRO tenants were Black, while another quarter were Latino. During the same era in San Francisco, many long-term occupants of residential hotels were retired Filipino or Chinese laborers or newly arrived families from Southeast Asia.</w:t>
      </w:r>
      <w:r>
        <w:rPr>
          <w:rStyle w:val="None"/>
          <w:vertAlign w:val="superscript"/>
        </w:rPr>
        <w:endnoteReference w:id="18"/>
      </w:r>
      <w:r>
        <w:rPr>
          <w:rStyle w:val="None"/>
        </w:rPr>
        <w:t xml:space="preserve"> </w:t>
      </w:r>
    </w:p>
    <w:p w14:paraId="53F05B90" w14:textId="77777777" w:rsidR="00EF0296" w:rsidRDefault="00EF0296">
      <w:pPr>
        <w:pStyle w:val="BodyA"/>
      </w:pPr>
    </w:p>
    <w:p w14:paraId="53F05B91" w14:textId="77777777" w:rsidR="00EF0296" w:rsidRDefault="00F3512D">
      <w:pPr>
        <w:pStyle w:val="BodyA"/>
      </w:pPr>
      <w:r>
        <w:rPr>
          <w:rStyle w:val="NoneA"/>
        </w:rPr>
        <w:t>Before there were large scale residential hotels, there were rooming and lodging houses, often converted from single-family houses, tenement apartment buildings, and even commercial office and warehouse properties.</w:t>
      </w:r>
    </w:p>
    <w:p w14:paraId="53F05B92" w14:textId="77777777" w:rsidR="00EF0296" w:rsidRDefault="00EF0296">
      <w:pPr>
        <w:pStyle w:val="BodyA"/>
      </w:pPr>
    </w:p>
    <w:p w14:paraId="53F05B93" w14:textId="77777777" w:rsidR="00EF0296" w:rsidRDefault="00F3512D">
      <w:pPr>
        <w:pStyle w:val="BodyA"/>
      </w:pPr>
      <w:r>
        <w:rPr>
          <w:rStyle w:val="NoneA"/>
        </w:rPr>
        <w:t xml:space="preserve">“In the relatively chaotic years of urban growth and experimentation between 1870 and 1910, the most casual rooming houses were built inside adapted commercial buildings,” </w:t>
      </w:r>
      <w:proofErr w:type="spellStart"/>
      <w:r>
        <w:rPr>
          <w:rStyle w:val="NoneA"/>
        </w:rPr>
        <w:t>Groth</w:t>
      </w:r>
      <w:proofErr w:type="spellEnd"/>
      <w:r>
        <w:rPr>
          <w:rStyle w:val="NoneA"/>
        </w:rPr>
        <w:t xml:space="preserve"> notes. “Downtown landowners often built two to four-story loft buildings, the ground floor being an open slot of space for a store, restaurant, or saloon. If the owners wanted to lease out the upper floors as a rooming house, they built in hallways and bedrooms but in such a way that they could easily be torn out to leave a clean, simple loft space for future offices, light manufacturing or warehousing should this </w:t>
      </w:r>
      <w:proofErr w:type="gramStart"/>
      <w:r>
        <w:rPr>
          <w:rStyle w:val="NoneA"/>
        </w:rPr>
        <w:t>uses</w:t>
      </w:r>
      <w:proofErr w:type="gramEnd"/>
      <w:r>
        <w:rPr>
          <w:rStyle w:val="NoneA"/>
        </w:rPr>
        <w:t xml:space="preserve"> demand higher rents in the future…Loft buildings filled the entire plot, canceling out the chance for side windows. ‘Dark rooms’ (rooms with no direct light) had windows opening into daylit corridors or into interior stair halls that had skylights over them. Some dark rooms had no windows at all.” </w:t>
      </w:r>
    </w:p>
    <w:p w14:paraId="53F05B94" w14:textId="77777777" w:rsidR="00EF0296" w:rsidRDefault="00EF0296">
      <w:pPr>
        <w:pStyle w:val="BodyA"/>
      </w:pPr>
    </w:p>
    <w:p w14:paraId="53F05B95" w14:textId="77777777" w:rsidR="00EF0296" w:rsidRDefault="00F3512D">
      <w:pPr>
        <w:pStyle w:val="BodyA"/>
      </w:pPr>
      <w:r>
        <w:rPr>
          <w:rStyle w:val="NoneA"/>
        </w:rPr>
        <w:t xml:space="preserve">The Grand Central Hotel in San Francisco was constructed in 1906 to be either office or hotel space, according to </w:t>
      </w:r>
      <w:proofErr w:type="spellStart"/>
      <w:r>
        <w:rPr>
          <w:rStyle w:val="NoneA"/>
        </w:rPr>
        <w:t>Groth</w:t>
      </w:r>
      <w:proofErr w:type="spellEnd"/>
      <w:r>
        <w:rPr>
          <w:rStyle w:val="NoneA"/>
        </w:rPr>
        <w:t>, and hosted both uses.</w:t>
      </w:r>
      <w:r>
        <w:rPr>
          <w:rStyle w:val="EndnoteReference"/>
          <w:rFonts w:eastAsia="Helvetica" w:cs="Helvetica"/>
        </w:rPr>
        <w:endnoteReference w:id="19"/>
      </w:r>
      <w:r>
        <w:rPr>
          <w:rStyle w:val="NoneA"/>
        </w:rPr>
        <w:t xml:space="preserve"> New York City’s Manhattan Hotel—apparently the birthplace of the Manhattan cocktail—served as a hotel for the first 24 years of its existence before being converted to offices in 1920. </w:t>
      </w:r>
    </w:p>
    <w:p w14:paraId="53F05B96" w14:textId="77777777" w:rsidR="00EF0296" w:rsidRDefault="00EF0296">
      <w:pPr>
        <w:pStyle w:val="BodyA"/>
      </w:pPr>
    </w:p>
    <w:p w14:paraId="53F05B97" w14:textId="77777777" w:rsidR="00EF0296" w:rsidRDefault="00F3512D">
      <w:pPr>
        <w:pStyle w:val="BodyA"/>
      </w:pPr>
      <w:r>
        <w:rPr>
          <w:rStyle w:val="NoneA"/>
        </w:rPr>
        <w:t xml:space="preserve">Although many of these buildings were converted back to commercial uses during the 1910s and 1920s, some of them are once again being considered for residential uses, particularly in higher-cost cities like those on the west coast, New York, and Washington, D.C. Of course, many cities no longer allow ‘dark rooms’ without windows, which creates new, expensive challenges for conventional commercial-to-residential conversions and has led some developers to carve out costly internal courtyards to create light wells for windows. </w:t>
      </w:r>
    </w:p>
    <w:p w14:paraId="53F05B98" w14:textId="77777777" w:rsidR="00EF0296" w:rsidRDefault="00EF0296">
      <w:pPr>
        <w:pStyle w:val="BodyA"/>
      </w:pPr>
    </w:p>
    <w:p w14:paraId="53F05B99" w14:textId="77777777" w:rsidR="00EF0296" w:rsidRDefault="00F3512D">
      <w:pPr>
        <w:pStyle w:val="BodyA"/>
      </w:pPr>
      <w:r>
        <w:rPr>
          <w:rStyle w:val="NoneA"/>
        </w:rPr>
        <w:lastRenderedPageBreak/>
        <w:t>On a national scale, homelessness first became an issue in the 1870s, when industrialization, the new national rail system, and the upheaval of the Civil War pushed more people to “ride the rails” in search of jobs.</w:t>
      </w:r>
      <w:r>
        <w:rPr>
          <w:rStyle w:val="EndnoteReference"/>
          <w:rFonts w:eastAsia="Helvetica" w:cs="Helvetica"/>
        </w:rPr>
        <w:endnoteReference w:id="20"/>
      </w:r>
      <w:r>
        <w:rPr>
          <w:rStyle w:val="NoneA"/>
        </w:rPr>
        <w:t xml:space="preserve"> The rise of these itinerant workers—then often called “hobos” or “tramps”—was a driving factor in the development of early rooming houses and residential hotels, particularly at the lower end.</w:t>
      </w:r>
    </w:p>
    <w:p w14:paraId="53F05B9A" w14:textId="77777777" w:rsidR="00EF0296" w:rsidRDefault="00EF0296">
      <w:pPr>
        <w:pStyle w:val="BodyA"/>
        <w:rPr>
          <w:rStyle w:val="NoneA"/>
        </w:rPr>
      </w:pPr>
    </w:p>
    <w:p w14:paraId="53F05B9B" w14:textId="77777777" w:rsidR="00EF0296" w:rsidRDefault="00EF0296">
      <w:pPr>
        <w:pStyle w:val="BodyA"/>
        <w:rPr>
          <w:rStyle w:val="NoneA"/>
        </w:rPr>
      </w:pPr>
    </w:p>
    <w:p w14:paraId="53F05B9C" w14:textId="77777777" w:rsidR="00EF0296" w:rsidRDefault="00F3512D">
      <w:pPr>
        <w:pStyle w:val="BodyA"/>
        <w:rPr>
          <w:b/>
          <w:bCs/>
        </w:rPr>
      </w:pPr>
      <w:r>
        <w:rPr>
          <w:b/>
          <w:bCs/>
        </w:rPr>
        <w:t>Scale of SROs</w:t>
      </w:r>
    </w:p>
    <w:p w14:paraId="53F05B9D" w14:textId="77777777" w:rsidR="00EF0296" w:rsidRDefault="00EF0296">
      <w:pPr>
        <w:pStyle w:val="BodyA"/>
        <w:rPr>
          <w:b/>
          <w:bCs/>
        </w:rPr>
      </w:pPr>
    </w:p>
    <w:p w14:paraId="71196D2F" w14:textId="430B3CD4" w:rsidR="001D79D7" w:rsidRDefault="00F3512D">
      <w:pPr>
        <w:pStyle w:val="BodyA"/>
        <w:rPr>
          <w:rStyle w:val="NoneA"/>
        </w:rPr>
      </w:pPr>
      <w:r>
        <w:rPr>
          <w:rStyle w:val="NoneA"/>
        </w:rPr>
        <w:t xml:space="preserve">Residential hotel construction peaked in the early 20th century in most cities. In San Francisco, there were about 15,000 hotel rooms in 1880, or one hotel room for every 16 people. By 1910, the city had 65,000 hotel rooms, or one for every 10 people—a ratio that remained the same until 1980, according to </w:t>
      </w:r>
      <w:proofErr w:type="spellStart"/>
      <w:r>
        <w:rPr>
          <w:rStyle w:val="NoneA"/>
        </w:rPr>
        <w:t>Groth</w:t>
      </w:r>
      <w:proofErr w:type="spellEnd"/>
      <w:r>
        <w:rPr>
          <w:rStyle w:val="NoneA"/>
        </w:rPr>
        <w:t>. By the 1920s, many cheap hotels in big cities like New York, San Francisco, and Chicago offered a mix of private rooms, large rooms converted to tiny, cubicle-style bedrooms with seven- to eight-foot-high partitions, and open-air wards with rows of cots.</w:t>
      </w:r>
      <w:r>
        <w:rPr>
          <w:rStyle w:val="EndnoteReference"/>
          <w:rFonts w:eastAsia="Helvetica" w:cs="Helvetica"/>
        </w:rPr>
        <w:endnoteReference w:id="21"/>
      </w:r>
      <w:r>
        <w:rPr>
          <w:rStyle w:val="NoneA"/>
        </w:rPr>
        <w:t xml:space="preserve"> At the time, a private room might rent for 25 to 40 cents a night, the semiprivate cubicles and open wards for 15 to 25 cents a night, and a dry space on an open floor in a flophouse might be five to 10 cents a night, according to </w:t>
      </w:r>
      <w:proofErr w:type="spellStart"/>
      <w:r>
        <w:rPr>
          <w:rStyle w:val="NoneA"/>
        </w:rPr>
        <w:t>Groth</w:t>
      </w:r>
      <w:proofErr w:type="spellEnd"/>
      <w:r>
        <w:rPr>
          <w:rStyle w:val="NoneA"/>
        </w:rPr>
        <w:t xml:space="preserve">. 40 cents in 1924 is worth about $7.40 in 2024, implying monthly rent of about $230 for a private room with shared facilities in 2024, affordable even to an individual living somewhat below the federal poverty line. </w:t>
      </w:r>
      <w:r w:rsidR="00F20407">
        <w:rPr>
          <w:rStyle w:val="NoneA"/>
        </w:rPr>
        <w:t>There is also evidence that when contemporary micro-units have been able to be built, they cost far less than conventional apartments.</w:t>
      </w:r>
      <w:r w:rsidR="00F20407" w:rsidRPr="00F20407">
        <w:rPr>
          <w:rStyle w:val="EndnoteReference"/>
          <w:rFonts w:eastAsia="Helvetica" w:cs="Helvetica"/>
        </w:rPr>
        <w:t xml:space="preserve"> </w:t>
      </w:r>
      <w:r w:rsidR="00F20407">
        <w:rPr>
          <w:rStyle w:val="EndnoteReference"/>
          <w:rFonts w:eastAsia="Helvetica" w:cs="Helvetica"/>
        </w:rPr>
        <w:endnoteReference w:id="22"/>
      </w:r>
    </w:p>
    <w:p w14:paraId="66FC3A48" w14:textId="77777777" w:rsidR="001D79D7" w:rsidRDefault="001D79D7">
      <w:pPr>
        <w:pStyle w:val="BodyA"/>
        <w:rPr>
          <w:rStyle w:val="NoneA"/>
        </w:rPr>
      </w:pPr>
    </w:p>
    <w:p w14:paraId="53F05B9E" w14:textId="236B5081" w:rsidR="00EF0296" w:rsidRDefault="00F3512D">
      <w:pPr>
        <w:pStyle w:val="BodyA"/>
      </w:pPr>
      <w:r>
        <w:rPr>
          <w:rStyle w:val="NoneA"/>
        </w:rPr>
        <w:t>Hotels nationwide were also much more likely to host long-term occupants in the late 19th and early 20th century. One 1930 survey of hotels across the country found that long-term residents occupied an average of 20 percent of the rooms in the most expensive third of American hotels, and at least 75 percent of the rooms in the remaining cheaper and mid-priced hotels.</w:t>
      </w:r>
      <w:r w:rsidR="00727DBE">
        <w:rPr>
          <w:rStyle w:val="NoneA"/>
        </w:rPr>
        <w:t xml:space="preserve"> Rooms could be rented by the night, week, or month.</w:t>
      </w:r>
    </w:p>
    <w:p w14:paraId="53F05B9F" w14:textId="77777777" w:rsidR="00EF0296" w:rsidRDefault="00EF0296">
      <w:pPr>
        <w:pStyle w:val="BodyA"/>
      </w:pPr>
    </w:p>
    <w:p w14:paraId="53F05BA0" w14:textId="254CAD1D" w:rsidR="00EF0296" w:rsidRDefault="00F3512D">
      <w:pPr>
        <w:pStyle w:val="BodyA"/>
      </w:pPr>
      <w:r>
        <w:rPr>
          <w:rStyle w:val="NoneA"/>
        </w:rPr>
        <w:t>New York City, for its part, likely has the largest remaining stock of SRO hotels and rooming houses of any city in the country, and it regulates them as part of its rent stabilization program. In 2022, the state housing agency reported 322 regulated SRO buildings with 6,245 hotel units and 4,806 rooming house units, of which half, or 5,300 units, were registered as rent stabilized, according to the New York City Rent Guidelines Board’s 2023 Hotel Report.</w:t>
      </w:r>
      <w:r>
        <w:rPr>
          <w:rStyle w:val="EndnoteReference"/>
          <w:rFonts w:eastAsia="Helvetica" w:cs="Helvetica"/>
        </w:rPr>
        <w:endnoteReference w:id="23"/>
      </w:r>
      <w:r>
        <w:rPr>
          <w:rStyle w:val="NoneA"/>
        </w:rPr>
        <w:t xml:space="preserve"> The median legal rent for these units was $1,018 in 2022, the report found, compared to a median rent of $1,650 for a regular rental apartment in the city at the time, according to the city’s Housing and Vacancy Survey</w:t>
      </w:r>
      <w:r w:rsidR="0036431B">
        <w:rPr>
          <w:rStyle w:val="NoneA"/>
        </w:rPr>
        <w:t xml:space="preserve"> (including public, private, and rent-restricted units)</w:t>
      </w:r>
      <w:r>
        <w:rPr>
          <w:rStyle w:val="NoneA"/>
        </w:rPr>
        <w:t>.</w:t>
      </w:r>
      <w:r>
        <w:rPr>
          <w:rStyle w:val="EndnoteReference"/>
          <w:rFonts w:eastAsia="Helvetica" w:cs="Helvetica"/>
        </w:rPr>
        <w:endnoteReference w:id="24"/>
      </w:r>
      <w:r>
        <w:rPr>
          <w:rStyle w:val="NoneA"/>
        </w:rPr>
        <w:t xml:space="preserve"> The Rent Guidelines Board staff estimated that there may be as many as 17,500 residential hotel units in the city, but many owners fail to register their units properly or are not giving their tenants stabilized leases. A decade ago, the Furman Center at NYU estimated that there may be as many as 30,000 SRO units remaining in the city.</w:t>
      </w:r>
      <w:r>
        <w:rPr>
          <w:rStyle w:val="EndnoteReference"/>
          <w:rFonts w:eastAsia="Helvetica" w:cs="Helvetica"/>
        </w:rPr>
        <w:endnoteReference w:id="25"/>
      </w:r>
      <w:r>
        <w:rPr>
          <w:rStyle w:val="NoneA"/>
        </w:rPr>
        <w:t xml:space="preserve"> </w:t>
      </w:r>
    </w:p>
    <w:p w14:paraId="53F05BA1" w14:textId="77777777" w:rsidR="00EF0296" w:rsidRDefault="00EF0296">
      <w:pPr>
        <w:pStyle w:val="BodyA"/>
      </w:pPr>
    </w:p>
    <w:p w14:paraId="53F05BA2" w14:textId="77777777" w:rsidR="00EF0296" w:rsidRDefault="00F3512D">
      <w:pPr>
        <w:pStyle w:val="BodyA"/>
      </w:pPr>
      <w:r>
        <w:rPr>
          <w:rStyle w:val="NoneA"/>
        </w:rPr>
        <w:t>During the late 19th and early 20th centuries, New York was a proving ground for Progressive Era reformers, who believed that families living in cramped spaces, without private baths and kitchens, was detrimental to society.</w:t>
      </w:r>
      <w:r>
        <w:rPr>
          <w:rStyle w:val="EndnoteReference"/>
          <w:rFonts w:eastAsia="Helvetica" w:cs="Helvetica"/>
        </w:rPr>
        <w:endnoteReference w:id="26"/>
      </w:r>
      <w:r>
        <w:rPr>
          <w:rStyle w:val="NoneA"/>
        </w:rPr>
        <w:t xml:space="preserve"> In 1890, activist and journalist Jacob Riis highlighted the extremely dire conditions in the city’s tenements and rundown lodging houses in </w:t>
      </w:r>
      <w:r>
        <w:rPr>
          <w:rStyle w:val="None"/>
          <w:i/>
          <w:iCs/>
        </w:rPr>
        <w:t>How the Other Half Lives</w:t>
      </w:r>
      <w:r>
        <w:rPr>
          <w:rStyle w:val="NoneA"/>
        </w:rPr>
        <w:t xml:space="preserve">, galvanizing wealthy New Yorkers’ desire both to help the poor and eliminate congregate housing. Riis repeatedly stressed the links between crime and substandard living conditions, often relying on questionable claims from the New York City Police Department. He argued that 80 percent of the crimes in the city were “perpetrated by individuals who have either lost connection with home life, or never had any, or whose homes had ceased to be sufficiently </w:t>
      </w:r>
      <w:r>
        <w:rPr>
          <w:rStyle w:val="NoneA"/>
        </w:rPr>
        <w:lastRenderedPageBreak/>
        <w:t>separate, decent, and desirable to afford what are regarded as ordinary wholesome influences of home and family. The younger criminals seem to come almost exclusively from the worst tenement house districts.”</w:t>
      </w:r>
      <w:r>
        <w:rPr>
          <w:rStyle w:val="EndnoteReference"/>
          <w:rFonts w:eastAsia="Helvetica" w:cs="Helvetica"/>
        </w:rPr>
        <w:endnoteReference w:id="27"/>
      </w:r>
      <w:r>
        <w:rPr>
          <w:rStyle w:val="NoneA"/>
        </w:rPr>
        <w:t xml:space="preserve"> </w:t>
      </w:r>
    </w:p>
    <w:p w14:paraId="53F05BA3" w14:textId="77777777" w:rsidR="00EF0296" w:rsidRDefault="00EF0296">
      <w:pPr>
        <w:pStyle w:val="BodyA"/>
      </w:pPr>
    </w:p>
    <w:p w14:paraId="53F05BA4" w14:textId="77777777" w:rsidR="00EF0296" w:rsidRDefault="00F3512D">
      <w:pPr>
        <w:pStyle w:val="BodyA"/>
      </w:pPr>
      <w:r>
        <w:rPr>
          <w:rStyle w:val="NoneA"/>
        </w:rPr>
        <w:t xml:space="preserve">Subsequently, the city opened the country’s first municipal lodging house (what we would perhaps recognize as a homeless shelter today) in 1896, with seven other large cities following suit by 1902, according to </w:t>
      </w:r>
      <w:proofErr w:type="spellStart"/>
      <w:r>
        <w:rPr>
          <w:rStyle w:val="NoneA"/>
        </w:rPr>
        <w:t>Groth</w:t>
      </w:r>
      <w:proofErr w:type="spellEnd"/>
      <w:r>
        <w:rPr>
          <w:rStyle w:val="NoneA"/>
        </w:rPr>
        <w:t>.</w:t>
      </w:r>
      <w:r>
        <w:rPr>
          <w:rStyle w:val="EndnoteReference"/>
          <w:rFonts w:eastAsia="Helvetica" w:cs="Helvetica"/>
        </w:rPr>
        <w:endnoteReference w:id="28"/>
      </w:r>
      <w:r>
        <w:rPr>
          <w:rStyle w:val="NoneA"/>
        </w:rPr>
        <w:t xml:space="preserve"> Philanthropists also constructed subsidized “worker’s hotels,” such as the Mills Hotel on Bleecker Street, a block-long structure that opened in 1897 with 1,500 five- by seven-foot cubicle rooms.</w:t>
      </w:r>
      <w:r>
        <w:rPr>
          <w:rStyle w:val="EndnoteReference"/>
          <w:rFonts w:eastAsia="Helvetica" w:cs="Helvetica"/>
        </w:rPr>
        <w:endnoteReference w:id="29"/>
      </w:r>
    </w:p>
    <w:p w14:paraId="53F05BA5" w14:textId="77777777" w:rsidR="00EF0296" w:rsidRDefault="00EF0296">
      <w:pPr>
        <w:pStyle w:val="BodyA"/>
      </w:pPr>
    </w:p>
    <w:p w14:paraId="53F05BA6" w14:textId="77777777" w:rsidR="00EF0296" w:rsidRDefault="00F3512D">
      <w:pPr>
        <w:pStyle w:val="BodyA"/>
        <w:rPr>
          <w:rStyle w:val="NoneA"/>
        </w:rPr>
      </w:pPr>
      <w:r>
        <w:rPr>
          <w:rStyle w:val="NoneA"/>
        </w:rPr>
        <w:t xml:space="preserve">The explosion of low-rent, single-room occupancy units in New York City happened during the Great Depression and World War II, when tens of thousands of people moved from the South and Puerto Rico to work in the city’s munitions factories and on major construction projects. By the 1950s, the stock of SRO units numbered more than 200,000, accounting for more than 10 percent of the city’s rental stock, according to a 2013 article by tenant attorneys Brian Sullivan and Jonathan Burke in the </w:t>
      </w:r>
      <w:r>
        <w:rPr>
          <w:rStyle w:val="None"/>
          <w:i/>
          <w:iCs/>
        </w:rPr>
        <w:t>City University of New York Law Review</w:t>
      </w:r>
      <w:r>
        <w:rPr>
          <w:rStyle w:val="NoneA"/>
        </w:rPr>
        <w:t>.</w:t>
      </w:r>
      <w:r>
        <w:rPr>
          <w:rStyle w:val="EndnoteReference"/>
          <w:rFonts w:eastAsia="Helvetica" w:cs="Helvetica"/>
        </w:rPr>
        <w:endnoteReference w:id="30"/>
      </w:r>
      <w:r>
        <w:rPr>
          <w:rStyle w:val="NoneA"/>
        </w:rPr>
        <w:t xml:space="preserve"> As families with children began to replace single adults as the primary occupant of SRO units, activists and local politicians started to push for their destruction, arguing that children shouldn’t be living in such conditions, as both Sullivan/Burke and </w:t>
      </w:r>
      <w:proofErr w:type="spellStart"/>
      <w:r>
        <w:rPr>
          <w:rStyle w:val="NoneA"/>
        </w:rPr>
        <w:t>Groth</w:t>
      </w:r>
      <w:proofErr w:type="spellEnd"/>
      <w:r>
        <w:rPr>
          <w:rStyle w:val="NoneA"/>
        </w:rPr>
        <w:t xml:space="preserve"> note. </w:t>
      </w:r>
    </w:p>
    <w:p w14:paraId="53F05BA7" w14:textId="77777777" w:rsidR="00EF0296" w:rsidRDefault="00EF0296">
      <w:pPr>
        <w:pStyle w:val="BodyA"/>
        <w:rPr>
          <w:rStyle w:val="NoneA"/>
        </w:rPr>
      </w:pPr>
    </w:p>
    <w:p w14:paraId="53F05BA8" w14:textId="77777777" w:rsidR="00EF0296" w:rsidRDefault="00F3512D">
      <w:pPr>
        <w:pStyle w:val="BodyA"/>
        <w:rPr>
          <w:b/>
          <w:bCs/>
        </w:rPr>
      </w:pPr>
      <w:r>
        <w:rPr>
          <w:b/>
          <w:bCs/>
        </w:rPr>
        <w:t>Policy Choices Drive Out SROs and Their Residents</w:t>
      </w:r>
    </w:p>
    <w:p w14:paraId="53F05BA9" w14:textId="77777777" w:rsidR="00EF0296" w:rsidRDefault="00EF0296">
      <w:pPr>
        <w:pStyle w:val="BodyA"/>
      </w:pPr>
    </w:p>
    <w:p w14:paraId="53F05BAA" w14:textId="77777777" w:rsidR="00EF0296" w:rsidRDefault="00F3512D">
      <w:pPr>
        <w:pStyle w:val="BodyA"/>
      </w:pPr>
      <w:r>
        <w:rPr>
          <w:rStyle w:val="NoneA"/>
        </w:rPr>
        <w:t>Beginning in 1955, the city banned the construction of new SRO units, and it undertook a series of code changes aimed at preventing landlords from creating new ones in existing buildings, including creating minimum apartment sizes.</w:t>
      </w:r>
      <w:r>
        <w:rPr>
          <w:rStyle w:val="EndnoteReference"/>
          <w:rFonts w:eastAsia="Helvetica" w:cs="Helvetica"/>
        </w:rPr>
        <w:endnoteReference w:id="31"/>
      </w:r>
      <w:r>
        <w:rPr>
          <w:rStyle w:val="NoneA"/>
        </w:rPr>
        <w:t xml:space="preserve"> The state also rolled out a tax abatement, J-51, that incentivized the conversion of SROs into rent-stabilized apartments.</w:t>
      </w:r>
    </w:p>
    <w:p w14:paraId="53F05BAB" w14:textId="77777777" w:rsidR="00EF0296" w:rsidRDefault="00EF0296">
      <w:pPr>
        <w:pStyle w:val="BodyA"/>
      </w:pPr>
    </w:p>
    <w:p w14:paraId="53F05BAC" w14:textId="77777777" w:rsidR="00EF0296" w:rsidRDefault="00F3512D">
      <w:pPr>
        <w:pStyle w:val="BodyA"/>
      </w:pPr>
      <w:r>
        <w:rPr>
          <w:rStyle w:val="None"/>
          <w:rFonts w:ascii="Arial Unicode MS" w:hAnsi="Arial Unicode MS"/>
          <w:rtl/>
          <w:lang w:val="ar-SA"/>
        </w:rPr>
        <w:t>“</w:t>
      </w:r>
      <w:r>
        <w:rPr>
          <w:rStyle w:val="None"/>
        </w:rPr>
        <w:t>The SRO should not be accepted as lawful housing for any segment of our population,” an aide to Mayor Robert F. Wagner reportedly said in 1965</w:t>
      </w:r>
      <w:r>
        <w:rPr>
          <w:rStyle w:val="None"/>
          <w:vertAlign w:val="superscript"/>
        </w:rPr>
        <w:endnoteReference w:id="32"/>
      </w:r>
      <w:r>
        <w:rPr>
          <w:rStyle w:val="None"/>
        </w:rPr>
        <w:t xml:space="preserve">. </w:t>
      </w:r>
      <w:r>
        <w:rPr>
          <w:rStyle w:val="None"/>
          <w:rFonts w:ascii="Arial Unicode MS" w:hAnsi="Arial Unicode MS"/>
          <w:rtl/>
          <w:lang w:val="ar-SA"/>
        </w:rPr>
        <w:t>“</w:t>
      </w:r>
      <w:r>
        <w:rPr>
          <w:rStyle w:val="None"/>
        </w:rPr>
        <w:t>No community should equate such housing with the acceptable living standards of the 1960s.”</w:t>
      </w:r>
    </w:p>
    <w:p w14:paraId="53F05BAD" w14:textId="77777777" w:rsidR="00EF0296" w:rsidRDefault="00EF0296">
      <w:pPr>
        <w:pStyle w:val="BodyA"/>
      </w:pPr>
    </w:p>
    <w:p w14:paraId="53F05BAE" w14:textId="77777777" w:rsidR="00EF0296" w:rsidRDefault="00F3512D">
      <w:pPr>
        <w:pStyle w:val="BodyA"/>
      </w:pPr>
      <w:r>
        <w:rPr>
          <w:rStyle w:val="NoneA"/>
        </w:rPr>
        <w:t>The tax break kicked SRO conversions into high gear, incentivizing the conversion of 40 residential hotels a year into traditional apartments, according to Sullivan and Burke.</w:t>
      </w:r>
      <w:r>
        <w:rPr>
          <w:rStyle w:val="EndnoteReference"/>
          <w:rFonts w:eastAsia="Helvetica" w:cs="Helvetica"/>
        </w:rPr>
        <w:endnoteReference w:id="33"/>
      </w:r>
      <w:r>
        <w:rPr>
          <w:rStyle w:val="NoneA"/>
        </w:rPr>
        <w:t xml:space="preserve"> By 1985, roughly 100,000 SRO units had been destroyed, they estimate.  </w:t>
      </w:r>
    </w:p>
    <w:p w14:paraId="53F05BAF" w14:textId="77777777" w:rsidR="00EF0296" w:rsidRDefault="00EF0296">
      <w:pPr>
        <w:pStyle w:val="BodyA"/>
      </w:pPr>
    </w:p>
    <w:p w14:paraId="53F05BB0" w14:textId="77777777" w:rsidR="00EF0296" w:rsidRDefault="00F3512D">
      <w:pPr>
        <w:pStyle w:val="BodyA"/>
      </w:pPr>
      <w:r>
        <w:rPr>
          <w:rStyle w:val="NoneA"/>
        </w:rPr>
        <w:t xml:space="preserve">During this era, street homelessness began to explode in New York City and other major cities across the U.S., as the cheapest source of housing in high-cost areas disappeared. A combination of deinstitutionalization of the mentally ill from state hospitals, property abandonment in inner cities, high unemployment, the AIDS </w:t>
      </w:r>
      <w:proofErr w:type="gramStart"/>
      <w:r>
        <w:rPr>
          <w:rStyle w:val="NoneA"/>
        </w:rPr>
        <w:t>epidemic</w:t>
      </w:r>
      <w:proofErr w:type="gramEnd"/>
      <w:r>
        <w:rPr>
          <w:rStyle w:val="NoneA"/>
        </w:rPr>
        <w:t xml:space="preserve"> and a multibillion-dollar decline in federal funding for housing created a perfect storm of policy failures. Cuts to Supplemental Security Income payments—which largely benefit disabled people and those over 65—and a tightening of eligibility for disability payments in the early 1980s created even more financial instability for many struggling Americans.</w:t>
      </w:r>
      <w:r>
        <w:rPr>
          <w:rStyle w:val="EndnoteReference"/>
          <w:rFonts w:eastAsia="Helvetica" w:cs="Helvetica"/>
        </w:rPr>
        <w:endnoteReference w:id="34"/>
      </w:r>
      <w:r>
        <w:rPr>
          <w:rStyle w:val="NoneA"/>
        </w:rPr>
        <w:t xml:space="preserve"> </w:t>
      </w:r>
    </w:p>
    <w:p w14:paraId="53F05BB1" w14:textId="77777777" w:rsidR="00EF0296" w:rsidRDefault="00EF0296">
      <w:pPr>
        <w:pStyle w:val="BodyA"/>
      </w:pPr>
    </w:p>
    <w:p w14:paraId="53F05BB2" w14:textId="77777777" w:rsidR="00EF0296" w:rsidRDefault="00F3512D">
      <w:pPr>
        <w:pStyle w:val="BodyA"/>
      </w:pPr>
      <w:r>
        <w:rPr>
          <w:rStyle w:val="NoneA"/>
        </w:rPr>
        <w:t>A decade later, in the mid-1980s, New York City’s homelessness had gotten so severe that local legislators tried to reverse course on SROs by making it extremely difficult to convert them.</w:t>
      </w:r>
      <w:r>
        <w:rPr>
          <w:rStyle w:val="EndnoteReference"/>
          <w:rFonts w:eastAsia="Helvetica" w:cs="Helvetica"/>
        </w:rPr>
        <w:endnoteReference w:id="35"/>
      </w:r>
      <w:r>
        <w:rPr>
          <w:rStyle w:val="NoneA"/>
        </w:rPr>
        <w:t xml:space="preserve"> They also capped tax benefits for converting SROs to apartments and expanded a different benefit aimed at encouraging SRO rehabilitation.</w:t>
      </w:r>
      <w:r>
        <w:rPr>
          <w:rStyle w:val="EndnoteReference"/>
          <w:rFonts w:eastAsia="Helvetica" w:cs="Helvetica"/>
        </w:rPr>
        <w:endnoteReference w:id="36"/>
      </w:r>
      <w:r>
        <w:rPr>
          <w:rStyle w:val="NoneA"/>
        </w:rPr>
        <w:t xml:space="preserve"> In 1985, the city even banned the conversion, alteration, or demolition of SROs, along with a ban on warehousing SRO units. Four years later, the New York Court of Appeals ruled that the ban was unconstitutional.</w:t>
      </w:r>
      <w:r>
        <w:rPr>
          <w:rStyle w:val="EndnoteReference"/>
          <w:rFonts w:eastAsia="Helvetica" w:cs="Helvetica"/>
        </w:rPr>
        <w:endnoteReference w:id="37"/>
      </w:r>
      <w:r>
        <w:rPr>
          <w:rStyle w:val="NoneA"/>
        </w:rPr>
        <w:t xml:space="preserve"> </w:t>
      </w:r>
    </w:p>
    <w:p w14:paraId="53F05BB3" w14:textId="77777777" w:rsidR="00EF0296" w:rsidRDefault="00EF0296">
      <w:pPr>
        <w:pStyle w:val="BodyA"/>
      </w:pPr>
    </w:p>
    <w:p w14:paraId="53F05BB4" w14:textId="77777777" w:rsidR="00EF0296" w:rsidRDefault="00F3512D">
      <w:pPr>
        <w:pStyle w:val="BodyA"/>
      </w:pPr>
      <w:r>
        <w:rPr>
          <w:rStyle w:val="NoneA"/>
        </w:rPr>
        <w:lastRenderedPageBreak/>
        <w:t xml:space="preserve">City officials also crafted an anti-harassment policy, which required that landlords looking to convert SROs furnish detailed records and contact info for tenants going back at least a decade to prove they hadn’t harassed them into moving out, or to prove that the building had been vacant for several years. It mostly served to accelerate the decay of the city’s most neglected housing stock. The program, known as a Certification of Non-Harassment (CONH), was </w:t>
      </w:r>
      <w:proofErr w:type="gramStart"/>
      <w:r>
        <w:rPr>
          <w:rStyle w:val="NoneA"/>
        </w:rPr>
        <w:t>changed</w:t>
      </w:r>
      <w:proofErr w:type="gramEnd"/>
      <w:r>
        <w:rPr>
          <w:rStyle w:val="NoneA"/>
        </w:rPr>
        <w:t xml:space="preserve"> and expanded in 2018 to include buildings that are considered distressed by the city, either due to a high number of code violations or a court finding of tenant harassment. Any landlord who wants to convert or renovate an SRO in New York City must apply to the city’s housing department and get a CONH before moving forward with construction. Ultimately, neither the city nor the state has taken effective steps to rehabilitate the SRO stock in the five boroughs, nor have they allowed new SRO units to be built outside of a very limited context for supportive housing.</w:t>
      </w:r>
      <w:r>
        <w:rPr>
          <w:rStyle w:val="EndnoteReference"/>
          <w:rFonts w:eastAsia="Helvetica" w:cs="Helvetica"/>
        </w:rPr>
        <w:endnoteReference w:id="38"/>
      </w:r>
      <w:r>
        <w:rPr>
          <w:rStyle w:val="NoneA"/>
        </w:rPr>
        <w:t xml:space="preserve"> </w:t>
      </w:r>
    </w:p>
    <w:p w14:paraId="53F05BB5" w14:textId="77777777" w:rsidR="00EF0296" w:rsidRDefault="00EF0296">
      <w:pPr>
        <w:pStyle w:val="BodyA"/>
      </w:pPr>
    </w:p>
    <w:p w14:paraId="53F05BB6" w14:textId="77777777" w:rsidR="00EF0296" w:rsidRDefault="00F3512D">
      <w:pPr>
        <w:pStyle w:val="BodyA"/>
      </w:pPr>
      <w:r>
        <w:rPr>
          <w:rStyle w:val="None"/>
        </w:rPr>
        <w:t>“The city</w:t>
      </w:r>
      <w:r>
        <w:rPr>
          <w:rStyle w:val="None"/>
          <w:rFonts w:ascii="Arial Unicode MS" w:hAnsi="Arial Unicode MS"/>
          <w:rtl/>
          <w:lang w:val="ar-SA"/>
        </w:rPr>
        <w:t>’</w:t>
      </w:r>
      <w:r>
        <w:rPr>
          <w:rStyle w:val="None"/>
        </w:rPr>
        <w:t xml:space="preserve">s decimation of SRO housing has amplified the ongoing housing crisis, </w:t>
      </w:r>
      <w:proofErr w:type="gramStart"/>
      <w:r>
        <w:rPr>
          <w:rStyle w:val="None"/>
        </w:rPr>
        <w:t>constricting</w:t>
      </w:r>
      <w:proofErr w:type="gramEnd"/>
      <w:r>
        <w:rPr>
          <w:rStyle w:val="None"/>
        </w:rPr>
        <w:t xml:space="preserve"> the low-income housing market and contributing to the ballooning homelessness problem,” Sullivan and Burke write. “The overall effect on poor and working-class residents has been tragic. The current dearth of SRO units is not the inevitable result of impersonal or unalterable market forces. City policy, acting dynamically with market forces, is responsible for the crisis, and a change in policy can undo the damage. If [the] city and state are serious about confronting New York City</w:t>
      </w:r>
      <w:r>
        <w:rPr>
          <w:rStyle w:val="None"/>
          <w:rFonts w:ascii="Arial Unicode MS" w:hAnsi="Arial Unicode MS"/>
          <w:rtl/>
          <w:lang w:val="ar-SA"/>
        </w:rPr>
        <w:t>’</w:t>
      </w:r>
      <w:r>
        <w:rPr>
          <w:rStyle w:val="None"/>
        </w:rPr>
        <w:t>s housing crisis, existing SRO policies need to be changed and their legacy confronted.”</w:t>
      </w:r>
      <w:r>
        <w:rPr>
          <w:rStyle w:val="None"/>
          <w:vertAlign w:val="superscript"/>
        </w:rPr>
        <w:endnoteReference w:id="39"/>
      </w:r>
    </w:p>
    <w:p w14:paraId="53F05BB7" w14:textId="77777777" w:rsidR="00EF0296" w:rsidRDefault="00EF0296">
      <w:pPr>
        <w:pStyle w:val="BodyA"/>
      </w:pPr>
    </w:p>
    <w:p w14:paraId="53F05BB8" w14:textId="77777777" w:rsidR="00EF0296" w:rsidRDefault="00F3512D">
      <w:pPr>
        <w:pStyle w:val="BodyA"/>
      </w:pPr>
      <w:r>
        <w:rPr>
          <w:rStyle w:val="NoneA"/>
        </w:rPr>
        <w:t xml:space="preserve">Of course, New York wasn’t alone in encouraging—or actively engaging in—the demolition of SROs during the mid-20th century. Urban renewal and slum clearance programs in the 1960s ended up leading to the destruction of residential hotel districts in San Diego and San Francisco, for example. During the 1960s, San Francisco decided to redevelop South of Market, making way for what was eventually the Moscone Convention Center and Yerba Buena Gardens. </w:t>
      </w:r>
      <w:proofErr w:type="spellStart"/>
      <w:r>
        <w:rPr>
          <w:rStyle w:val="NoneA"/>
        </w:rPr>
        <w:t>Groth</w:t>
      </w:r>
      <w:proofErr w:type="spellEnd"/>
      <w:r>
        <w:rPr>
          <w:rStyle w:val="NoneA"/>
        </w:rPr>
        <w:t xml:space="preserve"> notes that 41 percent of the 240 families in the urban renewal area lived in hotels</w:t>
      </w:r>
      <w:r>
        <w:rPr>
          <w:rStyle w:val="EndnoteReference"/>
          <w:rFonts w:eastAsia="Helvetica" w:cs="Helvetica"/>
        </w:rPr>
        <w:endnoteReference w:id="40"/>
      </w:r>
      <w:r>
        <w:rPr>
          <w:rStyle w:val="NoneA"/>
        </w:rPr>
        <w:t>. Later studies estimate 40,000 residential hotel rooms were destroyed by slum clearance in San Francisco, though the city didn’t maintain public records on the total.</w:t>
      </w:r>
      <w:r>
        <w:rPr>
          <w:rStyle w:val="EndnoteReference"/>
          <w:rFonts w:eastAsia="Helvetica" w:cs="Helvetica"/>
        </w:rPr>
        <w:endnoteReference w:id="41"/>
      </w:r>
      <w:r>
        <w:rPr>
          <w:rStyle w:val="NoneA"/>
        </w:rPr>
        <w:t xml:space="preserve"> </w:t>
      </w:r>
    </w:p>
    <w:p w14:paraId="53F05BB9" w14:textId="77777777" w:rsidR="00EF0296" w:rsidRDefault="00EF0296">
      <w:pPr>
        <w:pStyle w:val="BodyA"/>
        <w:rPr>
          <w:rStyle w:val="NoneA"/>
        </w:rPr>
      </w:pPr>
    </w:p>
    <w:p w14:paraId="53F05BBA" w14:textId="77777777" w:rsidR="00EF0296" w:rsidRDefault="00EF0296">
      <w:pPr>
        <w:pStyle w:val="BodyA"/>
        <w:rPr>
          <w:rStyle w:val="NoneA"/>
        </w:rPr>
      </w:pPr>
    </w:p>
    <w:p w14:paraId="53F05BBB" w14:textId="77777777" w:rsidR="00EF0296" w:rsidRPr="00931B5B" w:rsidRDefault="00F3512D">
      <w:pPr>
        <w:pStyle w:val="BodyA"/>
        <w:rPr>
          <w:rStyle w:val="NoneA"/>
          <w:b/>
          <w:bCs/>
        </w:rPr>
      </w:pPr>
      <w:r w:rsidRPr="00931B5B">
        <w:rPr>
          <w:rStyle w:val="NoneA"/>
          <w:b/>
          <w:bCs/>
        </w:rPr>
        <w:t>Recognition of SROs’ Role in Housing</w:t>
      </w:r>
    </w:p>
    <w:p w14:paraId="53F05BBC" w14:textId="77777777" w:rsidR="00EF0296" w:rsidRDefault="00EF0296">
      <w:pPr>
        <w:pStyle w:val="BodyA"/>
      </w:pPr>
    </w:p>
    <w:p w14:paraId="53F05BBD" w14:textId="77777777" w:rsidR="00EF0296" w:rsidRDefault="00F3512D">
      <w:pPr>
        <w:pStyle w:val="BodyA"/>
      </w:pPr>
      <w:r>
        <w:rPr>
          <w:rStyle w:val="NoneA"/>
        </w:rPr>
        <w:t>But by the late 1960s, housing activists and some local officials began pushing to preserve hotels. In San Francisco, SRO tenants successfully won a restraining order against the city’s urban renewal agency, arguing that San Francisco did not have adequate replacement housing that they could afford. The courts forced the San Francisco Renewal Agency to develop 1,500 units of new housing in the area to replace what was demolished.</w:t>
      </w:r>
      <w:r>
        <w:rPr>
          <w:rStyle w:val="EndnoteReference"/>
          <w:rFonts w:eastAsia="Helvetica" w:cs="Helvetica"/>
        </w:rPr>
        <w:endnoteReference w:id="42"/>
      </w:r>
    </w:p>
    <w:p w14:paraId="53F05BBE" w14:textId="77777777" w:rsidR="00EF0296" w:rsidRDefault="00EF0296">
      <w:pPr>
        <w:pStyle w:val="BodyA"/>
      </w:pPr>
    </w:p>
    <w:p w14:paraId="53F05BBF" w14:textId="77777777" w:rsidR="00EF0296" w:rsidRDefault="00F3512D">
      <w:pPr>
        <w:pStyle w:val="BodyA"/>
      </w:pPr>
      <w:r>
        <w:rPr>
          <w:rStyle w:val="NoneA"/>
        </w:rPr>
        <w:t>Legislation also began to shift in favor of SROs at the federal level, albeit slowly. Beginning in 1970, the federal Uniform Relocation Act also started requiring that federally funded redevelopment agencies provide $200 a month to each SRO household displaced by urban renewal, plus up to $83 a month for four years if the new housing cost more than 25 percent of the individual’s income. Congress also authorized the use of federal housing subsidies for SROs in 1981, though federal officials shrank the HUD budget during that same time period, leaving property owners and tenants little time to benefit from the new funding source.</w:t>
      </w:r>
      <w:r>
        <w:rPr>
          <w:rStyle w:val="EndnoteReference"/>
          <w:rFonts w:eastAsia="Helvetica" w:cs="Helvetica"/>
        </w:rPr>
        <w:endnoteReference w:id="43"/>
      </w:r>
      <w:r>
        <w:rPr>
          <w:rStyle w:val="NoneA"/>
        </w:rPr>
        <w:t xml:space="preserve"> HUD’s budget went from $29 billion in 1976 to $17 billion in 1990, so subsidies dropped while housing costs </w:t>
      </w:r>
      <w:proofErr w:type="gramStart"/>
      <w:r>
        <w:rPr>
          <w:rStyle w:val="NoneA"/>
        </w:rPr>
        <w:t>rose</w:t>
      </w:r>
      <w:proofErr w:type="gramEnd"/>
      <w:r>
        <w:rPr>
          <w:rStyle w:val="NoneA"/>
        </w:rPr>
        <w:t xml:space="preserve"> and the naturally affordable stock of SROs shrank.</w:t>
      </w:r>
      <w:r>
        <w:rPr>
          <w:rStyle w:val="EndnoteReference"/>
          <w:rFonts w:eastAsia="Helvetica" w:cs="Helvetica"/>
        </w:rPr>
        <w:endnoteReference w:id="44"/>
      </w:r>
    </w:p>
    <w:p w14:paraId="53F05BC0" w14:textId="77777777" w:rsidR="00EF0296" w:rsidRDefault="00EF0296">
      <w:pPr>
        <w:pStyle w:val="BodyA"/>
      </w:pPr>
    </w:p>
    <w:p w14:paraId="53F05BC1" w14:textId="77777777" w:rsidR="00EF0296" w:rsidRDefault="00F3512D">
      <w:pPr>
        <w:pStyle w:val="BodyA"/>
      </w:pPr>
      <w:r>
        <w:rPr>
          <w:rStyle w:val="NoneA"/>
        </w:rPr>
        <w:lastRenderedPageBreak/>
        <w:t xml:space="preserve">In New York City, Mayor Abraham </w:t>
      </w:r>
      <w:proofErr w:type="spellStart"/>
      <w:r>
        <w:rPr>
          <w:rStyle w:val="NoneA"/>
        </w:rPr>
        <w:t>Beame</w:t>
      </w:r>
      <w:proofErr w:type="spellEnd"/>
      <w:r>
        <w:rPr>
          <w:rStyle w:val="NoneA"/>
        </w:rPr>
        <w:t xml:space="preserve"> opened the </w:t>
      </w:r>
      <w:proofErr w:type="gramStart"/>
      <w:r>
        <w:rPr>
          <w:rStyle w:val="NoneA"/>
        </w:rPr>
        <w:t>Mayor’s</w:t>
      </w:r>
      <w:proofErr w:type="gramEnd"/>
      <w:r>
        <w:rPr>
          <w:rStyle w:val="NoneA"/>
        </w:rPr>
        <w:t xml:space="preserve"> office of SRO Housing in 1973. The office oversaw inspections and regulation of SRO buildings, and helped advocate for SRO tenants facing eviction, harassment, or substandard living conditions. New York’s mass deinstitutionalization of psychiatric patients also coincided with the accelerated destruction of SRO units between the 1960s and 1980s, releasing thousands of people into a city that had a rapidly shrinking stock of units affordable to low-income people. Between 1955 and 1992, New York’s in-patient psychiatric population fell from 90,000 to less than 13,000.</w:t>
      </w:r>
      <w:r>
        <w:rPr>
          <w:rStyle w:val="EndnoteReference"/>
          <w:rFonts w:eastAsia="Helvetica" w:cs="Helvetica"/>
        </w:rPr>
        <w:endnoteReference w:id="45"/>
      </w:r>
      <w:r>
        <w:rPr>
          <w:rStyle w:val="NoneA"/>
        </w:rPr>
        <w:t xml:space="preserve"> </w:t>
      </w:r>
    </w:p>
    <w:p w14:paraId="53F05BC2" w14:textId="77777777" w:rsidR="00EF0296" w:rsidRDefault="00EF0296">
      <w:pPr>
        <w:pStyle w:val="BodyA"/>
      </w:pPr>
    </w:p>
    <w:p w14:paraId="53F05BC3" w14:textId="77777777" w:rsidR="00EF0296" w:rsidRDefault="00F3512D">
      <w:pPr>
        <w:pStyle w:val="BodyA"/>
      </w:pPr>
      <w:proofErr w:type="spellStart"/>
      <w:r>
        <w:rPr>
          <w:rStyle w:val="NoneA"/>
        </w:rPr>
        <w:t>Groth</w:t>
      </w:r>
      <w:proofErr w:type="spellEnd"/>
      <w:r>
        <w:rPr>
          <w:rStyle w:val="NoneA"/>
        </w:rPr>
        <w:t xml:space="preserve"> points to a similar shift in California, where the population residing in state mental hospitals declined from 37,000 to 7,000 between 1960 and 1973.</w:t>
      </w:r>
      <w:r>
        <w:rPr>
          <w:rStyle w:val="EndnoteReference"/>
          <w:rFonts w:eastAsia="Helvetica" w:cs="Helvetica"/>
        </w:rPr>
        <w:endnoteReference w:id="46"/>
      </w:r>
      <w:r>
        <w:rPr>
          <w:rStyle w:val="NoneA"/>
        </w:rPr>
        <w:t xml:space="preserve"> The state had promised to develop halfway houses and group homes to fill the gap for former residents, but few were built. Instead, many ended up competing for a cheap efficiency unit or SRO in a higher-cost city like San Francisco, Los Angeles, or San Diego. Nationwide, the number of patients living in state hospitals dropped from 535,000 in 1960 to 137,000 in 1980.</w:t>
      </w:r>
      <w:r>
        <w:rPr>
          <w:rStyle w:val="EndnoteReference"/>
          <w:rFonts w:eastAsia="Helvetica" w:cs="Helvetica"/>
        </w:rPr>
        <w:endnoteReference w:id="47"/>
      </w:r>
      <w:r>
        <w:rPr>
          <w:rStyle w:val="NoneA"/>
        </w:rPr>
        <w:t xml:space="preserve"> </w:t>
      </w:r>
    </w:p>
    <w:p w14:paraId="53F05BC4" w14:textId="77777777" w:rsidR="00EF0296" w:rsidRDefault="00EF0296">
      <w:pPr>
        <w:pStyle w:val="BodyA"/>
      </w:pPr>
    </w:p>
    <w:p w14:paraId="53F05BC5" w14:textId="77777777" w:rsidR="00EF0296" w:rsidRDefault="00F3512D">
      <w:pPr>
        <w:pStyle w:val="BodyA"/>
      </w:pPr>
      <w:r>
        <w:rPr>
          <w:rStyle w:val="NoneA"/>
        </w:rPr>
        <w:t>As the decades wore on, elderly people on fixed incomes have remained one of the largest populations of SRO tenants. When 330 sheriffs and policemen evicted 40 elderly Filipino and Chinese SRO residents from the International Hotel in 1977, it triggered outcry and concern about elderly hotel residents, as well as a congressional report.</w:t>
      </w:r>
      <w:r>
        <w:rPr>
          <w:rStyle w:val="EndnoteReference"/>
          <w:rFonts w:eastAsia="Helvetica" w:cs="Helvetica"/>
        </w:rPr>
        <w:endnoteReference w:id="48"/>
      </w:r>
    </w:p>
    <w:p w14:paraId="53F05BC6" w14:textId="77777777" w:rsidR="00EF0296" w:rsidRDefault="00EF0296">
      <w:pPr>
        <w:pStyle w:val="BodyA"/>
      </w:pPr>
    </w:p>
    <w:p w14:paraId="53F05BC7" w14:textId="77777777" w:rsidR="00EF0296" w:rsidRDefault="00F3512D">
      <w:pPr>
        <w:pStyle w:val="BodyA"/>
      </w:pPr>
      <w:r>
        <w:rPr>
          <w:rStyle w:val="NoneA"/>
        </w:rPr>
        <w:t>“SRO housing is the norm for many residents of all ages within San Francisco's Chinatown, representing more than half of that neighborhood's housing stock,” the report noted at the time. “The survival of their older residents, many of whom do not speak English, may well depend on continued access to neighborhood stores and services.”</w:t>
      </w:r>
    </w:p>
    <w:p w14:paraId="53F05BC8" w14:textId="77777777" w:rsidR="00EF0296" w:rsidRDefault="00EF0296">
      <w:pPr>
        <w:pStyle w:val="BodyA"/>
      </w:pPr>
    </w:p>
    <w:p w14:paraId="53F05BC9" w14:textId="77777777" w:rsidR="00EF0296" w:rsidRDefault="00F3512D">
      <w:pPr>
        <w:pStyle w:val="BodyA"/>
      </w:pPr>
      <w:r>
        <w:rPr>
          <w:rStyle w:val="NoneA"/>
        </w:rPr>
        <w:t xml:space="preserve">The demolition of the International Hotel became emblematic of how cities and states were destroying SROs as part of urban renewal efforts. </w:t>
      </w:r>
    </w:p>
    <w:p w14:paraId="53F05BCA" w14:textId="77777777" w:rsidR="00EF0296" w:rsidRDefault="00EF0296">
      <w:pPr>
        <w:pStyle w:val="BodyA"/>
      </w:pPr>
    </w:p>
    <w:p w14:paraId="53F05BCB" w14:textId="77777777" w:rsidR="00EF0296" w:rsidRDefault="00F3512D">
      <w:pPr>
        <w:pStyle w:val="BodyA"/>
      </w:pPr>
      <w:r>
        <w:rPr>
          <w:rStyle w:val="NoneA"/>
        </w:rPr>
        <w:t>“The gutting of old hotels in favor of condominiums and high-rent apartments sent thousands of residents into the streets in search for other low-rent accommodations,” the congressional report’s authors wrote. “To many, the solution to the problems associated with SRO hotels would be solved by simply getting rid of the hotels. Such has not proven to be the case.”</w:t>
      </w:r>
    </w:p>
    <w:p w14:paraId="53F05BCC" w14:textId="77777777" w:rsidR="00EF0296" w:rsidRDefault="00EF0296">
      <w:pPr>
        <w:pStyle w:val="BodyA"/>
      </w:pPr>
    </w:p>
    <w:p w14:paraId="53F05BCD" w14:textId="77777777" w:rsidR="00EF0296" w:rsidRDefault="00F3512D">
      <w:pPr>
        <w:pStyle w:val="BodyA"/>
      </w:pPr>
      <w:r>
        <w:rPr>
          <w:rStyle w:val="NoneA"/>
        </w:rPr>
        <w:t>Seattle, for example, demolished 50 percent of its downtown SRO and apartment units between 1960 and 1973, eliminating 16,200 apartments from its rental stock.</w:t>
      </w:r>
      <w:r>
        <w:rPr>
          <w:rStyle w:val="EndnoteReference"/>
          <w:rFonts w:eastAsia="Helvetica" w:cs="Helvetica"/>
        </w:rPr>
        <w:endnoteReference w:id="49"/>
      </w:r>
      <w:r>
        <w:rPr>
          <w:rStyle w:val="NoneA"/>
        </w:rPr>
        <w:t xml:space="preserve"> The city knocked down 5,000 SRO units during its enforcement of the Ozark fire code in the early 1970s, which was put in place after a fire destroyed the five-story, 60-unit Ozark Hotel in downtown Seattle in 1970, killing 20 people and injuring 14 others.</w:t>
      </w:r>
      <w:r>
        <w:rPr>
          <w:rStyle w:val="EndnoteReference"/>
          <w:rFonts w:eastAsia="Helvetica" w:cs="Helvetica"/>
        </w:rPr>
        <w:endnoteReference w:id="50"/>
      </w:r>
      <w:r>
        <w:rPr>
          <w:rStyle w:val="NoneA"/>
        </w:rPr>
        <w:t xml:space="preserve"> The Seattle City Council passed even more restrictions a year later when another downtown hotel burned, leading to owners of SRO properties to abandon their buildings rather than incur the costs to maintain them.</w:t>
      </w:r>
      <w:r>
        <w:rPr>
          <w:rStyle w:val="EndnoteReference"/>
          <w:rFonts w:eastAsia="Helvetica" w:cs="Helvetica"/>
        </w:rPr>
        <w:endnoteReference w:id="51"/>
      </w:r>
      <w:r>
        <w:rPr>
          <w:rStyle w:val="NoneA"/>
        </w:rPr>
        <w:t xml:space="preserve"> Even in 1982, nearly 4,000 units sat vacant in downtown Seattle out of 13,093 apartments.</w:t>
      </w:r>
      <w:r>
        <w:rPr>
          <w:rStyle w:val="EndnoteReference"/>
          <w:rFonts w:eastAsia="Helvetica" w:cs="Helvetica"/>
        </w:rPr>
        <w:endnoteReference w:id="52"/>
      </w:r>
      <w:r>
        <w:rPr>
          <w:rStyle w:val="NoneA"/>
        </w:rPr>
        <w:t xml:space="preserve"> Between 1960 and 1978, 38 percent of the population in the area left, and half of those who remained in 1978 were 60 or older, according to the 1978 congressional report. The writeup also points to several other mid-sized cities—including Portland, Oregon; San Diego; and Denver—where at least half of SRO residents were over 60 at the time. </w:t>
      </w:r>
    </w:p>
    <w:p w14:paraId="53F05BCE" w14:textId="77777777" w:rsidR="00EF0296" w:rsidRDefault="00EF0296">
      <w:pPr>
        <w:pStyle w:val="BodyA"/>
        <w:rPr>
          <w:rStyle w:val="NoneA"/>
        </w:rPr>
      </w:pPr>
    </w:p>
    <w:p w14:paraId="53F05BCF" w14:textId="77777777" w:rsidR="00EF0296" w:rsidRDefault="00F3512D">
      <w:pPr>
        <w:pStyle w:val="BodyA"/>
        <w:rPr>
          <w:b/>
          <w:bCs/>
        </w:rPr>
      </w:pPr>
      <w:r>
        <w:rPr>
          <w:b/>
          <w:bCs/>
        </w:rPr>
        <w:t>Current Efforts to Relegalize Low-Cost Housing</w:t>
      </w:r>
    </w:p>
    <w:p w14:paraId="225DD6D2" w14:textId="77777777" w:rsidR="00931B5B" w:rsidRDefault="00931B5B">
      <w:pPr>
        <w:pStyle w:val="BodyA"/>
        <w:rPr>
          <w:rStyle w:val="NoneA"/>
        </w:rPr>
      </w:pPr>
    </w:p>
    <w:p w14:paraId="53F05BD0" w14:textId="25DCCAD3" w:rsidR="00EF0296" w:rsidRDefault="00F3512D">
      <w:pPr>
        <w:pStyle w:val="BodyA"/>
      </w:pPr>
      <w:r>
        <w:rPr>
          <w:rStyle w:val="NoneA"/>
        </w:rPr>
        <w:t>However, Washington State has been reversing course on its 1970s housing policy for a few years. Its state legislature passed a bill</w:t>
      </w:r>
      <w:r>
        <w:rPr>
          <w:rStyle w:val="EndnoteReference"/>
          <w:rFonts w:eastAsia="Helvetica" w:cs="Helvetica"/>
        </w:rPr>
        <w:endnoteReference w:id="53"/>
      </w:r>
      <w:r>
        <w:rPr>
          <w:rStyle w:val="NoneA"/>
        </w:rPr>
        <w:t xml:space="preserve"> in 2024 requiring its cities to allow new ‘micro-units’ in buildings with six units or more wherever multi-family housing is allowed, beginning in late 2025. </w:t>
      </w:r>
      <w:r>
        <w:rPr>
          <w:rStyle w:val="NoneA"/>
        </w:rPr>
        <w:lastRenderedPageBreak/>
        <w:t>It would allow small units with shared kitchens and eliminate parking requirements for micro-unit buildings constructed within half a mile of a major transit stop and otherwise limit parking mandates to one spot per four units.</w:t>
      </w:r>
      <w:r>
        <w:rPr>
          <w:rStyle w:val="EndnoteReference"/>
          <w:rFonts w:eastAsia="Helvetica" w:cs="Helvetica"/>
        </w:rPr>
        <w:endnoteReference w:id="54"/>
      </w:r>
    </w:p>
    <w:p w14:paraId="53F05BD1" w14:textId="77777777" w:rsidR="00EF0296" w:rsidRDefault="00EF0296">
      <w:pPr>
        <w:pStyle w:val="BodyA"/>
      </w:pPr>
    </w:p>
    <w:p w14:paraId="53F05BD2" w14:textId="77777777" w:rsidR="00EF0296" w:rsidRDefault="00F3512D">
      <w:pPr>
        <w:pStyle w:val="BodyA"/>
      </w:pPr>
      <w:r>
        <w:rPr>
          <w:rStyle w:val="None"/>
        </w:rPr>
        <w:t>"Government can</w:t>
      </w:r>
      <w:r>
        <w:rPr>
          <w:rStyle w:val="None"/>
          <w:rFonts w:ascii="Arial Unicode MS" w:hAnsi="Arial Unicode MS"/>
          <w:rtl/>
          <w:lang w:val="ar-SA"/>
        </w:rPr>
        <w:t>’</w:t>
      </w:r>
      <w:r>
        <w:rPr>
          <w:rStyle w:val="None"/>
        </w:rPr>
        <w:t>t close that gap all by itself, it has to have for-profit, market-rate housing built all at the same time," Rep. Mia Gregerson, the bill’s sponsor, told the AP in March.</w:t>
      </w:r>
      <w:r>
        <w:rPr>
          <w:rStyle w:val="None"/>
          <w:vertAlign w:val="superscript"/>
        </w:rPr>
        <w:endnoteReference w:id="55"/>
      </w:r>
      <w:r>
        <w:rPr>
          <w:rStyle w:val="None"/>
        </w:rPr>
        <w:t xml:space="preserve"> </w:t>
      </w:r>
    </w:p>
    <w:p w14:paraId="53F05BD3" w14:textId="77777777" w:rsidR="00EF0296" w:rsidRDefault="00EF0296">
      <w:pPr>
        <w:pStyle w:val="BodyA"/>
      </w:pPr>
    </w:p>
    <w:p w14:paraId="53F05BD4" w14:textId="501258F1" w:rsidR="00EF0296" w:rsidRDefault="00F3512D">
      <w:pPr>
        <w:pStyle w:val="BodyA"/>
      </w:pPr>
      <w:r>
        <w:rPr>
          <w:rStyle w:val="NoneA"/>
        </w:rPr>
        <w:t xml:space="preserve">Oregon took the same step </w:t>
      </w:r>
      <w:r w:rsidR="00931B5B">
        <w:rPr>
          <w:rStyle w:val="NoneA"/>
        </w:rPr>
        <w:t>in 2023</w:t>
      </w:r>
      <w:r>
        <w:rPr>
          <w:rStyle w:val="NoneA"/>
        </w:rPr>
        <w:t>, passing a bill that allowed SRO units in areas zoned for residential use in cities across the state, including up to six SRO apartments on a parcel zoned for single-family use.</w:t>
      </w:r>
      <w:r>
        <w:rPr>
          <w:rStyle w:val="EndnoteReference"/>
          <w:rFonts w:eastAsia="Helvetica" w:cs="Helvetica"/>
        </w:rPr>
        <w:endnoteReference w:id="56"/>
      </w:r>
      <w:r>
        <w:rPr>
          <w:rStyle w:val="NoneA"/>
        </w:rPr>
        <w:t xml:space="preserve"> Hawaii also passed legislation in 2024 (HB 2090) requiring jurisdictions to allow commercial properties to be converted into SROs, and Montana in 2023 passed a law (SB 382) creating a menu for its cities and towns to choose from to allow more housing, with permitting SROs as one of the options.</w:t>
      </w:r>
    </w:p>
    <w:p w14:paraId="53F05BD5" w14:textId="77777777" w:rsidR="00EF0296" w:rsidRDefault="00EF0296">
      <w:pPr>
        <w:pStyle w:val="BodyA"/>
      </w:pPr>
    </w:p>
    <w:p w14:paraId="53F05BD6" w14:textId="77777777" w:rsidR="00EF0296" w:rsidRDefault="00F3512D">
      <w:pPr>
        <w:pStyle w:val="BodyA"/>
      </w:pPr>
      <w:r>
        <w:rPr>
          <w:rStyle w:val="NoneA"/>
        </w:rPr>
        <w:t>The aim of these bills is to fill a gap in the rental market for the poorest people in pricey cities and towns. The U.S. has a shortage of 7.3 million rental units affordable to extremely low-income people, or those who earn incomes at or below the federal poverty line, according to the National Low Income Housing Coalition.</w:t>
      </w:r>
      <w:r>
        <w:rPr>
          <w:rStyle w:val="EndnoteReference"/>
          <w:rFonts w:eastAsia="Helvetica" w:cs="Helvetica"/>
        </w:rPr>
        <w:endnoteReference w:id="57"/>
      </w:r>
      <w:r>
        <w:rPr>
          <w:rStyle w:val="NoneA"/>
        </w:rPr>
        <w:t xml:space="preserve"> That’s $15,060 for a single person or $31,200 for a family of four. Those extremely low-income households account for 11 million, or a quarter of the 45 million households renting in the U.S. Washington has 237,093 of these extremely low-income households across the state, while New York has the second-highest number in the country at 1,004,253.</w:t>
      </w:r>
      <w:r>
        <w:rPr>
          <w:rStyle w:val="EndnoteReference"/>
          <w:rFonts w:eastAsia="Helvetica" w:cs="Helvetica"/>
        </w:rPr>
        <w:endnoteReference w:id="58"/>
      </w:r>
      <w:r>
        <w:rPr>
          <w:rStyle w:val="NoneA"/>
        </w:rPr>
        <w:t xml:space="preserve"> California has the most rent-burdened low-income population in the country, with nearly 1.4 million people living at or below the poverty line, of whom nearly three quarters are spending more than 50 percent of their income on rent. </w:t>
      </w:r>
    </w:p>
    <w:p w14:paraId="53F05BD7" w14:textId="77777777" w:rsidR="00EF0296" w:rsidRDefault="00EF0296">
      <w:pPr>
        <w:pStyle w:val="BodyA"/>
      </w:pPr>
    </w:p>
    <w:p w14:paraId="53F05BD8" w14:textId="77777777" w:rsidR="00EF0296" w:rsidRDefault="00F3512D">
      <w:pPr>
        <w:pStyle w:val="BodyA"/>
      </w:pPr>
      <w:r>
        <w:rPr>
          <w:rStyle w:val="NoneA"/>
        </w:rPr>
        <w:t>New York has taken fewer steps than other states to find solutions to house its poorest citizens. However, for the first time in decades, New York City has proposed removing barriers to creating new SRO units. Specifically, the city would allow owners of commercial buildings to convert their properties to SRO-style housing with small bedrooms. The mayor’s office hopes to make the change via a slate of zoning proposals called City of Yes for Housing Opportunity, which broadly aims to allow modestly denser residential development throughout the five boroughs.</w:t>
      </w:r>
    </w:p>
    <w:p w14:paraId="53F05BD9" w14:textId="77777777" w:rsidR="00EF0296" w:rsidRDefault="00EF0296">
      <w:pPr>
        <w:pStyle w:val="BodyA"/>
      </w:pPr>
    </w:p>
    <w:p w14:paraId="53F05BDA" w14:textId="77777777" w:rsidR="00EF0296" w:rsidRDefault="00F3512D">
      <w:pPr>
        <w:pStyle w:val="BodyA"/>
      </w:pPr>
      <w:r>
        <w:rPr>
          <w:rStyle w:val="NoneA"/>
        </w:rPr>
        <w:t>While New York doesn’t have a proposal to allow new SROs at the state level, Gov. Kathy Hochul announced $50 million</w:t>
      </w:r>
      <w:r>
        <w:rPr>
          <w:rStyle w:val="EndnoteReference"/>
          <w:rFonts w:eastAsia="Helvetica" w:cs="Helvetica"/>
        </w:rPr>
        <w:endnoteReference w:id="59"/>
      </w:r>
      <w:r>
        <w:rPr>
          <w:rStyle w:val="NoneA"/>
        </w:rPr>
        <w:t xml:space="preserve"> in funding to repair 500 SROs across the state last year, in a quiet reversal of the state’s longstanding anti-SRO policies.</w:t>
      </w:r>
    </w:p>
    <w:p w14:paraId="53F05BDB" w14:textId="77777777" w:rsidR="00EF0296" w:rsidRDefault="00EF0296">
      <w:pPr>
        <w:pStyle w:val="BodyA"/>
      </w:pPr>
    </w:p>
    <w:p w14:paraId="53F05BDC" w14:textId="4C6CE3FF" w:rsidR="00EF0296" w:rsidRDefault="00F3512D">
      <w:pPr>
        <w:pStyle w:val="BodyA"/>
        <w:rPr>
          <w:rStyle w:val="NoneA"/>
        </w:rPr>
      </w:pPr>
      <w:r>
        <w:rPr>
          <w:rStyle w:val="NoneA"/>
        </w:rPr>
        <w:t>Nationwide, homelessness has been on the rise since 2017. The U.S. Department of Housing and Urban Development conducts a nationwide count each year of people experiencing homelessness on a single night in January. In 2023, HUD found 653,100 people, or 20 out of every 10,000 people in the U.S.</w:t>
      </w:r>
      <w:r>
        <w:rPr>
          <w:rStyle w:val="EndnoteReference"/>
          <w:rFonts w:eastAsia="Helvetica" w:cs="Helvetica"/>
        </w:rPr>
        <w:endnoteReference w:id="60"/>
      </w:r>
      <w:r>
        <w:rPr>
          <w:rStyle w:val="NoneA"/>
        </w:rPr>
        <w:t xml:space="preserve"> That figure represents the largest number of people experiencing homelessness since HUD began the count in 2007. Of those, 60 percent were experiencing sheltered homelessness, which means they live in transitional housing or an emergency shelter. Between 2022 and 2023, the number of homeless people in the US rose by 12 percent, or 76,050 people. More than one in five—or 140,000—of </w:t>
      </w:r>
      <w:r w:rsidR="00601BA9">
        <w:rPr>
          <w:rStyle w:val="NoneA"/>
        </w:rPr>
        <w:t>those</w:t>
      </w:r>
      <w:r>
        <w:rPr>
          <w:rStyle w:val="NoneA"/>
        </w:rPr>
        <w:t xml:space="preserve"> counted in early 2023 were over 55. Nearly half of those adults over 55 were </w:t>
      </w:r>
      <w:proofErr w:type="gramStart"/>
      <w:r>
        <w:rPr>
          <w:rStyle w:val="NoneA"/>
        </w:rPr>
        <w:t>living on the street</w:t>
      </w:r>
      <w:proofErr w:type="gramEnd"/>
      <w:r>
        <w:rPr>
          <w:rStyle w:val="NoneA"/>
        </w:rPr>
        <w:t xml:space="preserve">, in abandoned buildings or beneath bridges—or in the words of the HUD report, “in places not fit for human habitation.” Still, all 50 states only added 35,700 beds for the formerly homeless from 2022 to 2023, an increase of just </w:t>
      </w:r>
      <w:r w:rsidR="00D133BC">
        <w:rPr>
          <w:rStyle w:val="NoneA"/>
        </w:rPr>
        <w:t xml:space="preserve">7 </w:t>
      </w:r>
      <w:r>
        <w:rPr>
          <w:rStyle w:val="NoneA"/>
        </w:rPr>
        <w:t>percent. The U.S. only added 28,000 shelter beds—another 7 percent increase—in the same period, underscoring how shelter beds and permanent supportive housing have failed to fill the gap left by the destruction of SROs.</w:t>
      </w:r>
    </w:p>
    <w:p w14:paraId="53F05BDD" w14:textId="77777777" w:rsidR="00EF0296" w:rsidRDefault="00EF0296">
      <w:pPr>
        <w:pStyle w:val="BodyA"/>
        <w:rPr>
          <w:rStyle w:val="NoneA"/>
        </w:rPr>
      </w:pPr>
    </w:p>
    <w:p w14:paraId="53F05BDE" w14:textId="77777777" w:rsidR="00EF0296" w:rsidRDefault="00EF0296">
      <w:pPr>
        <w:pStyle w:val="BodyA"/>
        <w:rPr>
          <w:rStyle w:val="NoneA"/>
        </w:rPr>
      </w:pPr>
    </w:p>
    <w:p w14:paraId="53F05BDF" w14:textId="77777777" w:rsidR="00EF0296" w:rsidRPr="003075F5" w:rsidRDefault="00F3512D">
      <w:pPr>
        <w:pStyle w:val="BodyA"/>
        <w:rPr>
          <w:rStyle w:val="NoneA"/>
          <w:b/>
          <w:bCs/>
        </w:rPr>
      </w:pPr>
      <w:r w:rsidRPr="003075F5">
        <w:rPr>
          <w:rStyle w:val="NoneA"/>
          <w:b/>
          <w:bCs/>
        </w:rPr>
        <w:t>Conclusion</w:t>
      </w:r>
    </w:p>
    <w:p w14:paraId="53F05BE0" w14:textId="77777777" w:rsidR="00EF0296" w:rsidRDefault="00EF0296">
      <w:pPr>
        <w:pStyle w:val="BodyA"/>
        <w:rPr>
          <w:rStyle w:val="NoneA"/>
        </w:rPr>
      </w:pPr>
    </w:p>
    <w:p w14:paraId="53F05BE1" w14:textId="087389BA" w:rsidR="00EF0296" w:rsidRDefault="00F3512D">
      <w:pPr>
        <w:pStyle w:val="BodyA"/>
        <w:sectPr w:rsidR="00EF0296">
          <w:headerReference w:type="default" r:id="rId10"/>
          <w:footerReference w:type="default" r:id="rId11"/>
          <w:pgSz w:w="12240" w:h="15840"/>
          <w:pgMar w:top="1440" w:right="1440" w:bottom="1440" w:left="1440" w:header="720" w:footer="864" w:gutter="0"/>
          <w:cols w:space="720"/>
        </w:sectPr>
      </w:pPr>
      <w:r>
        <w:rPr>
          <w:rStyle w:val="NoneA"/>
        </w:rPr>
        <w:t xml:space="preserve">Quantitative researchers have consistently found housing costs are by far the strongest determinant of homelessness. Areas with high housing costs have high homelessness rates. Areas with low housing costs have low homelessness rate. When rents rise quickly, homelessness does too. When rent growth is contained, homelessness drops. More housing of any type improves affordability, but low-cost housing is especially helpful in preventing homelessness. When naturally affordable micro-units, SROs, were widespread, even someone living below the poverty line could afford a home. But as SROs disappeared because of restrictive zoning, building codes, and tax incentives, homelessness went from rare to commonplace. If SROs had merely grown in line with the rest of the housing stock instead of being </w:t>
      </w:r>
      <w:r w:rsidR="00D51DDA">
        <w:rPr>
          <w:rStyle w:val="NoneA"/>
        </w:rPr>
        <w:t>curtailed</w:t>
      </w:r>
      <w:r>
        <w:rPr>
          <w:rStyle w:val="NoneA"/>
        </w:rPr>
        <w:t xml:space="preserve">, at least 2.5 million additional low-cost homes would exist today. Some states coping with high homelessness rates have begun re-legalizing micro-units with shared bathrooms and kitchens to bring back naturally affordable, low-cost housing. If more states and cities do so and reduce regulatory barriers, there is reason to believe the U.S. can return to where it was in the early 1970s when homelessness was unusual and someone earning minimum wage or receiving modest social security benefits could afford a place to live.  </w:t>
      </w:r>
    </w:p>
    <w:p w14:paraId="53F05BE2" w14:textId="77777777" w:rsidR="00EF0296" w:rsidRDefault="00EF0296">
      <w:pPr>
        <w:pStyle w:val="BodyA"/>
      </w:pPr>
    </w:p>
    <w:sectPr w:rsidR="00EF0296">
      <w:head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4C092" w14:textId="77777777" w:rsidR="00213EE5" w:rsidRDefault="00213EE5">
      <w:r>
        <w:separator/>
      </w:r>
    </w:p>
  </w:endnote>
  <w:endnote w:type="continuationSeparator" w:id="0">
    <w:p w14:paraId="70106136" w14:textId="77777777" w:rsidR="00213EE5" w:rsidRDefault="00213EE5">
      <w:r>
        <w:continuationSeparator/>
      </w:r>
    </w:p>
  </w:endnote>
  <w:endnote w:type="continuationNotice" w:id="1">
    <w:p w14:paraId="04B36552" w14:textId="77777777" w:rsidR="00213EE5" w:rsidRDefault="00213EE5"/>
  </w:endnote>
  <w:endnote w:id="2">
    <w:p w14:paraId="53F05BF3" w14:textId="77777777" w:rsidR="00EF0296" w:rsidRDefault="00F3512D">
      <w:pPr>
        <w:pStyle w:val="EndnoteText"/>
      </w:pPr>
      <w:r>
        <w:rPr>
          <w:rFonts w:ascii="Helvetica" w:eastAsia="Helvetica" w:hAnsi="Helvetica" w:cs="Helvetica"/>
          <w:sz w:val="24"/>
          <w:szCs w:val="24"/>
          <w:vertAlign w:val="superscript"/>
        </w:rPr>
        <w:endnoteRef/>
      </w:r>
      <w:r>
        <w:rPr>
          <w:rFonts w:ascii="Helvetica" w:hAnsi="Helvetica"/>
          <w:sz w:val="24"/>
          <w:szCs w:val="24"/>
        </w:rPr>
        <w:t xml:space="preserve"> This estimate is at the low end of what is likely necessary to meet Americans’ housing needs. In 1960 just 13% of U.S. households had one person. By 2020 that figure was 28%. Because single-person households have increased more than fivefold from 6.9 million in 1960 to 38.1 million in 2020, more single-room housing units are probably needed as an overall share of the housing stock. </w:t>
      </w:r>
    </w:p>
  </w:endnote>
  <w:endnote w:id="3">
    <w:p w14:paraId="53F05BF4" w14:textId="77777777" w:rsidR="00EF0296" w:rsidRDefault="00F3512D">
      <w:pPr>
        <w:pStyle w:val="EndnoteText"/>
      </w:pPr>
      <w:r>
        <w:rPr>
          <w:rFonts w:ascii="Helvetica" w:eastAsia="Helvetica" w:hAnsi="Helvetica" w:cs="Helvetica"/>
          <w:sz w:val="24"/>
          <w:szCs w:val="24"/>
          <w:vertAlign w:val="superscript"/>
        </w:rPr>
        <w:endnoteRef/>
      </w:r>
      <w:r>
        <w:rPr>
          <w:rFonts w:ascii="Helvetica" w:hAnsi="Helvetica"/>
          <w:sz w:val="24"/>
          <w:szCs w:val="24"/>
        </w:rPr>
        <w:t xml:space="preserve"> Special Committee on Aging, United States Senate, </w:t>
      </w:r>
      <w:r>
        <w:rPr>
          <w:rFonts w:ascii="Helvetica" w:hAnsi="Helvetica"/>
          <w:sz w:val="24"/>
          <w:szCs w:val="24"/>
          <w:rtl/>
          <w:lang w:val="ar-SA"/>
        </w:rPr>
        <w:t>“</w:t>
      </w:r>
      <w:r>
        <w:rPr>
          <w:rFonts w:ascii="Helvetica" w:hAnsi="Helvetica"/>
          <w:sz w:val="24"/>
          <w:szCs w:val="24"/>
        </w:rPr>
        <w:t xml:space="preserve">Single Room Occupancy: A Need for National Concern” (Washington, D.C.: U.S. Government Printing Office, 1978), </w:t>
      </w:r>
      <w:hyperlink r:id="rId1" w:history="1">
        <w:r>
          <w:rPr>
            <w:rStyle w:val="Hyperlink0"/>
            <w:rFonts w:ascii="Helvetica" w:hAnsi="Helvetica"/>
            <w:sz w:val="24"/>
            <w:szCs w:val="24"/>
          </w:rPr>
          <w:t>https://www.aging.senate.gov/imo/media/doc/reports/rpt478.pdf</w:t>
        </w:r>
      </w:hyperlink>
      <w:r>
        <w:rPr>
          <w:rFonts w:ascii="Helvetica" w:hAnsi="Helvetica"/>
          <w:sz w:val="24"/>
          <w:szCs w:val="24"/>
        </w:rPr>
        <w:t>.</w:t>
      </w:r>
    </w:p>
  </w:endnote>
  <w:endnote w:id="4">
    <w:p w14:paraId="548FE7B3" w14:textId="50699601" w:rsidR="001A247A" w:rsidRDefault="001A247A" w:rsidP="001A247A">
      <w:pPr>
        <w:pStyle w:val="HeaderFooterA"/>
      </w:pPr>
      <w:r>
        <w:rPr>
          <w:rStyle w:val="EndnoteReference"/>
        </w:rPr>
        <w:endnoteRef/>
      </w:r>
      <w:r>
        <w:rPr>
          <w:rStyle w:val="None"/>
          <w:lang w:val="nl-NL"/>
        </w:rPr>
        <w:t xml:space="preserve"> Jake Blumgart,</w:t>
      </w:r>
      <w:r w:rsidR="00AA187F">
        <w:rPr>
          <w:rStyle w:val="None"/>
          <w:lang w:val="nl-NL"/>
        </w:rPr>
        <w:t xml:space="preserve"> Governing, “SRO Housing, Nearly Zoned Out of Existence, Could Re-Emerge,” June 8, 2022,</w:t>
      </w:r>
      <w:r w:rsidR="00AB5FEF">
        <w:rPr>
          <w:rStyle w:val="None"/>
          <w:lang w:val="nl-NL"/>
        </w:rPr>
        <w:t xml:space="preserve"> </w:t>
      </w:r>
      <w:hyperlink r:id="rId2" w:history="1">
        <w:r w:rsidR="00AB5FEF" w:rsidRPr="0028179D">
          <w:rPr>
            <w:rStyle w:val="Hyperlink"/>
            <w:lang w:val="nl-NL"/>
          </w:rPr>
          <w:t>https://www.governing.com/community/sro-housing-nearly-zoned-out-of-existence-could-re-emerge</w:t>
        </w:r>
      </w:hyperlink>
      <w:r w:rsidR="00AB5FEF">
        <w:rPr>
          <w:rStyle w:val="None"/>
          <w:lang w:val="nl-NL"/>
        </w:rPr>
        <w:t xml:space="preserve">. </w:t>
      </w:r>
      <w:r w:rsidR="00AA187F">
        <w:rPr>
          <w:rStyle w:val="None"/>
          <w:lang w:val="nl-NL"/>
        </w:rPr>
        <w:t xml:space="preserve"> </w:t>
      </w:r>
    </w:p>
  </w:endnote>
  <w:endnote w:id="5">
    <w:p w14:paraId="075B1342" w14:textId="6A0A4664" w:rsidR="00B81388" w:rsidRDefault="00B81388">
      <w:pPr>
        <w:pStyle w:val="EndnoteText"/>
      </w:pPr>
      <w:r>
        <w:rPr>
          <w:rStyle w:val="EndnoteReference"/>
        </w:rPr>
        <w:endnoteRef/>
      </w:r>
      <w:r w:rsidR="00AB5FEF" w:rsidRPr="00F3512D">
        <w:rPr>
          <w:rStyle w:val="NoneA"/>
          <w:rFonts w:ascii="Helvetica" w:eastAsia="Arial Unicode MS" w:hAnsi="Helvetica" w:cs="Helvetica"/>
          <w:sz w:val="24"/>
          <w:szCs w:val="24"/>
        </w:rPr>
        <w:t xml:space="preserve">Nick Welsh, Santa Barbara Independent, “Homeless Czar Outlines Action Plan to Get People Off Streets,” </w:t>
      </w:r>
      <w:r w:rsidR="00F3512D" w:rsidRPr="00F3512D">
        <w:rPr>
          <w:rStyle w:val="NoneA"/>
          <w:rFonts w:ascii="Helvetica" w:eastAsia="Arial Unicode MS" w:hAnsi="Helvetica" w:cs="Helvetica"/>
          <w:sz w:val="24"/>
          <w:szCs w:val="24"/>
        </w:rPr>
        <w:t xml:space="preserve">Feb, 21, 2014, </w:t>
      </w:r>
      <w:hyperlink r:id="rId3" w:history="1">
        <w:r w:rsidR="00F3512D" w:rsidRPr="00F3512D">
          <w:rPr>
            <w:rStyle w:val="Hyperlink"/>
            <w:rFonts w:ascii="Helvetica" w:eastAsia="Arial Unicode MS" w:hAnsi="Helvetica" w:cs="Helvetica"/>
            <w:sz w:val="24"/>
            <w:szCs w:val="24"/>
          </w:rPr>
          <w:t>https://www.independent.com/2014/02/21/homeless-czar-outlines-action-plan-get-people-off-streets/</w:t>
        </w:r>
      </w:hyperlink>
      <w:r w:rsidR="00F3512D" w:rsidRPr="00F3512D">
        <w:rPr>
          <w:rStyle w:val="NoneA"/>
          <w:rFonts w:ascii="Helvetica" w:eastAsia="Arial Unicode MS" w:hAnsi="Helvetica" w:cs="Helvetica"/>
          <w:sz w:val="24"/>
          <w:szCs w:val="24"/>
        </w:rPr>
        <w:t xml:space="preserve">. </w:t>
      </w:r>
      <w:r w:rsidRPr="00F3512D">
        <w:rPr>
          <w:rFonts w:ascii="Helvetica" w:hAnsi="Helvetica" w:cs="Helvetica"/>
          <w:sz w:val="24"/>
          <w:szCs w:val="24"/>
        </w:rPr>
        <w:t xml:space="preserve"> </w:t>
      </w:r>
    </w:p>
  </w:endnote>
  <w:endnote w:id="6">
    <w:p w14:paraId="53F05BF5" w14:textId="77777777" w:rsidR="00EF0296" w:rsidRDefault="00F3512D">
      <w:pPr>
        <w:pStyle w:val="HeaderFooterA"/>
      </w:pPr>
      <w:r>
        <w:rPr>
          <w:rStyle w:val="EndnoteReference"/>
        </w:rPr>
        <w:endnoteRef/>
      </w:r>
      <w:r>
        <w:rPr>
          <w:rStyle w:val="NoneA"/>
          <w:rFonts w:eastAsia="Arial Unicode MS" w:cs="Arial Unicode MS"/>
        </w:rPr>
        <w:t xml:space="preserve">Paul </w:t>
      </w:r>
      <w:r>
        <w:rPr>
          <w:rStyle w:val="NoneA"/>
          <w:rFonts w:eastAsia="Arial Unicode MS" w:cs="Arial Unicode MS"/>
        </w:rPr>
        <w:t xml:space="preserve">Groth, </w:t>
      </w:r>
      <w:r>
        <w:rPr>
          <w:rStyle w:val="None"/>
          <w:rFonts w:eastAsia="Arial Unicode MS" w:cs="Arial Unicode MS"/>
          <w:i/>
          <w:iCs/>
        </w:rPr>
        <w:t>Living Downtown: The History of Residential Hotels in the United States</w:t>
      </w:r>
      <w:r>
        <w:rPr>
          <w:rStyle w:val="NoneA"/>
          <w:rFonts w:eastAsia="Arial Unicode MS" w:cs="Arial Unicode MS"/>
        </w:rPr>
        <w:t>. (Berkeley: University of California Press, 1994), 13.</w:t>
      </w:r>
    </w:p>
  </w:endnote>
  <w:endnote w:id="7">
    <w:p w14:paraId="53F05BF6" w14:textId="77777777" w:rsidR="00EF0296" w:rsidRDefault="00F3512D">
      <w:pPr>
        <w:pStyle w:val="HeaderFooterA"/>
      </w:pPr>
      <w:r>
        <w:rPr>
          <w:rStyle w:val="EndnoteReference"/>
        </w:rPr>
        <w:endnoteRef/>
      </w:r>
      <w:r>
        <w:rPr>
          <w:rStyle w:val="None"/>
          <w:lang w:val="nl-NL"/>
        </w:rPr>
        <w:t xml:space="preserve"> Lawrence Veiller, </w:t>
      </w:r>
      <w:r>
        <w:rPr>
          <w:rStyle w:val="None"/>
          <w:rFonts w:ascii="Arial Unicode MS" w:hAnsi="Arial Unicode MS"/>
          <w:rtl/>
          <w:lang w:val="ar-SA"/>
        </w:rPr>
        <w:t>“</w:t>
      </w:r>
      <w:r>
        <w:rPr>
          <w:rStyle w:val="None"/>
        </w:rPr>
        <w:t>The Housing Problem in American Cities,” The Annals of the American Academy of Political and Social Science 25, no. 2 (March 1905): 46–</w:t>
      </w:r>
      <w:r>
        <w:rPr>
          <w:rStyle w:val="None"/>
          <w:lang w:val="ru-RU"/>
        </w:rPr>
        <w:t xml:space="preserve">70, </w:t>
      </w:r>
      <w:hyperlink r:id="rId4" w:history="1">
        <w:r>
          <w:rPr>
            <w:rStyle w:val="Hyperlink1"/>
          </w:rPr>
          <w:t>https://doi.org/10.1177/000271620502500204</w:t>
        </w:r>
      </w:hyperlink>
      <w:r>
        <w:rPr>
          <w:rStyle w:val="None"/>
        </w:rPr>
        <w:t>.</w:t>
      </w:r>
    </w:p>
  </w:endnote>
  <w:endnote w:id="8">
    <w:p w14:paraId="53F05BF7"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205.</w:t>
      </w:r>
    </w:p>
  </w:endnote>
  <w:endnote w:id="9">
    <w:p w14:paraId="53F05BF8"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9.</w:t>
      </w:r>
    </w:p>
  </w:endnote>
  <w:endnote w:id="10">
    <w:p w14:paraId="53F05BF9" w14:textId="77777777" w:rsidR="00EF0296" w:rsidRDefault="00F3512D">
      <w:pPr>
        <w:pStyle w:val="HeaderFooterA"/>
      </w:pPr>
      <w:r>
        <w:rPr>
          <w:rStyle w:val="EndnoteReference"/>
        </w:rPr>
        <w:endnoteRef/>
      </w:r>
      <w:r>
        <w:rPr>
          <w:rStyle w:val="NoneA"/>
          <w:rFonts w:eastAsia="Arial Unicode MS" w:cs="Arial Unicode MS"/>
        </w:rPr>
        <w:t xml:space="preserve"> Brian J. Sullivan and Jonathan Burke, “Single-Room Occupancy Housing in New York City: The Origins and Dimensions of a Crisis,” </w:t>
      </w:r>
      <w:r>
        <w:rPr>
          <w:rStyle w:val="None"/>
          <w:rFonts w:eastAsia="Arial Unicode MS" w:cs="Arial Unicode MS"/>
          <w:i/>
          <w:iCs/>
        </w:rPr>
        <w:t>City University of New York Law Review</w:t>
      </w:r>
      <w:r>
        <w:rPr>
          <w:rStyle w:val="NoneA"/>
          <w:rFonts w:eastAsia="Arial Unicode MS" w:cs="Arial Unicode MS"/>
        </w:rPr>
        <w:t xml:space="preserve"> no. 113 (2013). </w:t>
      </w:r>
    </w:p>
  </w:endnote>
  <w:endnote w:id="11">
    <w:p w14:paraId="53F05BFA" w14:textId="77777777" w:rsidR="00EF0296" w:rsidRDefault="00F3512D">
      <w:pPr>
        <w:pStyle w:val="HeaderFooterA"/>
      </w:pPr>
      <w:r>
        <w:rPr>
          <w:rStyle w:val="EndnoteReference"/>
        </w:rPr>
        <w:endnoteRef/>
      </w:r>
      <w:r>
        <w:rPr>
          <w:rStyle w:val="None"/>
        </w:rPr>
        <w:t xml:space="preserve"> James D. Wright and Beth A. Rubin, </w:t>
      </w:r>
      <w:r>
        <w:rPr>
          <w:rStyle w:val="None"/>
          <w:rFonts w:ascii="Arial Unicode MS" w:hAnsi="Arial Unicode MS"/>
          <w:rtl/>
          <w:lang w:val="ar-SA"/>
        </w:rPr>
        <w:t>“</w:t>
      </w:r>
      <w:r>
        <w:rPr>
          <w:rStyle w:val="None"/>
        </w:rPr>
        <w:t xml:space="preserve">Is Homelessness a Housing </w:t>
      </w:r>
      <w:r>
        <w:rPr>
          <w:rStyle w:val="None"/>
        </w:rPr>
        <w:t xml:space="preserve">Problem?,” Housing Policy Debate 2, no. 3 (January 1991): 937–56, </w:t>
      </w:r>
      <w:hyperlink r:id="rId5" w:history="1">
        <w:r>
          <w:rPr>
            <w:rStyle w:val="Hyperlink1"/>
          </w:rPr>
          <w:t>https://doi.org/10.1080/10511482.1991.9521078</w:t>
        </w:r>
      </w:hyperlink>
      <w:r>
        <w:rPr>
          <w:rStyle w:val="None"/>
        </w:rPr>
        <w:t>.</w:t>
      </w:r>
    </w:p>
  </w:endnote>
  <w:endnote w:id="12">
    <w:p w14:paraId="53F05BFB" w14:textId="77777777" w:rsidR="00EF0296" w:rsidRDefault="00F3512D">
      <w:pPr>
        <w:pStyle w:val="HeaderFooterA"/>
      </w:pPr>
      <w:r>
        <w:rPr>
          <w:rStyle w:val="EndnoteReference"/>
        </w:rPr>
        <w:endnoteRef/>
      </w:r>
      <w:r>
        <w:rPr>
          <w:rStyle w:val="NoneA"/>
          <w:rFonts w:eastAsia="Arial Unicode MS" w:cs="Arial Unicode MS"/>
        </w:rPr>
        <w:t xml:space="preserve">Groth, 286. </w:t>
      </w:r>
    </w:p>
  </w:endnote>
  <w:endnote w:id="13">
    <w:p w14:paraId="53F05BFC"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283.</w:t>
      </w:r>
    </w:p>
  </w:endnote>
  <w:endnote w:id="14">
    <w:p w14:paraId="22688EE5" w14:textId="66CC2D6E" w:rsidR="00F71BED" w:rsidRDefault="00F71BED" w:rsidP="00F71BED">
      <w:pPr>
        <w:pStyle w:val="HeaderFooterA"/>
      </w:pPr>
      <w:r>
        <w:rPr>
          <w:rStyle w:val="EndnoteReference"/>
        </w:rPr>
        <w:endnoteRef/>
      </w:r>
      <w:r>
        <w:rPr>
          <w:rStyle w:val="NoneA"/>
          <w:rFonts w:eastAsia="Arial Unicode MS" w:cs="Arial Unicode MS"/>
        </w:rPr>
        <w:t xml:space="preserve"> </w:t>
      </w:r>
      <w:r w:rsidR="0034391D">
        <w:rPr>
          <w:rStyle w:val="NoneA"/>
          <w:rFonts w:eastAsia="Arial Unicode MS" w:cs="Arial Unicode MS"/>
        </w:rPr>
        <w:t xml:space="preserve">Massachusetts Executive Office for Administration and Finance, “Bringing Down the Barriers: Changing Housing Supply Dynamics in Massachusetts,” </w:t>
      </w:r>
      <w:r w:rsidR="00892D5E">
        <w:rPr>
          <w:rStyle w:val="NoneA"/>
          <w:rFonts w:eastAsia="Arial Unicode MS" w:cs="Arial Unicode MS"/>
        </w:rPr>
        <w:t xml:space="preserve">2000, </w:t>
      </w:r>
      <w:hyperlink r:id="rId6" w:history="1">
        <w:r w:rsidR="00892D5E" w:rsidRPr="007D4AFF">
          <w:rPr>
            <w:rStyle w:val="Hyperlink"/>
            <w:rFonts w:eastAsia="Arial Unicode MS" w:cs="Arial Unicode MS"/>
          </w:rPr>
          <w:t>https://www.mhp.net/assets/resources/documents/a_f_housingreport.pdf</w:t>
        </w:r>
      </w:hyperlink>
      <w:r w:rsidR="00892D5E">
        <w:rPr>
          <w:rStyle w:val="NoneA"/>
          <w:rFonts w:eastAsia="Arial Unicode MS" w:cs="Arial Unicode MS"/>
        </w:rPr>
        <w:t xml:space="preserve">. </w:t>
      </w:r>
    </w:p>
  </w:endnote>
  <w:endnote w:id="15">
    <w:p w14:paraId="53F05BFD"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1.</w:t>
      </w:r>
    </w:p>
  </w:endnote>
  <w:endnote w:id="16">
    <w:p w14:paraId="53F05BFE"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8.</w:t>
      </w:r>
    </w:p>
  </w:endnote>
  <w:endnote w:id="17">
    <w:p w14:paraId="53F05BFF" w14:textId="77777777" w:rsidR="00EF0296" w:rsidRDefault="00F3512D">
      <w:pPr>
        <w:pStyle w:val="HeaderFooterA"/>
      </w:pPr>
      <w:r>
        <w:rPr>
          <w:rStyle w:val="EndnoteReference"/>
        </w:rPr>
        <w:endnoteRef/>
      </w:r>
      <w:r>
        <w:rPr>
          <w:rStyle w:val="NoneA"/>
          <w:rFonts w:eastAsia="Arial Unicode MS" w:cs="Arial Unicode MS"/>
        </w:rPr>
        <w:t>Groth, 2.</w:t>
      </w:r>
    </w:p>
  </w:endnote>
  <w:endnote w:id="18">
    <w:p w14:paraId="53F05C00" w14:textId="77777777" w:rsidR="00EF0296" w:rsidRDefault="00F3512D">
      <w:pPr>
        <w:pStyle w:val="HeaderFooterA"/>
      </w:pPr>
      <w:r>
        <w:rPr>
          <w:rStyle w:val="EndnoteReference"/>
        </w:rPr>
        <w:endnoteRef/>
      </w:r>
      <w:r>
        <w:rPr>
          <w:rStyle w:val="NoneA"/>
          <w:rFonts w:eastAsia="Arial Unicode MS" w:cs="Arial Unicode MS"/>
        </w:rPr>
        <w:t xml:space="preserve"> Ibid, 11. </w:t>
      </w:r>
    </w:p>
  </w:endnote>
  <w:endnote w:id="19">
    <w:p w14:paraId="53F05C01"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185</w:t>
      </w:r>
    </w:p>
  </w:endnote>
  <w:endnote w:id="20">
    <w:p w14:paraId="53F05C02" w14:textId="77777777" w:rsidR="00EF0296" w:rsidRDefault="00F3512D">
      <w:pPr>
        <w:pStyle w:val="HeaderFooterA"/>
      </w:pPr>
      <w:r>
        <w:rPr>
          <w:rStyle w:val="EndnoteReference"/>
        </w:rPr>
        <w:endnoteRef/>
      </w:r>
      <w:r>
        <w:rPr>
          <w:rStyle w:val="None"/>
        </w:rPr>
        <w:t xml:space="preserve"> National Academies of Sciences, Engineering, and Medicine, </w:t>
      </w:r>
      <w:r>
        <w:rPr>
          <w:rStyle w:val="None"/>
          <w:rFonts w:ascii="Arial Unicode MS" w:hAnsi="Arial Unicode MS"/>
          <w:rtl/>
          <w:lang w:val="ar-SA"/>
        </w:rPr>
        <w:t>“</w:t>
      </w:r>
      <w:r>
        <w:rPr>
          <w:rStyle w:val="None"/>
        </w:rPr>
        <w:t xml:space="preserve">The History of Homelessness in the United States,” National Library of Medicine (National Academies Press (US), July 11, 2018), </w:t>
      </w:r>
      <w:hyperlink r:id="rId7" w:history="1">
        <w:r>
          <w:rPr>
            <w:rStyle w:val="Hyperlink1"/>
          </w:rPr>
          <w:t>https://www.ncbi.nlm.nih.gov/books/NBK519584/</w:t>
        </w:r>
      </w:hyperlink>
      <w:r>
        <w:rPr>
          <w:rStyle w:val="None"/>
        </w:rPr>
        <w:t>.</w:t>
      </w:r>
    </w:p>
  </w:endnote>
  <w:endnote w:id="21">
    <w:p w14:paraId="53F05C03" w14:textId="77777777" w:rsidR="00EF0296" w:rsidRDefault="00F3512D">
      <w:pPr>
        <w:pStyle w:val="HeaderFooterA"/>
      </w:pPr>
      <w:r>
        <w:rPr>
          <w:rStyle w:val="EndnoteReference"/>
        </w:rPr>
        <w:endnoteRef/>
      </w:r>
      <w:r>
        <w:rPr>
          <w:rStyle w:val="NoneA"/>
          <w:rFonts w:eastAsia="Arial Unicode MS" w:cs="Arial Unicode MS"/>
        </w:rPr>
        <w:t xml:space="preserve"> Ibid, 141-146.</w:t>
      </w:r>
    </w:p>
  </w:endnote>
  <w:endnote w:id="22">
    <w:p w14:paraId="1CFA2286" w14:textId="7AF21AAD" w:rsidR="00F20407" w:rsidRDefault="00F20407" w:rsidP="00F20407">
      <w:pPr>
        <w:pStyle w:val="HeaderFooterA"/>
      </w:pPr>
      <w:r>
        <w:rPr>
          <w:rStyle w:val="EndnoteReference"/>
        </w:rPr>
        <w:endnoteRef/>
      </w:r>
      <w:r>
        <w:rPr>
          <w:rStyle w:val="NoneA"/>
          <w:rFonts w:eastAsia="Arial Unicode MS" w:cs="Arial Unicode MS"/>
        </w:rPr>
        <w:t xml:space="preserve"> </w:t>
      </w:r>
      <w:r w:rsidR="00323CCA">
        <w:rPr>
          <w:rStyle w:val="NoneA"/>
          <w:rFonts w:eastAsia="Arial Unicode MS" w:cs="Arial Unicode MS"/>
        </w:rPr>
        <w:t xml:space="preserve">Aaron M. Renn and Alex Armlovich, </w:t>
      </w:r>
      <w:r w:rsidR="00421FC7">
        <w:rPr>
          <w:rStyle w:val="NoneA"/>
          <w:rFonts w:eastAsia="Arial Unicode MS" w:cs="Arial Unicode MS"/>
        </w:rPr>
        <w:t xml:space="preserve">Manhattan Institute, “Microunits: A Tool to Promote Affordable Housing,” </w:t>
      </w:r>
      <w:r w:rsidR="00252F25">
        <w:rPr>
          <w:rStyle w:val="NoneA"/>
          <w:rFonts w:eastAsia="Arial Unicode MS" w:cs="Arial Unicode MS"/>
        </w:rPr>
        <w:t xml:space="preserve">2016, </w:t>
      </w:r>
      <w:hyperlink r:id="rId8" w:history="1">
        <w:r w:rsidR="00252F25" w:rsidRPr="007D4AFF">
          <w:rPr>
            <w:rStyle w:val="Hyperlink"/>
            <w:rFonts w:eastAsia="Arial Unicode MS" w:cs="Arial Unicode MS"/>
          </w:rPr>
          <w:t>https://manhattan.institute/article/microunits-a-tool-to-promote-affordable-housing</w:t>
        </w:r>
      </w:hyperlink>
      <w:r w:rsidR="00252F25">
        <w:rPr>
          <w:rStyle w:val="NoneA"/>
          <w:rFonts w:eastAsia="Arial Unicode MS" w:cs="Arial Unicode MS"/>
        </w:rPr>
        <w:t xml:space="preserve">. </w:t>
      </w:r>
      <w:r w:rsidR="00323CCA">
        <w:rPr>
          <w:rStyle w:val="NoneA"/>
          <w:rFonts w:eastAsia="Arial Unicode MS" w:cs="Arial Unicode MS"/>
        </w:rPr>
        <w:t xml:space="preserve"> </w:t>
      </w:r>
    </w:p>
  </w:endnote>
  <w:endnote w:id="23">
    <w:p w14:paraId="53F05C04" w14:textId="77777777" w:rsidR="00EF0296" w:rsidRDefault="00F3512D">
      <w:pPr>
        <w:pStyle w:val="HeaderFooterA"/>
      </w:pPr>
      <w:r>
        <w:rPr>
          <w:rStyle w:val="EndnoteReference"/>
        </w:rPr>
        <w:endnoteRef/>
      </w:r>
      <w:r>
        <w:rPr>
          <w:rStyle w:val="NoneA"/>
          <w:rFonts w:eastAsia="Arial Unicode MS" w:cs="Arial Unicode MS"/>
        </w:rPr>
        <w:t xml:space="preserve"> “2023 Hotel Report,” New York City Rent Guidelines Board, May 25, 2023. </w:t>
      </w:r>
      <w:hyperlink r:id="rId9" w:history="1">
        <w:r>
          <w:rPr>
            <w:rStyle w:val="Hyperlink2"/>
            <w:rFonts w:eastAsia="Arial Unicode MS" w:cs="Arial Unicode MS"/>
          </w:rPr>
          <w:t>https://rentguidelinesboard.cityofnewyork.us/wp-content/uploads/2023/05/2023-Hotel-Report.pdf</w:t>
        </w:r>
      </w:hyperlink>
    </w:p>
  </w:endnote>
  <w:endnote w:id="24">
    <w:p w14:paraId="53F05C05" w14:textId="77777777" w:rsidR="00EF0296" w:rsidRDefault="00F3512D">
      <w:pPr>
        <w:pStyle w:val="HeaderFooterA"/>
      </w:pPr>
      <w:r>
        <w:rPr>
          <w:rStyle w:val="EndnoteReference"/>
        </w:rPr>
        <w:endnoteRef/>
      </w:r>
      <w:r>
        <w:rPr>
          <w:rStyle w:val="NoneA"/>
          <w:rFonts w:eastAsia="Arial Unicode MS" w:cs="Arial Unicode MS"/>
        </w:rPr>
        <w:t xml:space="preserve"> “2023 New York City Housing and Vacancy Survey.” </w:t>
      </w:r>
      <w:hyperlink r:id="rId10" w:history="1">
        <w:r>
          <w:rPr>
            <w:rStyle w:val="Hyperlink2"/>
            <w:rFonts w:eastAsia="Arial Unicode MS" w:cs="Arial Unicode MS"/>
          </w:rPr>
          <w:t>https://www.nyc.gov/assets/hpd/downloads/pdfs/about/2023-nychvs-selected-initial-findings.pdf</w:t>
        </w:r>
      </w:hyperlink>
    </w:p>
  </w:endnote>
  <w:endnote w:id="25">
    <w:p w14:paraId="53F05C06" w14:textId="77777777" w:rsidR="00EF0296" w:rsidRDefault="00F3512D">
      <w:pPr>
        <w:pStyle w:val="HeaderFooterA"/>
      </w:pPr>
      <w:r>
        <w:rPr>
          <w:rStyle w:val="EndnoteReference"/>
        </w:rPr>
        <w:endnoteRef/>
      </w:r>
      <w:r>
        <w:rPr>
          <w:rStyle w:val="None"/>
        </w:rPr>
        <w:t xml:space="preserve">Eric Stern and Jessica Yager, </w:t>
      </w:r>
      <w:r>
        <w:rPr>
          <w:rStyle w:val="None"/>
          <w:rFonts w:ascii="Arial Unicode MS" w:hAnsi="Arial Unicode MS"/>
          <w:rtl/>
          <w:lang w:val="ar-SA"/>
        </w:rPr>
        <w:t>“</w:t>
      </w:r>
      <w:r>
        <w:rPr>
          <w:rStyle w:val="None"/>
        </w:rPr>
        <w:t xml:space="preserve">21st Century SROs: Can Small Housing Units Help Meet the Need for Affordable Housing in New York City? 21st Century SROs: Can Small Housing Units Help Meet the Need for Affordable Housing in New York City?,” 2018, </w:t>
      </w:r>
      <w:hyperlink r:id="rId11" w:history="1">
        <w:r>
          <w:rPr>
            <w:rStyle w:val="Hyperlink1"/>
          </w:rPr>
          <w:t>https://furmancenter.org/files/Small_Units_in_NYC_Working_Paper_for_Posting_UPDATED.pdf</w:t>
        </w:r>
      </w:hyperlink>
      <w:r>
        <w:rPr>
          <w:rStyle w:val="None"/>
        </w:rPr>
        <w:t>.</w:t>
      </w:r>
    </w:p>
  </w:endnote>
  <w:endnote w:id="26">
    <w:p w14:paraId="53F05C07"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202.</w:t>
      </w:r>
    </w:p>
  </w:endnote>
  <w:endnote w:id="27">
    <w:p w14:paraId="53F05C08" w14:textId="77777777" w:rsidR="00EF0296" w:rsidRDefault="00F3512D">
      <w:pPr>
        <w:pStyle w:val="HeaderFooterA"/>
      </w:pPr>
      <w:r>
        <w:rPr>
          <w:rStyle w:val="EndnoteReference"/>
        </w:rPr>
        <w:endnoteRef/>
      </w:r>
      <w:r>
        <w:rPr>
          <w:rStyle w:val="NoneA"/>
          <w:rFonts w:eastAsia="Arial Unicode MS" w:cs="Arial Unicode MS"/>
        </w:rPr>
        <w:t xml:space="preserve"> Jacob Riis, </w:t>
      </w:r>
      <w:r>
        <w:rPr>
          <w:rStyle w:val="None"/>
          <w:rFonts w:eastAsia="Arial Unicode MS" w:cs="Arial Unicode MS"/>
          <w:i/>
          <w:iCs/>
        </w:rPr>
        <w:t xml:space="preserve">How the Other Half Lives. </w:t>
      </w:r>
      <w:r>
        <w:rPr>
          <w:rStyle w:val="NoneA"/>
          <w:rFonts w:eastAsia="Arial Unicode MS" w:cs="Arial Unicode MS"/>
        </w:rPr>
        <w:t xml:space="preserve">(New York: Charles Scribner’s Sons, 1890), 1, </w:t>
      </w:r>
      <w:hyperlink r:id="rId12" w:history="1">
        <w:r>
          <w:rPr>
            <w:rStyle w:val="Hyperlink2"/>
            <w:rFonts w:eastAsia="Arial Unicode MS" w:cs="Arial Unicode MS"/>
          </w:rPr>
          <w:t>https://www.gutenberg.org/files/45502/45502-h/45502-h.htm</w:t>
        </w:r>
      </w:hyperlink>
    </w:p>
  </w:endnote>
  <w:endnote w:id="28">
    <w:p w14:paraId="53F05C09"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148</w:t>
      </w:r>
    </w:p>
  </w:endnote>
  <w:endnote w:id="29">
    <w:p w14:paraId="53F05C0A" w14:textId="77777777" w:rsidR="00EF0296" w:rsidRDefault="00F3512D">
      <w:pPr>
        <w:pStyle w:val="HeaderFooterA"/>
      </w:pPr>
      <w:r>
        <w:rPr>
          <w:rStyle w:val="EndnoteReference"/>
        </w:rPr>
        <w:endnoteRef/>
      </w:r>
      <w:r>
        <w:rPr>
          <w:rStyle w:val="NoneA"/>
          <w:rFonts w:eastAsia="Arial Unicode MS" w:cs="Arial Unicode MS"/>
        </w:rPr>
        <w:t>Groth, 149-150.</w:t>
      </w:r>
    </w:p>
  </w:endnote>
  <w:endnote w:id="30">
    <w:p w14:paraId="53F05C0B" w14:textId="77777777" w:rsidR="00EF0296" w:rsidRDefault="00F3512D">
      <w:pPr>
        <w:pStyle w:val="HeaderFooterA"/>
      </w:pPr>
      <w:r>
        <w:rPr>
          <w:rStyle w:val="EndnoteReference"/>
        </w:rPr>
        <w:endnoteRef/>
      </w:r>
      <w:r>
        <w:rPr>
          <w:rStyle w:val="NoneA"/>
          <w:rFonts w:eastAsia="Arial Unicode MS" w:cs="Arial Unicode MS"/>
        </w:rPr>
        <w:t xml:space="preserve"> Sullivan and Burke, “Single-Room Occupancy Housing in New York City: The Origins and Dimensions of a Crisis.” </w:t>
      </w:r>
    </w:p>
  </w:endnote>
  <w:endnote w:id="31">
    <w:p w14:paraId="53F05C0C" w14:textId="77777777" w:rsidR="00EF0296" w:rsidRDefault="00F3512D">
      <w:pPr>
        <w:pStyle w:val="HeaderFooterA"/>
      </w:pPr>
      <w:r>
        <w:rPr>
          <w:rStyle w:val="EndnoteReference"/>
        </w:rPr>
        <w:endnoteRef/>
      </w:r>
      <w:r>
        <w:rPr>
          <w:rStyle w:val="NoneA"/>
          <w:rFonts w:eastAsia="Arial Unicode MS" w:cs="Arial Unicode MS"/>
        </w:rPr>
        <w:t xml:space="preserve"> Malcolm Gladwell, “N.Y. Hopes to Help Homeless by Reviving Single Room Occupancy Hotels,” </w:t>
      </w:r>
      <w:r>
        <w:rPr>
          <w:rStyle w:val="None"/>
          <w:rFonts w:eastAsia="Arial Unicode MS" w:cs="Arial Unicode MS"/>
          <w:i/>
          <w:iCs/>
        </w:rPr>
        <w:t>Los Angeles Times,</w:t>
      </w:r>
      <w:r>
        <w:rPr>
          <w:rStyle w:val="NoneA"/>
          <w:rFonts w:eastAsia="Arial Unicode MS" w:cs="Arial Unicode MS"/>
        </w:rPr>
        <w:t xml:space="preserve"> (Apr. 25, 1993). </w:t>
      </w:r>
      <w:hyperlink r:id="rId13" w:history="1">
        <w:r>
          <w:rPr>
            <w:rStyle w:val="Hyperlink2"/>
            <w:rFonts w:eastAsia="Arial Unicode MS" w:cs="Arial Unicode MS"/>
          </w:rPr>
          <w:t>https://www.latimes.com/archives/la-xpm-1993-04-25-mn-27098-story.html</w:t>
        </w:r>
      </w:hyperlink>
    </w:p>
  </w:endnote>
  <w:endnote w:id="32">
    <w:p w14:paraId="53F05C0D" w14:textId="77777777" w:rsidR="00EF0296" w:rsidRDefault="00F3512D">
      <w:pPr>
        <w:pStyle w:val="HeaderFooterA"/>
      </w:pPr>
      <w:r>
        <w:rPr>
          <w:rStyle w:val="EndnoteReference"/>
        </w:rPr>
        <w:endnoteRef/>
      </w:r>
      <w:r>
        <w:rPr>
          <w:rStyle w:val="NoneA"/>
          <w:rFonts w:eastAsia="Arial Unicode MS" w:cs="Arial Unicode MS"/>
        </w:rPr>
        <w:t xml:space="preserve"> Ibid.</w:t>
      </w:r>
    </w:p>
  </w:endnote>
  <w:endnote w:id="33">
    <w:p w14:paraId="53F05C0E" w14:textId="77777777" w:rsidR="00EF0296" w:rsidRDefault="00F3512D">
      <w:pPr>
        <w:pStyle w:val="HeaderFooterA"/>
      </w:pPr>
      <w:r>
        <w:rPr>
          <w:rStyle w:val="EndnoteReference"/>
        </w:rPr>
        <w:endnoteRef/>
      </w:r>
      <w:r>
        <w:rPr>
          <w:rStyle w:val="None"/>
        </w:rPr>
        <w:t xml:space="preserve"> Sullivan and Burke, </w:t>
      </w:r>
      <w:r>
        <w:rPr>
          <w:rStyle w:val="None"/>
          <w:rFonts w:ascii="Arial Unicode MS" w:hAnsi="Arial Unicode MS"/>
          <w:rtl/>
          <w:lang w:val="ar-SA"/>
        </w:rPr>
        <w:t>“</w:t>
      </w:r>
      <w:r>
        <w:rPr>
          <w:rStyle w:val="None"/>
        </w:rPr>
        <w:t>Single-Room Occupancy Housing in New York City: The Origins and Dimensions of a Crisis.”</w:t>
      </w:r>
    </w:p>
  </w:endnote>
  <w:endnote w:id="34">
    <w:p w14:paraId="53F05C0F" w14:textId="77777777" w:rsidR="00EF0296" w:rsidRDefault="00F3512D">
      <w:pPr>
        <w:pStyle w:val="HeaderFooterA"/>
      </w:pPr>
      <w:r>
        <w:rPr>
          <w:rStyle w:val="EndnoteReference"/>
        </w:rPr>
        <w:endnoteRef/>
      </w:r>
      <w:r>
        <w:rPr>
          <w:rStyle w:val="None"/>
        </w:rPr>
        <w:t xml:space="preserve"> National Academies of Sciences, Engineering, and Medicine, </w:t>
      </w:r>
      <w:r>
        <w:rPr>
          <w:rStyle w:val="None"/>
          <w:rFonts w:ascii="Arial Unicode MS" w:hAnsi="Arial Unicode MS"/>
          <w:rtl/>
          <w:lang w:val="ar-SA"/>
        </w:rPr>
        <w:t>“</w:t>
      </w:r>
      <w:r>
        <w:rPr>
          <w:rStyle w:val="None"/>
        </w:rPr>
        <w:t xml:space="preserve">The History of Homelessness in the United States,” National Library of Medicine (National Academies Press (US), July 11, 2018), </w:t>
      </w:r>
      <w:hyperlink r:id="rId14" w:history="1">
        <w:r>
          <w:rPr>
            <w:rStyle w:val="Hyperlink1"/>
          </w:rPr>
          <w:t>https://www.ncbi.nlm.nih.gov/books/NBK519584/</w:t>
        </w:r>
      </w:hyperlink>
      <w:r>
        <w:rPr>
          <w:rStyle w:val="None"/>
        </w:rPr>
        <w:t>.</w:t>
      </w:r>
    </w:p>
  </w:endnote>
  <w:endnote w:id="35">
    <w:p w14:paraId="53F05C10" w14:textId="77777777" w:rsidR="00EF0296" w:rsidRDefault="00F3512D">
      <w:pPr>
        <w:pStyle w:val="HeaderFooterA"/>
      </w:pPr>
      <w:r>
        <w:rPr>
          <w:rStyle w:val="EndnoteReference"/>
        </w:rPr>
        <w:endnoteRef/>
      </w:r>
      <w:r>
        <w:rPr>
          <w:rStyle w:val="NoneA"/>
          <w:rFonts w:eastAsia="Arial Unicode MS" w:cs="Arial Unicode MS"/>
        </w:rPr>
        <w:t xml:space="preserve"> Ibid.</w:t>
      </w:r>
    </w:p>
  </w:endnote>
  <w:endnote w:id="36">
    <w:p w14:paraId="53F05C11" w14:textId="77777777" w:rsidR="00EF0296" w:rsidRDefault="00F3512D">
      <w:pPr>
        <w:pStyle w:val="HeaderFooterA"/>
      </w:pPr>
      <w:r>
        <w:rPr>
          <w:rStyle w:val="EndnoteReference"/>
        </w:rPr>
        <w:endnoteRef/>
      </w:r>
      <w:r>
        <w:rPr>
          <w:rStyle w:val="None"/>
          <w:lang w:val="de-DE"/>
        </w:rPr>
        <w:t xml:space="preserve"> Debra Vorsanger, </w:t>
      </w:r>
      <w:r>
        <w:rPr>
          <w:rStyle w:val="None"/>
          <w:rFonts w:ascii="Arial Unicode MS" w:hAnsi="Arial Unicode MS"/>
          <w:rtl/>
          <w:lang w:val="ar-SA"/>
        </w:rPr>
        <w:t>“</w:t>
      </w:r>
      <w:r>
        <w:rPr>
          <w:rStyle w:val="None"/>
        </w:rPr>
        <w:t>New York City</w:t>
      </w:r>
      <w:r>
        <w:rPr>
          <w:rStyle w:val="None"/>
          <w:rFonts w:ascii="Arial Unicode MS" w:hAnsi="Arial Unicode MS"/>
          <w:rtl/>
          <w:lang w:val="ar-SA"/>
        </w:rPr>
        <w:t>’</w:t>
      </w:r>
      <w:r>
        <w:rPr>
          <w:rStyle w:val="None"/>
        </w:rPr>
        <w:t xml:space="preserve">s J-51 Program: Controversy and Revision,” Fordham Urban Law Journal 12, no. 1 (January 1, 1984): 103, </w:t>
      </w:r>
      <w:hyperlink r:id="rId15" w:history="1">
        <w:r>
          <w:rPr>
            <w:rStyle w:val="Hyperlink1"/>
          </w:rPr>
          <w:t>https://ir.lawnet.fordham.edu/ulj/vol12/iss1/3</w:t>
        </w:r>
      </w:hyperlink>
      <w:r>
        <w:rPr>
          <w:rStyle w:val="None"/>
        </w:rPr>
        <w:t>.</w:t>
      </w:r>
    </w:p>
  </w:endnote>
  <w:endnote w:id="37">
    <w:p w14:paraId="53F05C12" w14:textId="77777777" w:rsidR="00EF0296" w:rsidRDefault="00F3512D">
      <w:pPr>
        <w:pStyle w:val="HeaderFooterA"/>
      </w:pPr>
      <w:r>
        <w:rPr>
          <w:rStyle w:val="EndnoteReference"/>
        </w:rPr>
        <w:endnoteRef/>
      </w:r>
      <w:r>
        <w:rPr>
          <w:rStyle w:val="None"/>
          <w:lang w:val="de-DE"/>
        </w:rPr>
        <w:t xml:space="preserve"> Alan Finder, </w:t>
      </w:r>
      <w:r>
        <w:rPr>
          <w:rStyle w:val="None"/>
          <w:rFonts w:ascii="Arial Unicode MS" w:hAnsi="Arial Unicode MS"/>
          <w:rtl/>
          <w:lang w:val="ar-SA"/>
        </w:rPr>
        <w:t>“</w:t>
      </w:r>
      <w:r>
        <w:rPr>
          <w:rStyle w:val="None"/>
        </w:rPr>
        <w:t>Supreme Court Won</w:t>
      </w:r>
      <w:r>
        <w:rPr>
          <w:rStyle w:val="None"/>
          <w:rFonts w:ascii="Arial Unicode MS" w:hAnsi="Arial Unicode MS"/>
          <w:rtl/>
          <w:lang w:val="ar-SA"/>
        </w:rPr>
        <w:t>’</w:t>
      </w:r>
      <w:r>
        <w:rPr>
          <w:rStyle w:val="None"/>
        </w:rPr>
        <w:t xml:space="preserve">t Review S.R.O. Ruling,” The New York Times, November 28, 1989, sec. New York, </w:t>
      </w:r>
      <w:hyperlink r:id="rId16" w:history="1">
        <w:r>
          <w:rPr>
            <w:rStyle w:val="Hyperlink1"/>
          </w:rPr>
          <w:t>https://www.nytimes.com/1989/11/28/nyregion/supreme-court-won-t-review-sro-ruling.html</w:t>
        </w:r>
      </w:hyperlink>
      <w:r>
        <w:rPr>
          <w:rStyle w:val="None"/>
        </w:rPr>
        <w:t>.</w:t>
      </w:r>
    </w:p>
  </w:endnote>
  <w:endnote w:id="38">
    <w:p w14:paraId="53F05C13" w14:textId="77777777" w:rsidR="00EF0296" w:rsidRDefault="00F3512D">
      <w:pPr>
        <w:pStyle w:val="HeaderFooterA"/>
      </w:pPr>
      <w:r>
        <w:rPr>
          <w:rStyle w:val="EndnoteReference"/>
        </w:rPr>
        <w:endnoteRef/>
      </w:r>
      <w:r>
        <w:rPr>
          <w:rStyle w:val="None"/>
        </w:rPr>
        <w:t xml:space="preserve"> Sullivan and Burke, </w:t>
      </w:r>
      <w:r>
        <w:rPr>
          <w:rStyle w:val="None"/>
          <w:rFonts w:ascii="Arial Unicode MS" w:hAnsi="Arial Unicode MS"/>
          <w:rtl/>
          <w:lang w:val="ar-SA"/>
        </w:rPr>
        <w:t>“</w:t>
      </w:r>
      <w:r>
        <w:rPr>
          <w:rStyle w:val="None"/>
        </w:rPr>
        <w:t>Single-Room Occupancy Housing in New York City: The Origins and Dimensions of a Crisis.”</w:t>
      </w:r>
    </w:p>
  </w:endnote>
  <w:endnote w:id="39">
    <w:p w14:paraId="53F05C14" w14:textId="77777777" w:rsidR="00EF0296" w:rsidRDefault="00F3512D">
      <w:pPr>
        <w:pStyle w:val="HeaderFooterA"/>
      </w:pPr>
      <w:r>
        <w:rPr>
          <w:rStyle w:val="EndnoteReference"/>
        </w:rPr>
        <w:endnoteRef/>
      </w:r>
      <w:r>
        <w:rPr>
          <w:rStyle w:val="NoneA"/>
          <w:rFonts w:eastAsia="Arial Unicode MS" w:cs="Arial Unicode MS"/>
        </w:rPr>
        <w:t xml:space="preserve"> Ibid, 114.</w:t>
      </w:r>
    </w:p>
  </w:endnote>
  <w:endnote w:id="40">
    <w:p w14:paraId="53F05C15"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293.</w:t>
      </w:r>
    </w:p>
  </w:endnote>
  <w:endnote w:id="41">
    <w:p w14:paraId="53F05C16" w14:textId="77777777" w:rsidR="00EF0296" w:rsidRDefault="00F3512D">
      <w:pPr>
        <w:pStyle w:val="HeaderFooterA"/>
      </w:pPr>
      <w:r>
        <w:rPr>
          <w:rStyle w:val="EndnoteReference"/>
        </w:rPr>
        <w:endnoteRef/>
      </w:r>
      <w:r>
        <w:rPr>
          <w:rStyle w:val="NoneA"/>
          <w:rFonts w:eastAsia="Arial Unicode MS" w:cs="Arial Unicode MS"/>
        </w:rPr>
        <w:t xml:space="preserve"> Ibid.</w:t>
      </w:r>
    </w:p>
  </w:endnote>
  <w:endnote w:id="42">
    <w:p w14:paraId="53F05C17"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285.</w:t>
      </w:r>
    </w:p>
  </w:endnote>
  <w:endnote w:id="43">
    <w:p w14:paraId="53F05C18" w14:textId="77777777" w:rsidR="00EF0296" w:rsidRDefault="00F3512D">
      <w:pPr>
        <w:pStyle w:val="HeaderFooterA"/>
      </w:pPr>
      <w:r>
        <w:rPr>
          <w:rStyle w:val="EndnoteReference"/>
        </w:rPr>
        <w:endnoteRef/>
      </w:r>
      <w:r>
        <w:rPr>
          <w:rStyle w:val="None"/>
        </w:rPr>
        <w:t xml:space="preserve"> Andre Shashaty, </w:t>
      </w:r>
      <w:r>
        <w:rPr>
          <w:rStyle w:val="None"/>
          <w:rFonts w:ascii="Arial Unicode MS" w:hAnsi="Arial Unicode MS"/>
          <w:rtl/>
          <w:lang w:val="ar-SA"/>
        </w:rPr>
        <w:t>“</w:t>
      </w:r>
      <w:r>
        <w:rPr>
          <w:rStyle w:val="None"/>
        </w:rPr>
        <w:t xml:space="preserve">U.S. CUTS BACK and SHIFTS COURSE on HOUSING AID,” The New York Times, October 18, 1981, </w:t>
      </w:r>
      <w:hyperlink r:id="rId17" w:history="1">
        <w:r>
          <w:rPr>
            <w:rStyle w:val="Hyperlink1"/>
          </w:rPr>
          <w:t>https://www.nytimes.com/1981/10/18/realestate/us-cuts-back-and-shifts-course-on-housing-aid.html</w:t>
        </w:r>
      </w:hyperlink>
      <w:r>
        <w:rPr>
          <w:rStyle w:val="None"/>
        </w:rPr>
        <w:t>.</w:t>
      </w:r>
    </w:p>
  </w:endnote>
  <w:endnote w:id="44">
    <w:p w14:paraId="53F05C19" w14:textId="77777777" w:rsidR="00EF0296" w:rsidRDefault="00F3512D">
      <w:pPr>
        <w:pStyle w:val="HeaderFooterA"/>
      </w:pPr>
      <w:r>
        <w:rPr>
          <w:rStyle w:val="EndnoteReference"/>
        </w:rPr>
        <w:endnoteRef/>
      </w:r>
      <w:r>
        <w:rPr>
          <w:rStyle w:val="None"/>
        </w:rPr>
        <w:t xml:space="preserve"> National Academies of Sciences, Engineering, and Medicine, </w:t>
      </w:r>
      <w:r>
        <w:rPr>
          <w:rStyle w:val="None"/>
          <w:rFonts w:ascii="Arial Unicode MS" w:hAnsi="Arial Unicode MS"/>
          <w:rtl/>
          <w:lang w:val="ar-SA"/>
        </w:rPr>
        <w:t>“</w:t>
      </w:r>
      <w:r>
        <w:rPr>
          <w:rStyle w:val="None"/>
        </w:rPr>
        <w:t xml:space="preserve">The History of Homelessness in the United States,” National Library of Medicine (National Academies Press (US), July 11, 2018), </w:t>
      </w:r>
      <w:hyperlink r:id="rId18" w:history="1">
        <w:r>
          <w:rPr>
            <w:rStyle w:val="Hyperlink1"/>
          </w:rPr>
          <w:t>https://www.ncbi.nlm.nih.gov/books/NBK519584/</w:t>
        </w:r>
      </w:hyperlink>
      <w:r>
        <w:rPr>
          <w:rStyle w:val="None"/>
        </w:rPr>
        <w:t>.</w:t>
      </w:r>
    </w:p>
  </w:endnote>
  <w:endnote w:id="45">
    <w:p w14:paraId="53F05C1A" w14:textId="77777777" w:rsidR="00EF0296" w:rsidRDefault="00F3512D">
      <w:pPr>
        <w:pStyle w:val="HeaderFooterA"/>
      </w:pPr>
      <w:r>
        <w:rPr>
          <w:rStyle w:val="EndnoteReference"/>
        </w:rPr>
        <w:endnoteRef/>
      </w:r>
      <w:r>
        <w:rPr>
          <w:rStyle w:val="None"/>
        </w:rPr>
        <w:t xml:space="preserve"> Supportive Housing Network of New York, </w:t>
      </w:r>
      <w:r>
        <w:rPr>
          <w:rStyle w:val="None"/>
          <w:rFonts w:ascii="Arial Unicode MS" w:hAnsi="Arial Unicode MS"/>
          <w:rtl/>
          <w:lang w:val="ar-SA"/>
        </w:rPr>
        <w:t>“</w:t>
      </w:r>
      <w:r>
        <w:rPr>
          <w:rStyle w:val="None"/>
        </w:rPr>
        <w:t xml:space="preserve">History of Supportive Housing | What Is Supportive Housing?,” shnny.org, 2024, </w:t>
      </w:r>
      <w:hyperlink r:id="rId19" w:history="1">
        <w:r>
          <w:rPr>
            <w:rStyle w:val="Hyperlink1"/>
          </w:rPr>
          <w:t>https://shnny.org/supportive-housing/what-is-supportive-housing/history-of-supportive-housing/</w:t>
        </w:r>
      </w:hyperlink>
      <w:r>
        <w:rPr>
          <w:rStyle w:val="None"/>
        </w:rPr>
        <w:t>.h</w:t>
      </w:r>
    </w:p>
  </w:endnote>
  <w:endnote w:id="46">
    <w:p w14:paraId="53F05C1B" w14:textId="77777777" w:rsidR="00EF0296" w:rsidRDefault="00F3512D">
      <w:pPr>
        <w:pStyle w:val="HeaderFooterA"/>
      </w:pPr>
      <w:r>
        <w:rPr>
          <w:rStyle w:val="EndnoteReference"/>
        </w:rPr>
        <w:endnoteRef/>
      </w:r>
      <w:r>
        <w:rPr>
          <w:rStyle w:val="NoneA"/>
          <w:rFonts w:eastAsia="Arial Unicode MS" w:cs="Arial Unicode MS"/>
        </w:rPr>
        <w:t xml:space="preserve"> </w:t>
      </w:r>
      <w:r>
        <w:rPr>
          <w:rStyle w:val="NoneA"/>
          <w:rFonts w:eastAsia="Arial Unicode MS" w:cs="Arial Unicode MS"/>
        </w:rPr>
        <w:t>Groth, 273.</w:t>
      </w:r>
    </w:p>
  </w:endnote>
  <w:endnote w:id="47">
    <w:p w14:paraId="53F05C1C" w14:textId="77777777" w:rsidR="00EF0296" w:rsidRDefault="00F3512D">
      <w:pPr>
        <w:pStyle w:val="HeaderFooterA"/>
      </w:pPr>
      <w:r>
        <w:rPr>
          <w:rStyle w:val="EndnoteReference"/>
        </w:rPr>
        <w:endnoteRef/>
      </w:r>
      <w:r>
        <w:rPr>
          <w:rStyle w:val="None"/>
        </w:rPr>
        <w:t xml:space="preserve"> National Academies of Sciences, Engineering, and Medicine, </w:t>
      </w:r>
      <w:r>
        <w:rPr>
          <w:rStyle w:val="None"/>
          <w:rFonts w:ascii="Arial Unicode MS" w:hAnsi="Arial Unicode MS"/>
          <w:rtl/>
          <w:lang w:val="ar-SA"/>
        </w:rPr>
        <w:t>“</w:t>
      </w:r>
      <w:r>
        <w:rPr>
          <w:rStyle w:val="None"/>
        </w:rPr>
        <w:t xml:space="preserve">The History of Homelessness in the United States,” National Library of Medicine (National Academies Press (US), July 11, 2018), </w:t>
      </w:r>
      <w:hyperlink r:id="rId20" w:history="1">
        <w:r>
          <w:rPr>
            <w:rStyle w:val="Hyperlink1"/>
          </w:rPr>
          <w:t>https://www.ncbi.nlm.nih.gov/books/NBK519584/</w:t>
        </w:r>
      </w:hyperlink>
      <w:r>
        <w:rPr>
          <w:rStyle w:val="None"/>
        </w:rPr>
        <w:t>.</w:t>
      </w:r>
    </w:p>
  </w:endnote>
  <w:endnote w:id="48">
    <w:p w14:paraId="53F05C1D" w14:textId="77777777" w:rsidR="00EF0296" w:rsidRDefault="00F3512D">
      <w:pPr>
        <w:pStyle w:val="HeaderFooterA"/>
      </w:pPr>
      <w:r>
        <w:rPr>
          <w:rStyle w:val="EndnoteReference"/>
        </w:rPr>
        <w:endnoteRef/>
      </w:r>
      <w:r>
        <w:rPr>
          <w:rStyle w:val="None"/>
        </w:rPr>
        <w:t xml:space="preserve"> Special Committee on Aging, United States Senate, </w:t>
      </w:r>
      <w:r>
        <w:rPr>
          <w:rStyle w:val="None"/>
          <w:rFonts w:ascii="Arial Unicode MS" w:hAnsi="Arial Unicode MS"/>
          <w:rtl/>
          <w:lang w:val="ar-SA"/>
        </w:rPr>
        <w:t>“</w:t>
      </w:r>
      <w:r>
        <w:rPr>
          <w:rStyle w:val="None"/>
        </w:rPr>
        <w:t xml:space="preserve">Single Room Occupancy: A Need for National Concern” (Washington, D.C.: U.S. Government Printing Office, 1978), </w:t>
      </w:r>
      <w:hyperlink r:id="rId21" w:history="1">
        <w:r>
          <w:rPr>
            <w:rStyle w:val="Hyperlink1"/>
          </w:rPr>
          <w:t>https://www.aging.senate.gov/imo/media/doc/reports/rpt478.pdf</w:t>
        </w:r>
      </w:hyperlink>
      <w:r>
        <w:rPr>
          <w:rStyle w:val="None"/>
        </w:rPr>
        <w:t>.</w:t>
      </w:r>
    </w:p>
  </w:endnote>
  <w:endnote w:id="49">
    <w:p w14:paraId="53F05C1E" w14:textId="77777777" w:rsidR="00EF0296" w:rsidRDefault="00F3512D">
      <w:pPr>
        <w:pStyle w:val="HeaderFooterA"/>
      </w:pPr>
      <w:r>
        <w:rPr>
          <w:rStyle w:val="EndnoteReference"/>
        </w:rPr>
        <w:endnoteRef/>
      </w:r>
      <w:r>
        <w:rPr>
          <w:rStyle w:val="NoneA"/>
          <w:rFonts w:eastAsia="Arial Unicode MS" w:cs="Arial Unicode MS"/>
        </w:rPr>
        <w:t xml:space="preserve"> Ibid.</w:t>
      </w:r>
    </w:p>
  </w:endnote>
  <w:endnote w:id="50">
    <w:p w14:paraId="53F05C1F" w14:textId="77777777" w:rsidR="00EF0296" w:rsidRDefault="00F3512D">
      <w:pPr>
        <w:pStyle w:val="HeaderFooterA"/>
      </w:pPr>
      <w:r>
        <w:rPr>
          <w:rStyle w:val="EndnoteReference"/>
        </w:rPr>
        <w:endnoteRef/>
      </w:r>
      <w:r>
        <w:rPr>
          <w:rStyle w:val="None"/>
          <w:lang w:val="da-DK"/>
        </w:rPr>
        <w:t xml:space="preserve"> Greg Lange, </w:t>
      </w:r>
      <w:r>
        <w:rPr>
          <w:rStyle w:val="None"/>
          <w:rFonts w:ascii="Arial Unicode MS" w:hAnsi="Arial Unicode MS"/>
          <w:rtl/>
          <w:lang w:val="ar-SA"/>
        </w:rPr>
        <w:t>“</w:t>
      </w:r>
      <w:r>
        <w:rPr>
          <w:rStyle w:val="None"/>
        </w:rPr>
        <w:t xml:space="preserve">Arsonist Kills 20 and Injures 10 at the Ozark Hotel Fire in Seattle O,” www.historylink.org, January 15, 1999, </w:t>
      </w:r>
      <w:hyperlink r:id="rId22" w:history="1">
        <w:r>
          <w:rPr>
            <w:rStyle w:val="Hyperlink1"/>
          </w:rPr>
          <w:t>https://www.historylink.org/File/698</w:t>
        </w:r>
      </w:hyperlink>
      <w:r>
        <w:rPr>
          <w:rStyle w:val="None"/>
        </w:rPr>
        <w:t>.</w:t>
      </w:r>
    </w:p>
  </w:endnote>
  <w:endnote w:id="51">
    <w:p w14:paraId="53F05C20" w14:textId="77777777" w:rsidR="00EF0296" w:rsidRDefault="00F3512D">
      <w:pPr>
        <w:pStyle w:val="HeaderFooterA"/>
      </w:pPr>
      <w:r>
        <w:rPr>
          <w:rStyle w:val="EndnoteReference"/>
        </w:rPr>
        <w:endnoteRef/>
      </w:r>
      <w:r>
        <w:rPr>
          <w:rStyle w:val="None"/>
        </w:rPr>
        <w:t xml:space="preserve"> Sinan Demirel, </w:t>
      </w:r>
      <w:r>
        <w:rPr>
          <w:rStyle w:val="None"/>
          <w:rFonts w:ascii="Arial Unicode MS" w:hAnsi="Arial Unicode MS"/>
          <w:rtl/>
          <w:lang w:val="ar-SA"/>
        </w:rPr>
        <w:t>“</w:t>
      </w:r>
      <w:r>
        <w:rPr>
          <w:rStyle w:val="None"/>
        </w:rPr>
        <w:t>Roots of a Crisis: Seattle</w:t>
      </w:r>
      <w:r>
        <w:rPr>
          <w:rStyle w:val="None"/>
          <w:rFonts w:ascii="Arial Unicode MS" w:hAnsi="Arial Unicode MS"/>
          <w:rtl/>
          <w:lang w:val="ar-SA"/>
        </w:rPr>
        <w:t>’</w:t>
      </w:r>
      <w:r>
        <w:rPr>
          <w:rStyle w:val="None"/>
        </w:rPr>
        <w:t xml:space="preserve">s Homelessness Emergency Spans Decades along Yesler Way, Once Known as Skid Road,” www.realchangenews.org, June 29, 2016, </w:t>
      </w:r>
      <w:hyperlink r:id="rId23" w:history="1">
        <w:r>
          <w:rPr>
            <w:rStyle w:val="Hyperlink1"/>
          </w:rPr>
          <w:t>https://www.realchangenews.org/news/2016/06/29/roots-crisis</w:t>
        </w:r>
      </w:hyperlink>
      <w:r>
        <w:rPr>
          <w:rStyle w:val="None"/>
        </w:rPr>
        <w:t>.</w:t>
      </w:r>
    </w:p>
  </w:endnote>
  <w:endnote w:id="52">
    <w:p w14:paraId="53F05C21" w14:textId="77777777" w:rsidR="00EF0296" w:rsidRDefault="00F3512D">
      <w:pPr>
        <w:pStyle w:val="HeaderFooterA"/>
      </w:pPr>
      <w:r>
        <w:rPr>
          <w:rStyle w:val="EndnoteReference"/>
        </w:rPr>
        <w:endnoteRef/>
      </w:r>
      <w:r>
        <w:rPr>
          <w:rStyle w:val="NoneA"/>
          <w:rFonts w:eastAsia="Arial Unicode MS" w:cs="Arial Unicode MS"/>
        </w:rPr>
        <w:t xml:space="preserve"> ibid. </w:t>
      </w:r>
    </w:p>
  </w:endnote>
  <w:endnote w:id="53">
    <w:p w14:paraId="53F05C22" w14:textId="77777777" w:rsidR="00EF0296" w:rsidRDefault="00F3512D">
      <w:pPr>
        <w:pStyle w:val="HeaderFooterA"/>
      </w:pPr>
      <w:r>
        <w:rPr>
          <w:rStyle w:val="EndnoteReference"/>
        </w:rPr>
        <w:endnoteRef/>
      </w:r>
      <w:r>
        <w:rPr>
          <w:rStyle w:val="None"/>
        </w:rPr>
        <w:t xml:space="preserve"> Hallie Golden and Claire Rush, </w:t>
      </w:r>
      <w:r>
        <w:rPr>
          <w:rStyle w:val="None"/>
          <w:rFonts w:ascii="Arial Unicode MS" w:hAnsi="Arial Unicode MS"/>
          <w:rtl/>
          <w:lang w:val="ar-SA"/>
        </w:rPr>
        <w:t>“</w:t>
      </w:r>
      <w:r>
        <w:rPr>
          <w:rStyle w:val="None"/>
        </w:rPr>
        <w:t xml:space="preserve">Micro-apartments are back after nearly a century, as need for affordable housing soars,” </w:t>
      </w:r>
      <w:r>
        <w:rPr>
          <w:rStyle w:val="None"/>
          <w:i/>
          <w:iCs/>
        </w:rPr>
        <w:t>Associated Press.</w:t>
      </w:r>
      <w:r>
        <w:rPr>
          <w:rStyle w:val="None"/>
        </w:rPr>
        <w:t xml:space="preserve"> March 23, 2024. </w:t>
      </w:r>
      <w:hyperlink r:id="rId24" w:history="1">
        <w:r>
          <w:rPr>
            <w:rStyle w:val="Hyperlink3"/>
          </w:rPr>
          <w:t>https://apnews.com/article/micro-apartments-affordable-housing-homelessness-716346460edde132dd3701f8eda74331</w:t>
        </w:r>
      </w:hyperlink>
    </w:p>
  </w:endnote>
  <w:endnote w:id="54">
    <w:p w14:paraId="53F05C23" w14:textId="77777777" w:rsidR="00EF0296" w:rsidRDefault="00F3512D">
      <w:pPr>
        <w:pStyle w:val="HeaderFooterA"/>
      </w:pPr>
      <w:r>
        <w:rPr>
          <w:rStyle w:val="EndnoteReference"/>
        </w:rPr>
        <w:endnoteRef/>
      </w:r>
      <w:r>
        <w:rPr>
          <w:rStyle w:val="None"/>
        </w:rPr>
        <w:t xml:space="preserve"> Laurel Demkovich, </w:t>
      </w:r>
      <w:r>
        <w:rPr>
          <w:rStyle w:val="None"/>
          <w:rFonts w:ascii="Arial Unicode MS" w:hAnsi="Arial Unicode MS"/>
          <w:rtl/>
          <w:lang w:val="ar-SA"/>
        </w:rPr>
        <w:t>“</w:t>
      </w:r>
      <w:r>
        <w:rPr>
          <w:rStyle w:val="None"/>
        </w:rPr>
        <w:t xml:space="preserve">WA House Approves Bill to Expand Dormitory-like Housing • Washington State Standard,” Washington State Standard, February 7, 2024, </w:t>
      </w:r>
      <w:hyperlink r:id="rId25" w:history="1">
        <w:r>
          <w:rPr>
            <w:rStyle w:val="Hyperlink1"/>
          </w:rPr>
          <w:t>https://washingtonstatestandard.com/2024/02/07/wa-house-approves-bill-to-expand-dormitory-like-housing/</w:t>
        </w:r>
      </w:hyperlink>
      <w:r>
        <w:rPr>
          <w:rStyle w:val="None"/>
        </w:rPr>
        <w:t>.</w:t>
      </w:r>
    </w:p>
  </w:endnote>
  <w:endnote w:id="55">
    <w:p w14:paraId="53F05C24" w14:textId="77777777" w:rsidR="00EF0296" w:rsidRDefault="00F3512D">
      <w:pPr>
        <w:pStyle w:val="HeaderFooterA"/>
      </w:pPr>
      <w:r>
        <w:rPr>
          <w:rStyle w:val="EndnoteReference"/>
        </w:rPr>
        <w:endnoteRef/>
      </w:r>
      <w:r>
        <w:rPr>
          <w:rStyle w:val="NoneA"/>
          <w:rFonts w:eastAsia="Arial Unicode MS" w:cs="Arial Unicode MS"/>
        </w:rPr>
        <w:t xml:space="preserve"> Golden and Rush, “Micro-apartments are back after nearly a century, as need for affordable housing soars.” </w:t>
      </w:r>
    </w:p>
  </w:endnote>
  <w:endnote w:id="56">
    <w:p w14:paraId="53F05C25" w14:textId="77777777" w:rsidR="00EF0296" w:rsidRDefault="00F3512D">
      <w:pPr>
        <w:pStyle w:val="HeaderFooterA"/>
      </w:pPr>
      <w:r>
        <w:rPr>
          <w:rStyle w:val="EndnoteReference"/>
        </w:rPr>
        <w:endnoteRef/>
      </w:r>
      <w:r>
        <w:rPr>
          <w:rStyle w:val="None"/>
        </w:rPr>
        <w:t xml:space="preserve"> Dan Rayfield, David Gomberg, and Kayse Jama, </w:t>
      </w:r>
      <w:r>
        <w:rPr>
          <w:rStyle w:val="None"/>
          <w:rFonts w:ascii="Arial Unicode MS" w:hAnsi="Arial Unicode MS"/>
          <w:rtl/>
          <w:lang w:val="ar-SA"/>
        </w:rPr>
        <w:t>“</w:t>
      </w:r>
      <w:r>
        <w:rPr>
          <w:rStyle w:val="None"/>
        </w:rPr>
        <w:t xml:space="preserve">House Bill 3395,” Pub. L. No. HB 3395 (2023), </w:t>
      </w:r>
      <w:hyperlink r:id="rId26" w:history="1">
        <w:r>
          <w:rPr>
            <w:rStyle w:val="Hyperlink1"/>
          </w:rPr>
          <w:t>https://olis.oregonlegislature.gov/liz/2023R1/Downloads/MeasureDocument/HB3395/Enrolled</w:t>
        </w:r>
      </w:hyperlink>
      <w:r>
        <w:rPr>
          <w:rStyle w:val="None"/>
        </w:rPr>
        <w:t>.</w:t>
      </w:r>
    </w:p>
  </w:endnote>
  <w:endnote w:id="57">
    <w:p w14:paraId="53F05C26" w14:textId="77777777" w:rsidR="00EF0296" w:rsidRDefault="00F3512D">
      <w:pPr>
        <w:pStyle w:val="HeaderFooterA"/>
      </w:pPr>
      <w:r>
        <w:rPr>
          <w:rStyle w:val="EndnoteReference"/>
        </w:rPr>
        <w:endnoteRef/>
      </w:r>
      <w:r>
        <w:rPr>
          <w:rStyle w:val="None"/>
        </w:rPr>
        <w:t xml:space="preserve"> National Low Income Housing Coalition, </w:t>
      </w:r>
      <w:r>
        <w:rPr>
          <w:rStyle w:val="None"/>
          <w:rFonts w:ascii="Arial Unicode MS" w:hAnsi="Arial Unicode MS"/>
          <w:rtl/>
          <w:lang w:val="ar-SA"/>
        </w:rPr>
        <w:t>“</w:t>
      </w:r>
      <w:r>
        <w:rPr>
          <w:rStyle w:val="None"/>
        </w:rPr>
        <w:t xml:space="preserve">The Gap: A Shortage of Affordable Homes,” National Low Income Housing Coalition, March 2024, </w:t>
      </w:r>
      <w:hyperlink r:id="rId27" w:history="1">
        <w:r>
          <w:rPr>
            <w:rStyle w:val="Hyperlink1"/>
          </w:rPr>
          <w:t>https://nlihc.org/gap</w:t>
        </w:r>
      </w:hyperlink>
      <w:r>
        <w:rPr>
          <w:rStyle w:val="None"/>
        </w:rPr>
        <w:t>.</w:t>
      </w:r>
    </w:p>
  </w:endnote>
  <w:endnote w:id="58">
    <w:p w14:paraId="53F05C27" w14:textId="77777777" w:rsidR="00EF0296" w:rsidRDefault="00F3512D">
      <w:pPr>
        <w:pStyle w:val="HeaderFooterA"/>
      </w:pPr>
      <w:r>
        <w:rPr>
          <w:rStyle w:val="EndnoteReference"/>
        </w:rPr>
        <w:endnoteRef/>
      </w:r>
      <w:r>
        <w:rPr>
          <w:rStyle w:val="NoneA"/>
          <w:rFonts w:eastAsia="Arial Unicode MS" w:cs="Arial Unicode MS"/>
        </w:rPr>
        <w:t xml:space="preserve"> Ibid.</w:t>
      </w:r>
    </w:p>
  </w:endnote>
  <w:endnote w:id="59">
    <w:p w14:paraId="53F05C28" w14:textId="77777777" w:rsidR="00EF0296" w:rsidRDefault="00F3512D">
      <w:pPr>
        <w:pStyle w:val="HeaderFooterA"/>
      </w:pPr>
      <w:r>
        <w:rPr>
          <w:rStyle w:val="EndnoteReference"/>
        </w:rPr>
        <w:endnoteRef/>
      </w:r>
      <w:r>
        <w:rPr>
          <w:rStyle w:val="None"/>
        </w:rPr>
        <w:t xml:space="preserve"> Mihir Zaveri, </w:t>
      </w:r>
      <w:r>
        <w:rPr>
          <w:rStyle w:val="None"/>
          <w:rFonts w:ascii="Arial Unicode MS" w:hAnsi="Arial Unicode MS"/>
          <w:rtl/>
          <w:lang w:val="ar-SA"/>
        </w:rPr>
        <w:t>“</w:t>
      </w:r>
      <w:r>
        <w:rPr>
          <w:rStyle w:val="None"/>
        </w:rPr>
        <w:t xml:space="preserve">New York Wants to Pay Landlords to Fix and Rent Single-Room Apartments,” The New York Times, December 12, 2023, sec. New York, </w:t>
      </w:r>
      <w:hyperlink r:id="rId28" w:history="1">
        <w:r>
          <w:rPr>
            <w:rStyle w:val="Hyperlink1"/>
          </w:rPr>
          <w:t>https://www.nytimes.com/2023/12/12/nyregion/new-york-sro-apartments.html</w:t>
        </w:r>
      </w:hyperlink>
      <w:r>
        <w:rPr>
          <w:rStyle w:val="None"/>
        </w:rPr>
        <w:t>.</w:t>
      </w:r>
    </w:p>
  </w:endnote>
  <w:endnote w:id="60">
    <w:p w14:paraId="53F05C29" w14:textId="77777777" w:rsidR="00EF0296" w:rsidRDefault="00F3512D">
      <w:pPr>
        <w:pStyle w:val="HeaderFooterA"/>
      </w:pPr>
      <w:r>
        <w:rPr>
          <w:rStyle w:val="EndnoteReference"/>
        </w:rPr>
        <w:endnoteRef/>
      </w:r>
      <w:r>
        <w:rPr>
          <w:rStyle w:val="None"/>
        </w:rPr>
        <w:t xml:space="preserve"> The U.S. Department of Housing and Urban Development, Office of Community Planning and Development et al., </w:t>
      </w:r>
      <w:r>
        <w:rPr>
          <w:rStyle w:val="None"/>
          <w:rFonts w:ascii="Arial Unicode MS" w:hAnsi="Arial Unicode MS"/>
          <w:rtl/>
          <w:lang w:val="ar-SA"/>
        </w:rPr>
        <w:t>“</w:t>
      </w:r>
      <w:r>
        <w:rPr>
          <w:rStyle w:val="None"/>
        </w:rPr>
        <w:t xml:space="preserve">The 2023 Annual Homelessness Assessment Report (AHAR) to Congress ” (U.S. Department of Housing and Urban Development, December 2023), </w:t>
      </w:r>
      <w:hyperlink r:id="rId29" w:history="1">
        <w:r>
          <w:rPr>
            <w:rStyle w:val="Hyperlink1"/>
          </w:rPr>
          <w:t>https://www.huduser.gov/portal/sites/default/files/pdf/2023-AHAR-Part-1.pdf</w:t>
        </w:r>
      </w:hyperlink>
      <w:r>
        <w:rPr>
          <w:rStyle w:val="Non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5BF1" w14:textId="77777777" w:rsidR="00EF0296" w:rsidRDefault="00EF02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BF7E2" w14:textId="77777777" w:rsidR="00213EE5" w:rsidRDefault="00213EE5">
      <w:r>
        <w:separator/>
      </w:r>
    </w:p>
  </w:footnote>
  <w:footnote w:type="continuationSeparator" w:id="0">
    <w:p w14:paraId="1EE9D78F" w14:textId="77777777" w:rsidR="00213EE5" w:rsidRDefault="0021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5BF0" w14:textId="77777777" w:rsidR="00EF0296" w:rsidRDefault="00EF029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5BF2" w14:textId="77777777" w:rsidR="00EF0296" w:rsidRDefault="00EF029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96"/>
    <w:rsid w:val="001557E1"/>
    <w:rsid w:val="00166261"/>
    <w:rsid w:val="00166D85"/>
    <w:rsid w:val="001674C5"/>
    <w:rsid w:val="001A247A"/>
    <w:rsid w:val="001D79D7"/>
    <w:rsid w:val="00213EE5"/>
    <w:rsid w:val="00252F25"/>
    <w:rsid w:val="00304D32"/>
    <w:rsid w:val="003075F5"/>
    <w:rsid w:val="00323CCA"/>
    <w:rsid w:val="00337ED2"/>
    <w:rsid w:val="0034391D"/>
    <w:rsid w:val="0036431B"/>
    <w:rsid w:val="00421FC7"/>
    <w:rsid w:val="00454562"/>
    <w:rsid w:val="004A1A7A"/>
    <w:rsid w:val="004E0D1B"/>
    <w:rsid w:val="00601BA9"/>
    <w:rsid w:val="00714BAA"/>
    <w:rsid w:val="00727DBE"/>
    <w:rsid w:val="007748B9"/>
    <w:rsid w:val="00796A56"/>
    <w:rsid w:val="007E641C"/>
    <w:rsid w:val="00892D5E"/>
    <w:rsid w:val="00931B5B"/>
    <w:rsid w:val="009B2C07"/>
    <w:rsid w:val="00A605CB"/>
    <w:rsid w:val="00AA187F"/>
    <w:rsid w:val="00AB5FEF"/>
    <w:rsid w:val="00AB63FC"/>
    <w:rsid w:val="00AC7CDF"/>
    <w:rsid w:val="00B3339A"/>
    <w:rsid w:val="00B46B9D"/>
    <w:rsid w:val="00B81388"/>
    <w:rsid w:val="00BA27C7"/>
    <w:rsid w:val="00CA3499"/>
    <w:rsid w:val="00D133BC"/>
    <w:rsid w:val="00D35726"/>
    <w:rsid w:val="00D51DDA"/>
    <w:rsid w:val="00E20185"/>
    <w:rsid w:val="00EA3AE2"/>
    <w:rsid w:val="00EF0296"/>
    <w:rsid w:val="00F20407"/>
    <w:rsid w:val="00F26850"/>
    <w:rsid w:val="00F3512D"/>
    <w:rsid w:val="00F71BED"/>
    <w:rsid w:val="00FB238E"/>
    <w:rsid w:val="00FE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5B6C"/>
  <w15:docId w15:val="{036992F3-B595-4DE8-951A-0CDA6D81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w:hAnsi="Helvetica"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styleId="EndnoteReference">
    <w:name w:val="endnote reference"/>
    <w:rPr>
      <w:vertAlign w:val="superscript"/>
    </w:rPr>
  </w:style>
  <w:style w:type="paragraph" w:styleId="EndnoteText">
    <w:name w:val="endnote text"/>
    <w:rPr>
      <w:rFonts w:eastAsia="Times New Roman"/>
      <w:color w:val="000000"/>
      <w:u w:color="000000"/>
    </w:rPr>
  </w:style>
  <w:style w:type="character" w:customStyle="1" w:styleId="None">
    <w:name w:val="None"/>
  </w:style>
  <w:style w:type="character" w:customStyle="1" w:styleId="Hyperlink0">
    <w:name w:val="Hyperlink.0"/>
    <w:basedOn w:val="None"/>
    <w:rPr>
      <w:outline w:val="0"/>
      <w:color w:val="0000EE"/>
      <w:u w:val="single" w:color="0000EE"/>
    </w:rPr>
  </w:style>
  <w:style w:type="paragraph" w:customStyle="1" w:styleId="HeaderFooterA">
    <w:name w:val="Header &amp; Footer A"/>
    <w:pPr>
      <w:tabs>
        <w:tab w:val="right" w:pos="9020"/>
      </w:tabs>
    </w:pPr>
    <w:rPr>
      <w:rFonts w:ascii="Helvetica" w:eastAsia="Helvetica" w:hAnsi="Helvetica" w:cs="Helvetica"/>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None"/>
    <w:rPr>
      <w:outline w:val="0"/>
      <w:color w:val="0000EE"/>
      <w:u w:val="single" w:color="0000EE"/>
      <w:lang w:val="en-US"/>
    </w:rPr>
  </w:style>
  <w:style w:type="character" w:customStyle="1" w:styleId="Hyperlink2">
    <w:name w:val="Hyperlink.2"/>
    <w:basedOn w:val="None"/>
    <w:rPr>
      <w:u w:val="singl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3">
    <w:name w:val="Hyperlink.3"/>
    <w:basedOn w:val="None"/>
    <w:rPr>
      <w:u w:val="single"/>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3572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25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manhattan.institute/article/microunits-a-tool-to-promote-affordable-housing" TargetMode="External"/><Relationship Id="rId13" Type="http://schemas.openxmlformats.org/officeDocument/2006/relationships/hyperlink" Target="https://www.latimes.com/archives/la-xpm-1993-04-25-mn-27098-story.html" TargetMode="External"/><Relationship Id="rId18" Type="http://schemas.openxmlformats.org/officeDocument/2006/relationships/hyperlink" Target="https://www.ncbi.nlm.nih.gov/books/NBK519584/" TargetMode="External"/><Relationship Id="rId26" Type="http://schemas.openxmlformats.org/officeDocument/2006/relationships/hyperlink" Target="https://olis.oregonlegislature.gov/liz/2023R1/Downloads/MeasureDocument/HB3395/Enrolled" TargetMode="External"/><Relationship Id="rId3" Type="http://schemas.openxmlformats.org/officeDocument/2006/relationships/hyperlink" Target="https://www.independent.com/2014/02/21/homeless-czar-outlines-action-plan-get-people-off-streets/" TargetMode="External"/><Relationship Id="rId21" Type="http://schemas.openxmlformats.org/officeDocument/2006/relationships/hyperlink" Target="https://www.aging.senate.gov/imo/media/doc/reports/rpt478.pdf" TargetMode="External"/><Relationship Id="rId7" Type="http://schemas.openxmlformats.org/officeDocument/2006/relationships/hyperlink" Target="https://www.ncbi.nlm.nih.gov/books/NBK519584/" TargetMode="External"/><Relationship Id="rId12" Type="http://schemas.openxmlformats.org/officeDocument/2006/relationships/hyperlink" Target="https://www.gutenberg.org/files/45502/45502-h/45502-h.htm" TargetMode="External"/><Relationship Id="rId17" Type="http://schemas.openxmlformats.org/officeDocument/2006/relationships/hyperlink" Target="https://www.nytimes.com/1981/10/18/realestate/us-cuts-back-and-shifts-course-on-housing-aid.html" TargetMode="External"/><Relationship Id="rId25" Type="http://schemas.openxmlformats.org/officeDocument/2006/relationships/hyperlink" Target="https://washingtonstatestandard.com/2024/02/07/wa-house-approves-bill-to-expand-dormitory-like-housing/" TargetMode="External"/><Relationship Id="rId2" Type="http://schemas.openxmlformats.org/officeDocument/2006/relationships/hyperlink" Target="https://www.governing.com/community/sro-housing-nearly-zoned-out-of-existence-could-re-emerge" TargetMode="External"/><Relationship Id="rId16" Type="http://schemas.openxmlformats.org/officeDocument/2006/relationships/hyperlink" Target="https://www.nytimes.com/1989/11/28/nyregion/supreme-court-won-t-review-sro-ruling.html" TargetMode="External"/><Relationship Id="rId20" Type="http://schemas.openxmlformats.org/officeDocument/2006/relationships/hyperlink" Target="https://www.ncbi.nlm.nih.gov/books/NBK519584/" TargetMode="External"/><Relationship Id="rId29" Type="http://schemas.openxmlformats.org/officeDocument/2006/relationships/hyperlink" Target="https://www.huduser.gov/portal/sites/default/files/pdf/2023-AHAR-Part-1.pdf" TargetMode="External"/><Relationship Id="rId1" Type="http://schemas.openxmlformats.org/officeDocument/2006/relationships/hyperlink" Target="https://www.aging.senate.gov/imo/media/doc/reports/rpt478.pdf" TargetMode="External"/><Relationship Id="rId6" Type="http://schemas.openxmlformats.org/officeDocument/2006/relationships/hyperlink" Target="https://www.mhp.net/assets/resources/documents/a_f_housingreport.pdf" TargetMode="External"/><Relationship Id="rId11" Type="http://schemas.openxmlformats.org/officeDocument/2006/relationships/hyperlink" Target="https://furmancenter.org/files/Small_Units_in_NYC_Working_Paper_for_Posting_UPDATED.pdf" TargetMode="External"/><Relationship Id="rId24" Type="http://schemas.openxmlformats.org/officeDocument/2006/relationships/hyperlink" Target="https://apnews.com/article/micro-apartments-affordable-housing-homelessness-716346460edde132dd3701f8eda74331" TargetMode="External"/><Relationship Id="rId5" Type="http://schemas.openxmlformats.org/officeDocument/2006/relationships/hyperlink" Target="https://doi.org/10.1080/10511482.1991.9521078" TargetMode="External"/><Relationship Id="rId15" Type="http://schemas.openxmlformats.org/officeDocument/2006/relationships/hyperlink" Target="https://ir.lawnet.fordham.edu/ulj/vol12/iss1/3" TargetMode="External"/><Relationship Id="rId23" Type="http://schemas.openxmlformats.org/officeDocument/2006/relationships/hyperlink" Target="https://www.realchangenews.org/news/2016/06/29/roots-crisis" TargetMode="External"/><Relationship Id="rId28" Type="http://schemas.openxmlformats.org/officeDocument/2006/relationships/hyperlink" Target="https://www.nytimes.com/2023/12/12/nyregion/new-york-sro-apartments.html" TargetMode="External"/><Relationship Id="rId10" Type="http://schemas.openxmlformats.org/officeDocument/2006/relationships/hyperlink" Target="https://www.nyc.gov/assets/hpd/downloads/pdfs/about/2023-nychvs-selected-initial-findings.pdf" TargetMode="External"/><Relationship Id="rId19" Type="http://schemas.openxmlformats.org/officeDocument/2006/relationships/hyperlink" Target="https://shnny.org/supportive-housing/what-is-supportive-housing/history-of-supportive-housing/" TargetMode="External"/><Relationship Id="rId4" Type="http://schemas.openxmlformats.org/officeDocument/2006/relationships/hyperlink" Target="https://doi.org/10.1177/000271620502500204" TargetMode="External"/><Relationship Id="rId9" Type="http://schemas.openxmlformats.org/officeDocument/2006/relationships/hyperlink" Target="https://rentguidelinesboard.cityofnewyork.us/wp-content/uploads/2023/05/2023-Hotel-Report.pdf" TargetMode="External"/><Relationship Id="rId14" Type="http://schemas.openxmlformats.org/officeDocument/2006/relationships/hyperlink" Target="https://www.ncbi.nlm.nih.gov/books/NBK519584/" TargetMode="External"/><Relationship Id="rId22" Type="http://schemas.openxmlformats.org/officeDocument/2006/relationships/hyperlink" Target="https://www.historylink.org/File/698" TargetMode="External"/><Relationship Id="rId27" Type="http://schemas.openxmlformats.org/officeDocument/2006/relationships/hyperlink" Target="https://nlihc.org/gap"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59F84CF1F6D468EE53C0A88971BAD" ma:contentTypeVersion="18" ma:contentTypeDescription="Create a new document." ma:contentTypeScope="" ma:versionID="acbc128f4abfb49e1419b5a43ff71568">
  <xsd:schema xmlns:xsd="http://www.w3.org/2001/XMLSchema" xmlns:xs="http://www.w3.org/2001/XMLSchema" xmlns:p="http://schemas.microsoft.com/office/2006/metadata/properties" xmlns:ns2="d8f27af4-3826-4cc5-8eda-4dbc43a2fdae" xmlns:ns3="e474f8bd-3bcd-4ef8-b849-57ef5338e8e9" xmlns:ns4="fb4a9750-0323-4121-8cf8-cdfac05b2c81" targetNamespace="http://schemas.microsoft.com/office/2006/metadata/properties" ma:root="true" ma:fieldsID="d10d78a69b08f34514ff79bead943f34" ns2:_="" ns3:_="" ns4:_="">
    <xsd:import namespace="d8f27af4-3826-4cc5-8eda-4dbc43a2fdae"/>
    <xsd:import namespace="e474f8bd-3bcd-4ef8-b849-57ef5338e8e9"/>
    <xsd:import namespace="fb4a9750-0323-4121-8cf8-cdfac05b2c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27af4-3826-4cc5-8eda-4dbc43a2f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bca51d-57e4-4b06-9e14-ec6e1e92578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4f8bd-3bcd-4ef8-b849-57ef5338e8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a9750-0323-4121-8cf8-cdfac05b2c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7e4c8b-3044-4daa-9c86-b16d62b56d91}" ma:internalName="TaxCatchAll" ma:showField="CatchAllData" ma:web="e474f8bd-3bcd-4ef8-b849-57ef5338e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f27af4-3826-4cc5-8eda-4dbc43a2fdae">
      <Terms xmlns="http://schemas.microsoft.com/office/infopath/2007/PartnerControls"/>
    </lcf76f155ced4ddcb4097134ff3c332f>
    <TaxCatchAll xmlns="fb4a9750-0323-4121-8cf8-cdfac05b2c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1157-8FAE-457F-A262-0165FD54C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27af4-3826-4cc5-8eda-4dbc43a2fdae"/>
    <ds:schemaRef ds:uri="e474f8bd-3bcd-4ef8-b849-57ef5338e8e9"/>
    <ds:schemaRef ds:uri="fb4a9750-0323-4121-8cf8-cdfac05b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642C5-4457-4F63-93E1-33EEE3F3F309}">
  <ds:schemaRefs>
    <ds:schemaRef ds:uri="http://schemas.microsoft.com/sharepoint/v3/contenttype/forms"/>
  </ds:schemaRefs>
</ds:datastoreItem>
</file>

<file path=customXml/itemProps3.xml><?xml version="1.0" encoding="utf-8"?>
<ds:datastoreItem xmlns:ds="http://schemas.openxmlformats.org/officeDocument/2006/customXml" ds:itemID="{8CE41E78-9064-4B33-BB3D-3A8DAB7F50C2}">
  <ds:schemaRefs>
    <ds:schemaRef ds:uri="http://schemas.microsoft.com/office/2006/documentManagement/types"/>
    <ds:schemaRef ds:uri="http://purl.org/dc/elements/1.1/"/>
    <ds:schemaRef ds:uri="http://schemas.openxmlformats.org/package/2006/metadata/core-properties"/>
    <ds:schemaRef ds:uri="fb4a9750-0323-4121-8cf8-cdfac05b2c81"/>
    <ds:schemaRef ds:uri="http://schemas.microsoft.com/office/infopath/2007/PartnerControls"/>
    <ds:schemaRef ds:uri="d8f27af4-3826-4cc5-8eda-4dbc43a2fdae"/>
    <ds:schemaRef ds:uri="http://purl.org/dc/dcmitype/"/>
    <ds:schemaRef ds:uri="http://purl.org/dc/terms/"/>
    <ds:schemaRef ds:uri="e474f8bd-3bcd-4ef8-b849-57ef5338e8e9"/>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703E6553-0F70-4ED2-8F31-13DA1568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4664</Words>
  <Characters>26590</Characters>
  <Application>Microsoft Office Word</Application>
  <DocSecurity>0</DocSecurity>
  <Lines>221</Lines>
  <Paragraphs>62</Paragraphs>
  <ScaleCrop>false</ScaleCrop>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Horowitz</dc:creator>
  <cp:lastModifiedBy>Alex Horowitz</cp:lastModifiedBy>
  <cp:revision>2</cp:revision>
  <dcterms:created xsi:type="dcterms:W3CDTF">2024-07-15T19:54:00Z</dcterms:created>
  <dcterms:modified xsi:type="dcterms:W3CDTF">2024-07-15T19:54:00Z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0x01010057A59F84CF1F6D468EE53C0A88971BAD</vt:lpwstr>
  </property>
  <property fmtid="{D5CDD505-2E9C-101B-9397-08002B2CF9AE}" pid="3" name="MediaServiceImageTags">
    <vt:lpwstr/>
  </property>
</Properties>
</file>