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0881D">
      <w:pPr>
        <w:spacing w:before="360"/>
        <w:jc w:val="center"/>
      </w:pPr>
      <w:r>
        <w:drawing>
          <wp:inline distT="0" distB="0" distL="114300" distR="114300">
            <wp:extent cx="1097280" cy="11017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097280" cy="1101910"/>
                    </a:xfrm>
                    <a:prstGeom prst="rect">
                      <a:avLst/>
                    </a:prstGeom>
                  </pic:spPr>
                </pic:pic>
              </a:graphicData>
            </a:graphic>
          </wp:inline>
        </w:drawing>
      </w:r>
    </w:p>
    <w:p w14:paraId="40F831F6">
      <w:pPr>
        <w:spacing w:before="200"/>
        <w:jc w:val="center"/>
      </w:pPr>
      <w:r>
        <w:rPr>
          <w:rFonts w:ascii="Aptos Display" w:hAnsi="Aptos Display"/>
          <w:b/>
          <w:color w:val="1F5D42"/>
          <w:sz w:val="46"/>
        </w:rPr>
        <w:t>GLOBALGIVING QUARTERLY PROGRESS REPORT</w:t>
      </w:r>
    </w:p>
    <w:p w14:paraId="64735625">
      <w:pPr>
        <w:spacing w:before="80"/>
        <w:jc w:val="center"/>
      </w:pPr>
      <w:r>
        <w:rPr>
          <w:b/>
          <w:color w:val="263238"/>
          <w:sz w:val="38"/>
        </w:rPr>
        <w:t>Eco-Solutions for Women’s Health</w:t>
      </w:r>
    </w:p>
    <w:p w14:paraId="3A9BFA0D">
      <w:pPr>
        <w:jc w:val="center"/>
      </w:pPr>
      <w:r>
        <w:rPr>
          <w:i/>
          <w:color w:val="68757D"/>
          <w:sz w:val="23"/>
        </w:rPr>
        <w:t>Empowering women and girls with locally produced, eco-friendly reusable sanitary pads</w:t>
      </w:r>
    </w:p>
    <w:p w14:paraId="38505E3E">
      <w:pPr>
        <w:pBdr>
          <w:bottom w:val="single" w:color="D6A63C" w:sz="14" w:space="1"/>
        </w:pBdr>
        <w:spacing w:before="200"/>
        <w:jc w:val="center"/>
      </w:pPr>
    </w:p>
    <w:tbl>
      <w:tblPr>
        <w:tblStyle w:val="12"/>
        <w:tblW w:w="0" w:type="auto"/>
        <w:jc w:val="center"/>
        <w:tblLayout w:type="fixed"/>
        <w:tblCellMar>
          <w:top w:w="0" w:type="dxa"/>
          <w:left w:w="108" w:type="dxa"/>
          <w:bottom w:w="0" w:type="dxa"/>
          <w:right w:w="108" w:type="dxa"/>
        </w:tblCellMar>
      </w:tblPr>
      <w:tblGrid>
        <w:gridCol w:w="5083"/>
        <w:gridCol w:w="5083"/>
      </w:tblGrid>
      <w:tr w14:paraId="3B429124">
        <w:tblPrEx>
          <w:tblCellMar>
            <w:top w:w="0" w:type="dxa"/>
            <w:left w:w="108" w:type="dxa"/>
            <w:bottom w:w="0" w:type="dxa"/>
            <w:right w:w="108" w:type="dxa"/>
          </w:tblCellMar>
        </w:tblPrEx>
        <w:trPr>
          <w:tblHeade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3107374A">
            <w:r>
              <w:rPr>
                <w:b/>
                <w:color w:val="1F5D42"/>
              </w:rPr>
              <w:t>Reporting period</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735B0DF7">
            <w:r>
              <w:t>1 April–30 June 2026</w:t>
            </w:r>
          </w:p>
        </w:tc>
      </w:tr>
      <w:tr w14:paraId="1441AC1A">
        <w:tblPrEx>
          <w:tblCellMar>
            <w:top w:w="0" w:type="dxa"/>
            <w:left w:w="108" w:type="dxa"/>
            <w:bottom w:w="0" w:type="dxa"/>
            <w:right w:w="108" w:type="dxa"/>
          </w:tblCellMar>
        </w:tblPrEx>
        <w:trP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000EFFC1">
            <w:r>
              <w:rPr>
                <w:b/>
                <w:color w:val="1F5D42"/>
              </w:rPr>
              <w:t>Organisation</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5CAF4876">
            <w:r>
              <w:t>Dufatanye Organization</w:t>
            </w:r>
          </w:p>
        </w:tc>
      </w:tr>
      <w:tr w14:paraId="226A735A">
        <w:tblPrEx>
          <w:tblCellMar>
            <w:top w:w="0" w:type="dxa"/>
            <w:left w:w="108" w:type="dxa"/>
            <w:bottom w:w="0" w:type="dxa"/>
            <w:right w:w="108" w:type="dxa"/>
          </w:tblCellMar>
        </w:tblPrEx>
        <w:trP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49C5359B">
            <w:r>
              <w:rPr>
                <w:b/>
                <w:color w:val="1F5D42"/>
              </w:rPr>
              <w:t>Public report author</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39D41522">
            <w:r>
              <w:rPr>
                <w:rFonts w:hint="default"/>
                <w:lang w:val="en-US"/>
              </w:rPr>
              <w:t>Archimede, Head of Partnership, Strategy &amp; Impact</w:t>
            </w:r>
          </w:p>
        </w:tc>
      </w:tr>
      <w:tr w14:paraId="31646E8A">
        <w:tblPrEx>
          <w:tblCellMar>
            <w:top w:w="0" w:type="dxa"/>
            <w:left w:w="108" w:type="dxa"/>
            <w:bottom w:w="0" w:type="dxa"/>
            <w:right w:w="108" w:type="dxa"/>
          </w:tblCellMar>
        </w:tblPrEx>
        <w:trP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7A5A7EF5">
            <w:r>
              <w:rPr>
                <w:b/>
                <w:color w:val="1F5D42"/>
              </w:rPr>
              <w:t>Internal report prepared by</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621A476E">
            <w:pPr>
              <w:rPr>
                <w:rFonts w:hint="default"/>
                <w:lang w:val="en-US"/>
              </w:rPr>
            </w:pPr>
            <w:r>
              <w:rPr>
                <w:rFonts w:hint="default"/>
                <w:lang w:val="en-US"/>
              </w:rPr>
              <w:t>Jolie, Project Officer</w:t>
            </w:r>
          </w:p>
        </w:tc>
      </w:tr>
      <w:tr w14:paraId="056C6426">
        <w:tblPrEx>
          <w:tblCellMar>
            <w:top w:w="0" w:type="dxa"/>
            <w:left w:w="108" w:type="dxa"/>
            <w:bottom w:w="0" w:type="dxa"/>
            <w:right w:w="108" w:type="dxa"/>
          </w:tblCellMar>
        </w:tblPrEx>
        <w:trP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04C016FA">
            <w:r>
              <w:rPr>
                <w:b/>
                <w:color w:val="1F5D42"/>
              </w:rPr>
              <w:t>Internal review</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7F52F054">
            <w:pPr>
              <w:rPr>
                <w:rFonts w:hint="default"/>
                <w:lang w:val="en-US"/>
              </w:rPr>
            </w:pPr>
            <w:r>
              <w:rPr>
                <w:rFonts w:hint="default"/>
                <w:lang w:val="en-US"/>
              </w:rPr>
              <w:t>Godfrey, CEO</w:t>
            </w:r>
          </w:p>
        </w:tc>
      </w:tr>
      <w:tr w14:paraId="1A12B4B3">
        <w:tblPrEx>
          <w:tblCellMar>
            <w:top w:w="0" w:type="dxa"/>
            <w:left w:w="108" w:type="dxa"/>
            <w:bottom w:w="0" w:type="dxa"/>
            <w:right w:w="108" w:type="dxa"/>
          </w:tblCellMar>
        </w:tblPrEx>
        <w:trPr>
          <w:jc w:val="center"/>
        </w:trPr>
        <w:tc>
          <w:tcPr>
            <w:tcW w:w="2880" w:type="dxa"/>
            <w:tcBorders>
              <w:top w:val="single" w:color="D9E2DD" w:sz="4" w:space="0"/>
              <w:left w:val="single" w:color="D9E2DD" w:sz="4" w:space="0"/>
              <w:bottom w:val="single" w:color="D9E2DD" w:sz="4" w:space="0"/>
              <w:right w:val="single" w:color="D9E2DD" w:sz="4" w:space="0"/>
            </w:tcBorders>
            <w:shd w:val="clear" w:color="auto" w:fill="EAF3EE"/>
            <w:tcMar>
              <w:top w:w="120" w:type="dxa"/>
              <w:left w:w="130" w:type="dxa"/>
              <w:bottom w:w="120" w:type="dxa"/>
              <w:right w:w="130" w:type="dxa"/>
            </w:tcMar>
          </w:tcPr>
          <w:p w14:paraId="438F1840">
            <w:r>
              <w:rPr>
                <w:b/>
                <w:color w:val="1F5D42"/>
              </w:rPr>
              <w:t>Geographic focus</w:t>
            </w:r>
          </w:p>
        </w:tc>
        <w:tc>
          <w:tcPr>
            <w:tcW w:w="5760" w:type="dxa"/>
            <w:tcBorders>
              <w:top w:val="single" w:color="D9E2DD" w:sz="4" w:space="0"/>
              <w:left w:val="single" w:color="D9E2DD" w:sz="4" w:space="0"/>
              <w:bottom w:val="single" w:color="D9E2DD" w:sz="4" w:space="0"/>
              <w:right w:val="single" w:color="D9E2DD" w:sz="4" w:space="0"/>
            </w:tcBorders>
            <w:shd w:val="clear" w:color="auto" w:fill="FFFFFF"/>
            <w:tcMar>
              <w:top w:w="120" w:type="dxa"/>
              <w:left w:w="130" w:type="dxa"/>
              <w:bottom w:w="120" w:type="dxa"/>
              <w:right w:w="130" w:type="dxa"/>
            </w:tcMar>
          </w:tcPr>
          <w:p w14:paraId="1C971D66">
            <w:r>
              <w:t>Nyanza and project-supported communities in Rwanda</w:t>
            </w:r>
          </w:p>
        </w:tc>
      </w:tr>
    </w:tbl>
    <w:p w14:paraId="76CC38FF">
      <w:pPr>
        <w:spacing w:before="360"/>
        <w:jc w:val="center"/>
      </w:pPr>
      <w:r>
        <w:rPr>
          <w:b/>
          <w:color w:val="1F5D42"/>
          <w:sz w:val="22"/>
        </w:rPr>
        <w:t>Dufatanye Organization</w:t>
      </w:r>
    </w:p>
    <w:p w14:paraId="27B869D3">
      <w:pPr>
        <w:spacing w:after="0"/>
        <w:jc w:val="center"/>
      </w:pPr>
      <w:r>
        <w:rPr>
          <w:color w:val="68757D"/>
          <w:sz w:val="18"/>
        </w:rPr>
        <w:t>Nyanza District, Southern Province, Rwanda | P.O. Box 27 Nyanza</w:t>
      </w:r>
    </w:p>
    <w:p w14:paraId="1F0C62EA">
      <w:pPr>
        <w:spacing w:after="0"/>
        <w:jc w:val="center"/>
      </w:pPr>
      <w:r>
        <w:rPr>
          <w:color w:val="68757D"/>
          <w:sz w:val="18"/>
        </w:rPr>
        <w:t>Mobile: +250 788 513 288 | www.dufatanye.org | dufatanyeass@yahoo.co.uk</w:t>
      </w:r>
    </w:p>
    <w:p w14:paraId="35F91645">
      <w:r>
        <w:br w:type="page"/>
      </w:r>
    </w:p>
    <w:p w14:paraId="1B322EB9">
      <w:pPr>
        <w:pStyle w:val="2"/>
      </w:pPr>
      <w:r>
        <w:t>1. Executive Summary</w:t>
      </w:r>
    </w:p>
    <w:p w14:paraId="07889750">
      <w:pPr>
        <w:pStyle w:val="13"/>
      </w:pPr>
      <w:r>
        <w:t>From April to June 2026, Dufatanye Organization continued implementing the Eco-Solutions for Women’s Health project through the local production and distribution of reusable sanitary pads, preparation of pad components, volunteer participation, and product innovation. The quarter demonstrated strong community commitment and operational resilience, although repeated machine breakdowns, material shortages, and the temporary unavailability of the project tailor prevented the project from reaching all production targets.</w:t>
      </w:r>
    </w:p>
    <w:p w14:paraId="6C27F47C">
      <w:pPr>
        <w:pStyle w:val="13"/>
      </w:pPr>
      <w:r>
        <w:t>Across the three months, the project completed 168 reusable sanitary pads: 70 in April, 48 in May, and 50 in June. The team also prepared 220 absorbent cotton units, including 50 units in May and 170 units in June, and cut 140 waterproof fabric pieces in June. During May, 46 packages of reusable sanitary pads were distributed, with 40 packages delivered to Muhanga School and six packages distributed within the community.</w:t>
      </w:r>
    </w:p>
    <w:tbl>
      <w:tblPr>
        <w:tblStyle w:val="12"/>
        <w:tblW w:w="0" w:type="auto"/>
        <w:jc w:val="center"/>
        <w:tblLayout w:type="fixed"/>
        <w:tblCellMar>
          <w:top w:w="0" w:type="dxa"/>
          <w:left w:w="108" w:type="dxa"/>
          <w:bottom w:w="0" w:type="dxa"/>
          <w:right w:w="108" w:type="dxa"/>
        </w:tblCellMar>
      </w:tblPr>
      <w:tblGrid>
        <w:gridCol w:w="3389"/>
        <w:gridCol w:w="3389"/>
        <w:gridCol w:w="3389"/>
      </w:tblGrid>
      <w:tr w14:paraId="75B13FAB">
        <w:tblPrEx>
          <w:tblCellMar>
            <w:top w:w="0" w:type="dxa"/>
            <w:left w:w="108" w:type="dxa"/>
            <w:bottom w:w="0" w:type="dxa"/>
            <w:right w:w="108" w:type="dxa"/>
          </w:tblCellMar>
        </w:tblPrEx>
        <w:trPr>
          <w:tblHeader/>
          <w:jc w:val="center"/>
        </w:trPr>
        <w:tc>
          <w:tcPr>
            <w:tcW w:w="2880" w:type="dxa"/>
            <w:tcBorders>
              <w:top w:val="single" w:color="FFFFFF" w:sz="6" w:space="0"/>
              <w:left w:val="single" w:color="FFFFFF" w:sz="6" w:space="0"/>
              <w:bottom w:val="single" w:color="FFFFFF" w:sz="6" w:space="0"/>
              <w:right w:val="single" w:color="FFFFFF" w:sz="6" w:space="0"/>
            </w:tcBorders>
            <w:shd w:val="clear" w:color="auto" w:fill="1F5D42"/>
            <w:tcMar>
              <w:top w:w="130" w:type="dxa"/>
              <w:left w:w="90" w:type="dxa"/>
              <w:bottom w:w="130" w:type="dxa"/>
              <w:right w:w="90" w:type="dxa"/>
            </w:tcMar>
            <w:vAlign w:val="center"/>
          </w:tcPr>
          <w:p w14:paraId="7C390A15">
            <w:pPr>
              <w:jc w:val="center"/>
            </w:pPr>
            <w:r>
              <w:rPr>
                <w:b/>
                <w:color w:val="FFFFFF"/>
                <w:sz w:val="44"/>
              </w:rPr>
              <w:t>168</w:t>
            </w:r>
          </w:p>
        </w:tc>
        <w:tc>
          <w:tcPr>
            <w:tcW w:w="2880" w:type="dxa"/>
            <w:tcBorders>
              <w:top w:val="single" w:color="FFFFFF" w:sz="6" w:space="0"/>
              <w:left w:val="single" w:color="FFFFFF" w:sz="6" w:space="0"/>
              <w:bottom w:val="single" w:color="FFFFFF" w:sz="6" w:space="0"/>
              <w:right w:val="single" w:color="FFFFFF" w:sz="6" w:space="0"/>
            </w:tcBorders>
            <w:shd w:val="clear" w:color="auto" w:fill="1F5D42"/>
            <w:tcMar>
              <w:top w:w="130" w:type="dxa"/>
              <w:left w:w="90" w:type="dxa"/>
              <w:bottom w:w="130" w:type="dxa"/>
              <w:right w:w="90" w:type="dxa"/>
            </w:tcMar>
            <w:vAlign w:val="center"/>
          </w:tcPr>
          <w:p w14:paraId="2A94D9B3">
            <w:pPr>
              <w:jc w:val="center"/>
            </w:pPr>
            <w:r>
              <w:rPr>
                <w:b/>
                <w:color w:val="FFFFFF"/>
                <w:sz w:val="44"/>
              </w:rPr>
              <w:t>220</w:t>
            </w:r>
          </w:p>
        </w:tc>
        <w:tc>
          <w:tcPr>
            <w:tcW w:w="2880" w:type="dxa"/>
            <w:tcBorders>
              <w:top w:val="single" w:color="FFFFFF" w:sz="6" w:space="0"/>
              <w:left w:val="single" w:color="FFFFFF" w:sz="6" w:space="0"/>
              <w:bottom w:val="single" w:color="FFFFFF" w:sz="6" w:space="0"/>
              <w:right w:val="single" w:color="FFFFFF" w:sz="6" w:space="0"/>
            </w:tcBorders>
            <w:shd w:val="clear" w:color="auto" w:fill="1F5D42"/>
            <w:tcMar>
              <w:top w:w="130" w:type="dxa"/>
              <w:left w:w="90" w:type="dxa"/>
              <w:bottom w:w="130" w:type="dxa"/>
              <w:right w:w="90" w:type="dxa"/>
            </w:tcMar>
            <w:vAlign w:val="center"/>
          </w:tcPr>
          <w:p w14:paraId="3B327E1C">
            <w:pPr>
              <w:jc w:val="center"/>
            </w:pPr>
            <w:r>
              <w:rPr>
                <w:b/>
                <w:color w:val="FFFFFF"/>
                <w:sz w:val="44"/>
              </w:rPr>
              <w:t>46</w:t>
            </w:r>
          </w:p>
        </w:tc>
      </w:tr>
      <w:tr w14:paraId="0E452770">
        <w:tblPrEx>
          <w:tblCellMar>
            <w:top w:w="0" w:type="dxa"/>
            <w:left w:w="108" w:type="dxa"/>
            <w:bottom w:w="0" w:type="dxa"/>
            <w:right w:w="108" w:type="dxa"/>
          </w:tblCellMar>
        </w:tblPrEx>
        <w:trPr>
          <w:jc w:val="center"/>
        </w:trPr>
        <w:tc>
          <w:tcPr>
            <w:tcW w:w="2880" w:type="dxa"/>
            <w:tcBorders>
              <w:top w:val="single" w:color="FFFFFF" w:sz="6" w:space="0"/>
              <w:left w:val="single" w:color="FFFFFF" w:sz="6" w:space="0"/>
              <w:bottom w:val="single" w:color="FFFFFF" w:sz="6" w:space="0"/>
              <w:right w:val="single" w:color="FFFFFF" w:sz="6" w:space="0"/>
            </w:tcBorders>
            <w:shd w:val="clear" w:color="auto" w:fill="EAF3EE"/>
            <w:tcMar>
              <w:top w:w="130" w:type="dxa"/>
              <w:left w:w="90" w:type="dxa"/>
              <w:bottom w:w="130" w:type="dxa"/>
              <w:right w:w="90" w:type="dxa"/>
            </w:tcMar>
            <w:vAlign w:val="center"/>
          </w:tcPr>
          <w:p w14:paraId="569469C1">
            <w:pPr>
              <w:jc w:val="center"/>
            </w:pPr>
            <w:r>
              <w:rPr>
                <w:b/>
                <w:color w:val="263238"/>
                <w:sz w:val="19"/>
              </w:rPr>
              <w:t>Reusable pads completed</w:t>
            </w:r>
          </w:p>
        </w:tc>
        <w:tc>
          <w:tcPr>
            <w:tcW w:w="2880" w:type="dxa"/>
            <w:tcBorders>
              <w:top w:val="single" w:color="FFFFFF" w:sz="6" w:space="0"/>
              <w:left w:val="single" w:color="FFFFFF" w:sz="6" w:space="0"/>
              <w:bottom w:val="single" w:color="FFFFFF" w:sz="6" w:space="0"/>
              <w:right w:val="single" w:color="FFFFFF" w:sz="6" w:space="0"/>
            </w:tcBorders>
            <w:shd w:val="clear" w:color="auto" w:fill="EAF3EE"/>
            <w:tcMar>
              <w:top w:w="130" w:type="dxa"/>
              <w:left w:w="90" w:type="dxa"/>
              <w:bottom w:w="130" w:type="dxa"/>
              <w:right w:w="90" w:type="dxa"/>
            </w:tcMar>
            <w:vAlign w:val="center"/>
          </w:tcPr>
          <w:p w14:paraId="53796AE5">
            <w:pPr>
              <w:jc w:val="center"/>
            </w:pPr>
            <w:r>
              <w:rPr>
                <w:b/>
                <w:color w:val="263238"/>
                <w:sz w:val="19"/>
              </w:rPr>
              <w:t>Absorbent cotton units prepared</w:t>
            </w:r>
          </w:p>
        </w:tc>
        <w:tc>
          <w:tcPr>
            <w:tcW w:w="2880" w:type="dxa"/>
            <w:tcBorders>
              <w:top w:val="single" w:color="FFFFFF" w:sz="6" w:space="0"/>
              <w:left w:val="single" w:color="FFFFFF" w:sz="6" w:space="0"/>
              <w:bottom w:val="single" w:color="FFFFFF" w:sz="6" w:space="0"/>
              <w:right w:val="single" w:color="FFFFFF" w:sz="6" w:space="0"/>
            </w:tcBorders>
            <w:shd w:val="clear" w:color="auto" w:fill="EAF3EE"/>
            <w:tcMar>
              <w:top w:w="130" w:type="dxa"/>
              <w:left w:w="90" w:type="dxa"/>
              <w:bottom w:w="130" w:type="dxa"/>
              <w:right w:w="90" w:type="dxa"/>
            </w:tcMar>
            <w:vAlign w:val="center"/>
          </w:tcPr>
          <w:p w14:paraId="31A82A75">
            <w:pPr>
              <w:jc w:val="center"/>
            </w:pPr>
            <w:r>
              <w:rPr>
                <w:b/>
                <w:color w:val="263238"/>
                <w:sz w:val="19"/>
              </w:rPr>
              <w:t>Pad packages distributed</w:t>
            </w:r>
          </w:p>
        </w:tc>
      </w:tr>
    </w:tbl>
    <w:p w14:paraId="1E2FC1FF"/>
    <w:p w14:paraId="4C9A47B0">
      <w:pPr>
        <w:pStyle w:val="13"/>
      </w:pPr>
      <w:r>
        <w:t>Community members, volunteers, and young people contributed to fiber cutting, cooking, cleaning, blending, waterproof-material preparation, and pad assembly. Their participation enabled activities to continue when equipment and staffing constraints affected the normal production schedule. The project also assembled a one-metre baby nappy prototype as an innovation activity; absorption and quality testing remained pending at the end of the quarter.</w:t>
      </w:r>
    </w:p>
    <w:p w14:paraId="57C86FEA">
      <w:pPr>
        <w:pStyle w:val="2"/>
      </w:pPr>
      <w:r>
        <w:t>2. Project Overview</w:t>
      </w:r>
    </w:p>
    <w:p w14:paraId="536997C4">
      <w:pPr>
        <w:pStyle w:val="3"/>
      </w:pPr>
      <w:r>
        <w:t>2.1 Project purpose</w:t>
      </w:r>
    </w:p>
    <w:p w14:paraId="259D70FB">
      <w:pPr>
        <w:pStyle w:val="13"/>
      </w:pPr>
      <w:r>
        <w:t>The project seeks to improve access to affordable, comfortable, and reusable menstrual hygiene products for girls and women while strengthening local production skills and community ownership. It combines material preparation, reusable-pad assembly, distribution, volunteer engagement, and practical product development.</w:t>
      </w:r>
    </w:p>
    <w:p w14:paraId="232B8774">
      <w:pPr>
        <w:pStyle w:val="3"/>
      </w:pPr>
      <w:r>
        <w:t>2.2 Reporting period and basis</w:t>
      </w:r>
    </w:p>
    <w:p w14:paraId="00250C78">
      <w:pPr>
        <w:pStyle w:val="13"/>
      </w:pPr>
      <w:r>
        <w:t>This report covers activities undertaken from 1 April to 30 June 2026. It is based on the project’s internal production records, fiber-preparation records, distribution information, photographs, attendance and participation records, weekly reports, and monthly reporting documentation.</w:t>
      </w:r>
    </w:p>
    <w:p w14:paraId="2AA300DB">
      <w:pPr>
        <w:pStyle w:val="3"/>
      </w:pPr>
      <w:r>
        <w:t>2.3 Main implementation areas</w:t>
      </w:r>
    </w:p>
    <w:p w14:paraId="368E3A97">
      <w:pPr>
        <w:pStyle w:val="23"/>
      </w:pPr>
      <w:r>
        <w:t>Preparation of locally available fibers and absorbent cotton for reusable-pad production.</w:t>
      </w:r>
    </w:p>
    <w:p w14:paraId="1AB084F5">
      <w:pPr>
        <w:pStyle w:val="23"/>
      </w:pPr>
      <w:r>
        <w:t>Cutting and preparation of waterproof fabric and other pad components.</w:t>
      </w:r>
    </w:p>
    <w:p w14:paraId="04FB679A">
      <w:pPr>
        <w:pStyle w:val="23"/>
      </w:pPr>
      <w:r>
        <w:t>Assembly of reusable sanitary pads.</w:t>
      </w:r>
    </w:p>
    <w:p w14:paraId="60806496">
      <w:pPr>
        <w:pStyle w:val="23"/>
      </w:pPr>
      <w:r>
        <w:t>Distribution of pad packages to schoolgirls and women in supported communities.</w:t>
      </w:r>
    </w:p>
    <w:p w14:paraId="35152E35">
      <w:pPr>
        <w:pStyle w:val="23"/>
      </w:pPr>
      <w:r>
        <w:t>Mobilisation of volunteers and community members to support production activities.</w:t>
      </w:r>
    </w:p>
    <w:p w14:paraId="3EB45C07">
      <w:pPr>
        <w:pStyle w:val="23"/>
      </w:pPr>
      <w:r>
        <w:t>Innovation testing through development of a baby nappy prototype.</w:t>
      </w:r>
    </w:p>
    <w:p w14:paraId="6CE663A7">
      <w:pPr>
        <w:pStyle w:val="23"/>
      </w:pPr>
      <w:r>
        <w:t>Routine monitoring, documentation, coordination, and donor-ready reporting.</w:t>
      </w:r>
    </w:p>
    <w:p w14:paraId="63D26410">
      <w:pPr>
        <w:pStyle w:val="2"/>
      </w:pPr>
      <w:r>
        <w:t>3. Results at a Glance</w:t>
      </w:r>
    </w:p>
    <w:tbl>
      <w:tblPr>
        <w:tblStyle w:val="12"/>
        <w:tblW w:w="0" w:type="auto"/>
        <w:jc w:val="center"/>
        <w:tblLayout w:type="fixed"/>
        <w:tblCellMar>
          <w:top w:w="0" w:type="dxa"/>
          <w:left w:w="108" w:type="dxa"/>
          <w:bottom w:w="0" w:type="dxa"/>
          <w:right w:w="108" w:type="dxa"/>
        </w:tblCellMar>
      </w:tblPr>
      <w:tblGrid>
        <w:gridCol w:w="2033"/>
        <w:gridCol w:w="2033"/>
        <w:gridCol w:w="2033"/>
        <w:gridCol w:w="2033"/>
        <w:gridCol w:w="2033"/>
      </w:tblGrid>
      <w:tr w14:paraId="18822A4D">
        <w:tblPrEx>
          <w:tblCellMar>
            <w:top w:w="0" w:type="dxa"/>
            <w:left w:w="108" w:type="dxa"/>
            <w:bottom w:w="0" w:type="dxa"/>
            <w:right w:w="108" w:type="dxa"/>
          </w:tblCellMar>
        </w:tblPrEx>
        <w:trPr>
          <w:tblHeader/>
          <w:jc w:val="center"/>
        </w:trPr>
        <w:tc>
          <w:tcPr>
            <w:tcW w:w="2376" w:type="dxa"/>
            <w:shd w:val="clear" w:color="auto" w:fill="1F5D42"/>
            <w:tcMar>
              <w:top w:w="100" w:type="dxa"/>
              <w:left w:w="120" w:type="dxa"/>
              <w:bottom w:w="100" w:type="dxa"/>
              <w:right w:w="120" w:type="dxa"/>
            </w:tcMar>
          </w:tcPr>
          <w:p w14:paraId="7C2090AF">
            <w:pPr>
              <w:jc w:val="center"/>
            </w:pPr>
            <w:r>
              <w:rPr>
                <w:b/>
                <w:color w:val="FFFFFF"/>
              </w:rPr>
              <w:t>Indicator</w:t>
            </w:r>
          </w:p>
        </w:tc>
        <w:tc>
          <w:tcPr>
            <w:tcW w:w="1584" w:type="dxa"/>
            <w:shd w:val="clear" w:color="auto" w:fill="1F5D42"/>
            <w:tcMar>
              <w:top w:w="100" w:type="dxa"/>
              <w:left w:w="120" w:type="dxa"/>
              <w:bottom w:w="100" w:type="dxa"/>
              <w:right w:w="120" w:type="dxa"/>
            </w:tcMar>
          </w:tcPr>
          <w:p w14:paraId="7B29CD2B">
            <w:pPr>
              <w:jc w:val="center"/>
            </w:pPr>
            <w:r>
              <w:rPr>
                <w:b/>
                <w:color w:val="FFFFFF"/>
              </w:rPr>
              <w:t>April</w:t>
            </w:r>
          </w:p>
        </w:tc>
        <w:tc>
          <w:tcPr>
            <w:tcW w:w="1584" w:type="dxa"/>
            <w:shd w:val="clear" w:color="auto" w:fill="1F5D42"/>
            <w:tcMar>
              <w:top w:w="100" w:type="dxa"/>
              <w:left w:w="120" w:type="dxa"/>
              <w:bottom w:w="100" w:type="dxa"/>
              <w:right w:w="120" w:type="dxa"/>
            </w:tcMar>
          </w:tcPr>
          <w:p w14:paraId="1EF14B8A">
            <w:pPr>
              <w:jc w:val="center"/>
            </w:pPr>
            <w:r>
              <w:rPr>
                <w:b/>
                <w:color w:val="FFFFFF"/>
              </w:rPr>
              <w:t>May</w:t>
            </w:r>
          </w:p>
        </w:tc>
        <w:tc>
          <w:tcPr>
            <w:tcW w:w="1584" w:type="dxa"/>
            <w:shd w:val="clear" w:color="auto" w:fill="1F5D42"/>
            <w:tcMar>
              <w:top w:w="100" w:type="dxa"/>
              <w:left w:w="120" w:type="dxa"/>
              <w:bottom w:w="100" w:type="dxa"/>
              <w:right w:w="120" w:type="dxa"/>
            </w:tcMar>
          </w:tcPr>
          <w:p w14:paraId="4BE028CA">
            <w:pPr>
              <w:jc w:val="center"/>
            </w:pPr>
            <w:r>
              <w:rPr>
                <w:b/>
                <w:color w:val="FFFFFF"/>
              </w:rPr>
              <w:t>June</w:t>
            </w:r>
          </w:p>
        </w:tc>
        <w:tc>
          <w:tcPr>
            <w:tcW w:w="2520" w:type="dxa"/>
            <w:shd w:val="clear" w:color="auto" w:fill="1F5D42"/>
            <w:tcMar>
              <w:top w:w="100" w:type="dxa"/>
              <w:left w:w="120" w:type="dxa"/>
              <w:bottom w:w="100" w:type="dxa"/>
              <w:right w:w="120" w:type="dxa"/>
            </w:tcMar>
          </w:tcPr>
          <w:p w14:paraId="660F9083">
            <w:pPr>
              <w:jc w:val="center"/>
            </w:pPr>
            <w:r>
              <w:rPr>
                <w:b/>
                <w:color w:val="FFFFFF"/>
              </w:rPr>
              <w:t>Quarter total/status</w:t>
            </w:r>
          </w:p>
        </w:tc>
      </w:tr>
      <w:tr w14:paraId="4DF51866">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17EC5F7A">
            <w:r>
              <w:rPr>
                <w:b/>
              </w:rPr>
              <w:t>Reusable pads completed</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A0F1EAE">
            <w:pPr>
              <w:jc w:val="center"/>
            </w:pPr>
            <w:r>
              <w:t>70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079E4192">
            <w:pPr>
              <w:jc w:val="center"/>
            </w:pPr>
            <w:r>
              <w:t>48</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51A4FE36">
            <w:pPr>
              <w:jc w:val="center"/>
            </w:pPr>
            <w:r>
              <w:t>50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670F35F8">
            <w:pPr>
              <w:jc w:val="center"/>
            </w:pPr>
            <w:r>
              <w:t>168 completed</w:t>
            </w:r>
          </w:p>
        </w:tc>
      </w:tr>
      <w:tr w14:paraId="4FF5AB09">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78B2E30C">
            <w:r>
              <w:rPr>
                <w:b/>
              </w:rPr>
              <w:t>Absorbent cotton units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410EF703">
            <w:pPr>
              <w:jc w:val="center"/>
              <w:rPr>
                <w:rFonts w:hint="default"/>
                <w:lang w:val="en-US"/>
              </w:rPr>
            </w:pPr>
            <w:r>
              <w:rPr>
                <w:rFonts w:hint="default"/>
                <w:lang w:val="en-US"/>
              </w:rPr>
              <w:t>0</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60588B3">
            <w:pPr>
              <w:jc w:val="center"/>
            </w:pPr>
            <w:r>
              <w:t>50</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4DF6E9F">
            <w:pPr>
              <w:jc w:val="center"/>
            </w:pPr>
            <w:r>
              <w:t>170</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4B0A675F">
            <w:pPr>
              <w:jc w:val="center"/>
            </w:pPr>
            <w:r>
              <w:t>220 units</w:t>
            </w:r>
          </w:p>
        </w:tc>
      </w:tr>
      <w:tr w14:paraId="3219B11B">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199691B0">
            <w:r>
              <w:rPr>
                <w:b/>
              </w:rPr>
              <w:t>Waterproof pieces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41BCBFF2">
            <w:pPr>
              <w:jc w:val="center"/>
              <w:rPr>
                <w:rFonts w:hint="default"/>
                <w:lang w:val="en-US"/>
              </w:rPr>
            </w:pPr>
            <w:r>
              <w:rPr>
                <w:rFonts w:hint="default"/>
                <w:lang w:val="en-US"/>
              </w:rPr>
              <w:t>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31E2AFDF">
            <w:pPr>
              <w:jc w:val="center"/>
              <w:rPr>
                <w:rFonts w:hint="default"/>
                <w:lang w:val="en-US"/>
              </w:rPr>
            </w:pPr>
            <w:r>
              <w:rPr>
                <w:rFonts w:hint="default"/>
                <w:lang w:val="en-US"/>
              </w:rPr>
              <w:t>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7CA61591">
            <w:pPr>
              <w:jc w:val="center"/>
            </w:pPr>
            <w:r>
              <w:t>140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1FAF6781">
            <w:pPr>
              <w:jc w:val="center"/>
            </w:pPr>
            <w:r>
              <w:rPr>
                <w:rFonts w:hint="default"/>
                <w:lang w:val="en-US"/>
              </w:rPr>
              <w:t>1</w:t>
            </w:r>
            <w:r>
              <w:t>40 pieces</w:t>
            </w:r>
          </w:p>
        </w:tc>
      </w:tr>
      <w:tr w14:paraId="205B2B17">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8B1AFA9">
            <w:r>
              <w:rPr>
                <w:b/>
              </w:rPr>
              <w:t>Pad packages distributed</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5EF6DC96">
            <w:pPr>
              <w:jc w:val="center"/>
            </w:pPr>
            <w:r>
              <w:t xml:space="preserve">0 </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6D843186">
            <w:pPr>
              <w:jc w:val="center"/>
            </w:pPr>
            <w:r>
              <w:t>46</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28CCE91">
            <w:pPr>
              <w:jc w:val="center"/>
            </w:pPr>
            <w:r>
              <w:t xml:space="preserve">0 </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18CE0B3">
            <w:pPr>
              <w:jc w:val="center"/>
            </w:pPr>
            <w:r>
              <w:t>46 packages</w:t>
            </w:r>
          </w:p>
        </w:tc>
      </w:tr>
      <w:tr w14:paraId="0066115A">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AFD89F1">
            <w:r>
              <w:rPr>
                <w:b/>
              </w:rPr>
              <w:t>Baby nappy prototype</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68FAE3B2">
            <w:pPr>
              <w:jc w:val="center"/>
            </w:pPr>
            <w:r>
              <w:t>1 metre assembled</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3917F27">
            <w:pPr>
              <w:jc w:val="center"/>
            </w:pPr>
            <w:r>
              <w:t>—</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0C773362">
            <w:pPr>
              <w:jc w:val="center"/>
            </w:pPr>
            <w:r>
              <w:t>—</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B211FD7">
            <w:pPr>
              <w:jc w:val="center"/>
            </w:pPr>
            <w:r>
              <w:t>Absorption test pending</w:t>
            </w:r>
          </w:p>
        </w:tc>
      </w:tr>
      <w:tr w14:paraId="75D939C7">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4CA51C9">
            <w:r>
              <w:rPr>
                <w:b/>
              </w:rPr>
              <w:t>Weekly/monthly reports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EB6B6A6">
            <w:pPr>
              <w:jc w:val="center"/>
            </w:pPr>
            <w:r>
              <w:t>Submitted</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2435DB40">
            <w:pPr>
              <w:jc w:val="center"/>
            </w:pPr>
            <w:r>
              <w:t>Submitted</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5EF9B144">
            <w:pPr>
              <w:jc w:val="center"/>
            </w:pPr>
            <w:r>
              <w:t>Submitted</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53E81817">
            <w:pPr>
              <w:jc w:val="center"/>
            </w:pPr>
            <w:r>
              <w:t>All reports submitted</w:t>
            </w:r>
          </w:p>
        </w:tc>
      </w:tr>
    </w:tbl>
    <w:p w14:paraId="5B1BEBBA">
      <w:pPr>
        <w:pStyle w:val="164"/>
      </w:pPr>
    </w:p>
    <w:p w14:paraId="2FA588DF">
      <w:pPr>
        <w:pStyle w:val="2"/>
      </w:pPr>
      <w:r>
        <w:t>4. Detailed Implementation Progress</w:t>
      </w:r>
    </w:p>
    <w:p w14:paraId="48D16DC8">
      <w:pPr>
        <w:pStyle w:val="3"/>
      </w:pPr>
      <w:r>
        <w:t>4.1 Fiber and absorbent-material preparation</w:t>
      </w:r>
    </w:p>
    <w:p w14:paraId="196191BB">
      <w:pPr>
        <w:pStyle w:val="13"/>
      </w:pPr>
      <w:r>
        <w:t>The project continued preparing fibers and absorbent materials used in reusable-pad production. Community members and volunteers supported the cutting, cooking, cleaning, and blending of fibers. This work helped maintain the supply of production inputs despite equipment interruptions.</w:t>
      </w:r>
    </w:p>
    <w:p w14:paraId="5E87D072">
      <w:pPr>
        <w:pStyle w:val="13"/>
      </w:pPr>
      <w:r>
        <w:t>In April, the team prepared 0.25 kg of fiber against a target of 0.5 kg and completed half a basin of cotton against a target of one basin. The shortfalls were linked to health and workload constraints as well as equipment problems. In May, the project produced 50 absorbent cotton units against a target of 80. Production increased substantially in June, when 170 units were prepared against a target of 200.</w:t>
      </w:r>
    </w:p>
    <w:p w14:paraId="1E6E0254">
      <w:pPr>
        <w:pStyle w:val="3"/>
      </w:pPr>
      <w:r>
        <w:t>4.2 Reusable sanitary pad production</w:t>
      </w:r>
    </w:p>
    <w:p w14:paraId="7E5FF096">
      <w:pPr>
        <w:pStyle w:val="13"/>
      </w:pPr>
      <w:r>
        <w:t>Pad assembly continued in each month of the quarter, but output remained below target. April production reached 70 pads against a target of 100. In May, 48 pads were assembled against a target of 100 per production session. In June, 50 pads were completed against a target of 100.</w:t>
      </w:r>
    </w:p>
    <w:p w14:paraId="02F0A3E3">
      <w:pPr>
        <w:pStyle w:val="13"/>
      </w:pPr>
      <w:r>
        <w:t>The cumulative quarterly output was 168 completed reusable pads. Production delays were primarily associated with machine breakdowns, illness and unavailability of the tailor, and shortages of buttons, towels, needles, and other materials. Volunteers supported cutting and material preparation, but some stages of pad assembly required specialised tailoring skills and functional equipment.</w:t>
      </w:r>
    </w:p>
    <w:tbl>
      <w:tblPr>
        <w:tblStyle w:val="12"/>
        <w:tblW w:w="0" w:type="auto"/>
        <w:jc w:val="center"/>
        <w:tblLayout w:type="fixed"/>
        <w:tblCellMar>
          <w:top w:w="0" w:type="dxa"/>
          <w:left w:w="108" w:type="dxa"/>
          <w:bottom w:w="0" w:type="dxa"/>
          <w:right w:w="108" w:type="dxa"/>
        </w:tblCellMar>
      </w:tblPr>
      <w:tblGrid>
        <w:gridCol w:w="2033"/>
        <w:gridCol w:w="2033"/>
        <w:gridCol w:w="2033"/>
        <w:gridCol w:w="2033"/>
        <w:gridCol w:w="2033"/>
      </w:tblGrid>
      <w:tr w14:paraId="46C54571">
        <w:tblPrEx>
          <w:tblCellMar>
            <w:top w:w="0" w:type="dxa"/>
            <w:left w:w="108" w:type="dxa"/>
            <w:bottom w:w="0" w:type="dxa"/>
            <w:right w:w="108" w:type="dxa"/>
          </w:tblCellMar>
        </w:tblPrEx>
        <w:trPr>
          <w:tblHeader/>
          <w:jc w:val="center"/>
        </w:trPr>
        <w:tc>
          <w:tcPr>
            <w:tcW w:w="2448" w:type="dxa"/>
            <w:shd w:val="clear" w:color="auto" w:fill="1F5D42"/>
            <w:tcMar>
              <w:top w:w="100" w:type="dxa"/>
              <w:left w:w="120" w:type="dxa"/>
              <w:bottom w:w="100" w:type="dxa"/>
              <w:right w:w="120" w:type="dxa"/>
            </w:tcMar>
          </w:tcPr>
          <w:p w14:paraId="4EF84FAF">
            <w:pPr>
              <w:jc w:val="center"/>
            </w:pPr>
            <w:r>
              <w:rPr>
                <w:b/>
                <w:color w:val="FFFFFF"/>
              </w:rPr>
              <w:t>Activity</w:t>
            </w:r>
          </w:p>
        </w:tc>
        <w:tc>
          <w:tcPr>
            <w:tcW w:w="1512" w:type="dxa"/>
            <w:shd w:val="clear" w:color="auto" w:fill="1F5D42"/>
            <w:tcMar>
              <w:top w:w="100" w:type="dxa"/>
              <w:left w:w="120" w:type="dxa"/>
              <w:bottom w:w="100" w:type="dxa"/>
              <w:right w:w="120" w:type="dxa"/>
            </w:tcMar>
          </w:tcPr>
          <w:p w14:paraId="2C1E060E">
            <w:pPr>
              <w:jc w:val="center"/>
            </w:pPr>
            <w:r>
              <w:rPr>
                <w:b/>
                <w:color w:val="FFFFFF"/>
              </w:rPr>
              <w:t>Target</w:t>
            </w:r>
          </w:p>
        </w:tc>
        <w:tc>
          <w:tcPr>
            <w:tcW w:w="1512" w:type="dxa"/>
            <w:shd w:val="clear" w:color="auto" w:fill="1F5D42"/>
            <w:tcMar>
              <w:top w:w="100" w:type="dxa"/>
              <w:left w:w="120" w:type="dxa"/>
              <w:bottom w:w="100" w:type="dxa"/>
              <w:right w:w="120" w:type="dxa"/>
            </w:tcMar>
          </w:tcPr>
          <w:p w14:paraId="3D88F254">
            <w:pPr>
              <w:jc w:val="center"/>
            </w:pPr>
            <w:r>
              <w:rPr>
                <w:b/>
                <w:color w:val="FFFFFF"/>
              </w:rPr>
              <w:t>Actual</w:t>
            </w:r>
          </w:p>
        </w:tc>
        <w:tc>
          <w:tcPr>
            <w:tcW w:w="1512" w:type="dxa"/>
            <w:shd w:val="clear" w:color="auto" w:fill="1F5D42"/>
            <w:tcMar>
              <w:top w:w="100" w:type="dxa"/>
              <w:left w:w="120" w:type="dxa"/>
              <w:bottom w:w="100" w:type="dxa"/>
              <w:right w:w="120" w:type="dxa"/>
            </w:tcMar>
          </w:tcPr>
          <w:p w14:paraId="44DEC1FF">
            <w:pPr>
              <w:jc w:val="center"/>
            </w:pPr>
            <w:r>
              <w:rPr>
                <w:b/>
                <w:color w:val="FFFFFF"/>
              </w:rPr>
              <w:t>Achievement rate</w:t>
            </w:r>
          </w:p>
        </w:tc>
        <w:tc>
          <w:tcPr>
            <w:tcW w:w="2880" w:type="dxa"/>
            <w:shd w:val="clear" w:color="auto" w:fill="1F5D42"/>
            <w:tcMar>
              <w:top w:w="100" w:type="dxa"/>
              <w:left w:w="120" w:type="dxa"/>
              <w:bottom w:w="100" w:type="dxa"/>
              <w:right w:w="120" w:type="dxa"/>
            </w:tcMar>
          </w:tcPr>
          <w:p w14:paraId="4BC7DDD4">
            <w:pPr>
              <w:jc w:val="center"/>
            </w:pPr>
            <w:r>
              <w:rPr>
                <w:b/>
                <w:color w:val="FFFFFF"/>
              </w:rPr>
              <w:t>Main explanation</w:t>
            </w:r>
          </w:p>
        </w:tc>
      </w:tr>
      <w:tr w14:paraId="27344963">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0CCFFF34">
            <w:r>
              <w:t>Pad production – April</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DAC0019">
            <w:pPr>
              <w:jc w:val="center"/>
            </w:pPr>
            <w:r>
              <w:t>100 pads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70F2908F">
            <w:pPr>
              <w:jc w:val="center"/>
            </w:pPr>
            <w:r>
              <w:t>70 pads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759A8E72">
            <w:pPr>
              <w:jc w:val="center"/>
            </w:pPr>
            <w:r>
              <w:t>70%</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1A7D584C">
            <w:r>
              <w:t>Health/workload issues and equipment interruption</w:t>
            </w:r>
          </w:p>
        </w:tc>
      </w:tr>
      <w:tr w14:paraId="130F9354">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12F4FAB">
            <w:r>
              <w:t>Pad assembly – May</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50FD7D8">
            <w:pPr>
              <w:jc w:val="center"/>
            </w:pPr>
            <w:r>
              <w:t>100 pads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687A684B">
            <w:pPr>
              <w:jc w:val="center"/>
            </w:pPr>
            <w:r>
              <w:t>48 pads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358FB0A5">
            <w:pPr>
              <w:jc w:val="center"/>
            </w:pPr>
            <w:r>
              <w:t>48%</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FF6C3CC">
            <w:r>
              <w:t>Machine breakdown and tailor sickness</w:t>
            </w:r>
          </w:p>
        </w:tc>
      </w:tr>
      <w:tr w14:paraId="5A79C7A2">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43DC37D4">
            <w:r>
              <w:t>Absorbent cotton – May</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5BF6E420">
            <w:pPr>
              <w:jc w:val="center"/>
            </w:pPr>
            <w:r>
              <w:t>80 units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1037467C">
            <w:pPr>
              <w:jc w:val="center"/>
            </w:pPr>
            <w:r>
              <w:t>50 units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00EFBAE6">
            <w:pPr>
              <w:jc w:val="center"/>
            </w:pPr>
            <w:r>
              <w:t>62.5%</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66A675CC">
            <w:r>
              <w:t>Machine breakdown limited output</w:t>
            </w:r>
          </w:p>
        </w:tc>
      </w:tr>
      <w:tr w14:paraId="391E510A">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3146A763">
            <w:r>
              <w:t>Pad assembly – June</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69D72237">
            <w:pPr>
              <w:jc w:val="center"/>
            </w:pPr>
            <w:r>
              <w:t>100 pads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D3D9BC3">
            <w:pPr>
              <w:jc w:val="center"/>
            </w:pPr>
            <w:r>
              <w:t>50 pads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608DA85E">
            <w:pPr>
              <w:jc w:val="center"/>
            </w:pPr>
            <w:r>
              <w:t>50%</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0DD63398">
            <w:r>
              <w:t>Tailor unavailability and needle breakage</w:t>
            </w:r>
          </w:p>
        </w:tc>
      </w:tr>
      <w:tr w14:paraId="3AD42D11">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0691916E">
            <w:r>
              <w:t>Absorbent cotton – June</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2FC82E90">
            <w:pPr>
              <w:jc w:val="center"/>
            </w:pPr>
            <w:r>
              <w:t>200 units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68CF0641">
            <w:pPr>
              <w:jc w:val="center"/>
            </w:pPr>
            <w:r>
              <w:t>170 units</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62ABBE1D">
            <w:pPr>
              <w:jc w:val="center"/>
            </w:pPr>
            <w:r>
              <w:t>85%</w:t>
            </w:r>
          </w:p>
        </w:tc>
        <w:tc>
          <w:tcPr>
            <w:tcW w:w="2033" w:type="dxa"/>
            <w:tcBorders>
              <w:top w:val="single" w:color="D9E0E3" w:sz="4" w:space="0"/>
              <w:left w:val="single" w:color="D9E0E3" w:sz="4" w:space="0"/>
              <w:bottom w:val="single" w:color="D9E0E3" w:sz="4" w:space="0"/>
              <w:right w:val="single" w:color="D9E0E3" w:sz="4" w:space="0"/>
            </w:tcBorders>
            <w:shd w:val="clear" w:color="auto" w:fill="FFFFFF"/>
            <w:tcMar>
              <w:top w:w="100" w:type="dxa"/>
              <w:left w:w="120" w:type="dxa"/>
              <w:bottom w:w="100" w:type="dxa"/>
              <w:right w:w="120" w:type="dxa"/>
            </w:tcMar>
          </w:tcPr>
          <w:p w14:paraId="5A0794E2">
            <w:r>
              <w:t>Equipment constraints</w:t>
            </w:r>
          </w:p>
        </w:tc>
      </w:tr>
      <w:tr w14:paraId="1B7531A3">
        <w:tblPrEx>
          <w:tblCellMar>
            <w:top w:w="0" w:type="dxa"/>
            <w:left w:w="108" w:type="dxa"/>
            <w:bottom w:w="0" w:type="dxa"/>
            <w:right w:w="108" w:type="dxa"/>
          </w:tblCellMar>
        </w:tblPrEx>
        <w:trPr>
          <w:jc w:val="center"/>
        </w:trPr>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63DBBD3B">
            <w:r>
              <w:t>Waterproof preparation – June</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ADEA78B">
            <w:pPr>
              <w:jc w:val="center"/>
            </w:pPr>
            <w:r>
              <w:t>150 pieces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42279DE5">
            <w:pPr>
              <w:jc w:val="center"/>
            </w:pPr>
            <w:r>
              <w:t>140 pieces</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88822E4">
            <w:pPr>
              <w:jc w:val="center"/>
            </w:pPr>
            <w:r>
              <w:t>93.3%</w:t>
            </w:r>
          </w:p>
        </w:tc>
        <w:tc>
          <w:tcPr>
            <w:tcW w:w="2033" w:type="dxa"/>
            <w:tcBorders>
              <w:top w:val="single" w:color="D9E0E3" w:sz="4" w:space="0"/>
              <w:left w:val="single" w:color="D9E0E3" w:sz="4" w:space="0"/>
              <w:bottom w:val="single" w:color="D9E0E3" w:sz="4" w:space="0"/>
              <w:right w:val="single" w:color="D9E0E3" w:sz="4" w:space="0"/>
            </w:tcBorders>
            <w:shd w:val="clear" w:color="auto" w:fill="F2F4F5"/>
            <w:tcMar>
              <w:top w:w="100" w:type="dxa"/>
              <w:left w:w="120" w:type="dxa"/>
              <w:bottom w:w="100" w:type="dxa"/>
              <w:right w:w="120" w:type="dxa"/>
            </w:tcMar>
          </w:tcPr>
          <w:p w14:paraId="15C24C91">
            <w:r>
              <w:t>Minor shortfall despite volunteer support</w:t>
            </w:r>
          </w:p>
        </w:tc>
      </w:tr>
    </w:tbl>
    <w:p w14:paraId="45A7BF45">
      <w:pPr>
        <w:pStyle w:val="164"/>
      </w:pPr>
      <w:r>
        <w:t>Table 2. Achievement rates are calculated from the targets and actual results recorded in the internal quarterly report.</w:t>
      </w:r>
    </w:p>
    <w:p w14:paraId="0335E040">
      <w:pPr>
        <w:pStyle w:val="3"/>
      </w:pPr>
      <w:r>
        <w:t>4.3 Waterproof-material preparation</w:t>
      </w:r>
    </w:p>
    <w:p w14:paraId="576BAD6D">
      <w:pPr>
        <w:pStyle w:val="13"/>
      </w:pPr>
      <w:r>
        <w:t>In June, the team prepared 140 waterproof fabric pieces against a target of 150, achieving approximately 93.3 percent of the monthly target. Volunteers contributed to cutting and preparation, demonstrating that selected production tasks can be decentralised and supported through community participation when materials and supervision are available.</w:t>
      </w:r>
    </w:p>
    <w:p w14:paraId="3724347D">
      <w:pPr>
        <w:pStyle w:val="3"/>
      </w:pPr>
      <w:r>
        <w:t>4.4 Distribution of reusable pad packages</w:t>
      </w:r>
    </w:p>
    <w:p w14:paraId="46976A06">
      <w:pPr>
        <w:pStyle w:val="13"/>
      </w:pPr>
      <w:r>
        <w:t>During May, the project distributed 46 packages of reusable sanitary pads. Forty packages were delivered to girls at Muhanga School, and six packages were distributed to girls and women in the local community. The distribution extended the practical benefits of local production beyond the workshop and placed reusable products directly in the hands of intended users.</w:t>
      </w:r>
    </w:p>
    <w:p w14:paraId="0668A6F8">
      <w:pPr>
        <w:pStyle w:val="3"/>
      </w:pPr>
      <w:r>
        <w:t>4.5 Product innovation: baby nappy prototype</w:t>
      </w:r>
    </w:p>
    <w:p w14:paraId="3C4DF2F2">
      <w:pPr>
        <w:pStyle w:val="13"/>
      </w:pPr>
      <w:r>
        <w:t>The project introduced an innovation activity in April by assembling a one-metre baby nappy prototype. This explored whether locally available materials and existing production skills could be adapted to another reusable hygiene product. The prototype was assembled successfully, but absorption and quality tests were still pending at the end of June. No claim is therefore made regarding product effectiveness or readiness for distribution.</w:t>
      </w:r>
    </w:p>
    <w:p w14:paraId="471753BB">
      <w:pPr>
        <w:pStyle w:val="3"/>
      </w:pPr>
      <w:r>
        <w:t>4.6 Volunteer and community engagement</w:t>
      </w:r>
    </w:p>
    <w:p w14:paraId="4C372307">
      <w:pPr>
        <w:pStyle w:val="13"/>
      </w:pPr>
      <w:r>
        <w:t>Volunteers and community participants supported fiber preparation, waterproof-material cutting, and selected pad-assembly tasks. Their contribution reduced the effect of staff shortages and reinforced local ownership. The quarter also showed the limits of volunteer substitution: specialised assembly steps still require a trained tailor, appropriate supervision, functioning machines, and reliable materials.</w:t>
      </w:r>
    </w:p>
    <w:p w14:paraId="5E34408A">
      <w:pPr>
        <w:pStyle w:val="2"/>
      </w:pPr>
      <w:r>
        <w:t>5. Monitoring, Evaluation, Accountability and Learning</w:t>
      </w:r>
    </w:p>
    <w:p w14:paraId="3E9B5048">
      <w:pPr>
        <w:pStyle w:val="3"/>
      </w:pPr>
      <w:r>
        <w:t>5.1 Monitoring and documentation</w:t>
      </w:r>
    </w:p>
    <w:p w14:paraId="4AFE0E8F">
      <w:pPr>
        <w:pStyle w:val="13"/>
      </w:pPr>
      <w:r>
        <w:t>The project used production logs, fiber-preparation records, photographs, attendance information, and weekly and monthly reports to document implementation. The indicators tracked included completed pads, absorbent cotton units, waterproof pieces, innovation prototypes, and reports submitted. All required reports for April, May, and June were submitted on time.</w:t>
      </w:r>
    </w:p>
    <w:p w14:paraId="15F0C1AB">
      <w:pPr>
        <w:pStyle w:val="3"/>
      </w:pPr>
      <w:r>
        <w:t>5.2 Key learning</w:t>
      </w:r>
    </w:p>
    <w:p w14:paraId="58934935">
      <w:pPr>
        <w:pStyle w:val="23"/>
      </w:pPr>
      <w:r>
        <w:t>Preventive machine maintenance and access to spare parts are essential because equipment failure affects several stages of production at once.</w:t>
      </w:r>
    </w:p>
    <w:p w14:paraId="396EA016">
      <w:pPr>
        <w:pStyle w:val="23"/>
      </w:pPr>
      <w:r>
        <w:t>Dependence on one tailor creates a major continuity risk; a trained backup tailor is needed.</w:t>
      </w:r>
    </w:p>
    <w:p w14:paraId="54002218">
      <w:pPr>
        <w:pStyle w:val="23"/>
      </w:pPr>
      <w:r>
        <w:t>Volunteer mobilisation is effective for cutting and material preparation but cannot fully replace specialised technical skills.</w:t>
      </w:r>
    </w:p>
    <w:p w14:paraId="719E451F">
      <w:pPr>
        <w:pStyle w:val="23"/>
      </w:pPr>
      <w:r>
        <w:t>Procurement of small consumables such as buttons, towels, needles, and locks must be planned alongside the main production materials.</w:t>
      </w:r>
    </w:p>
    <w:p w14:paraId="091101A3">
      <w:pPr>
        <w:pStyle w:val="23"/>
      </w:pPr>
      <w:r>
        <w:t>Innovation activities should include documented testing criteria before prototypes are described as successful products.</w:t>
      </w:r>
    </w:p>
    <w:p w14:paraId="6F277D95">
      <w:pPr>
        <w:pStyle w:val="23"/>
      </w:pPr>
      <w:r>
        <w:t>Distribution records need to capture the number of pads per package, unique recipients, age group, location, and acknowledgement of receipt.</w:t>
      </w:r>
    </w:p>
    <w:p w14:paraId="159CA8DA">
      <w:pPr>
        <w:pStyle w:val="3"/>
      </w:pPr>
      <w:r>
        <w:t>5.3 Outcome measurement gap</w:t>
      </w:r>
    </w:p>
    <w:p w14:paraId="23BA4641">
      <w:pPr>
        <w:pStyle w:val="13"/>
      </w:pPr>
      <w:r>
        <w:t>The quarterly report provides solid production and activity data but does not include verified outcome measurements such as changes in menstrual hygiene knowledge, product-use satisfaction across a representative group, school attendance, reduction in expenditure on disposable pads, or the number of months beneficiaries used the products. These outcomes should not be claimed without evidence. The next quarter should introduce simple follow-up tools to measure product use, comfort, washing and drying practices, durability, satisfaction, and any reported effect on school or work participation.</w:t>
      </w:r>
    </w:p>
    <w:p w14:paraId="2560A8F4">
      <w:pPr>
        <w:pStyle w:val="2"/>
      </w:pPr>
      <w:r>
        <w:t>6. Challenges, Risks and Mitigation</w:t>
      </w:r>
    </w:p>
    <w:tbl>
      <w:tblPr>
        <w:tblStyle w:val="12"/>
        <w:tblW w:w="0" w:type="auto"/>
        <w:jc w:val="center"/>
        <w:tblLayout w:type="fixed"/>
        <w:tblCellMar>
          <w:top w:w="0" w:type="dxa"/>
          <w:left w:w="108" w:type="dxa"/>
          <w:bottom w:w="0" w:type="dxa"/>
          <w:right w:w="108" w:type="dxa"/>
        </w:tblCellMar>
      </w:tblPr>
      <w:tblGrid>
        <w:gridCol w:w="2541"/>
        <w:gridCol w:w="2541"/>
        <w:gridCol w:w="2541"/>
        <w:gridCol w:w="2541"/>
      </w:tblGrid>
      <w:tr w14:paraId="5175E286">
        <w:tblPrEx>
          <w:tblCellMar>
            <w:top w:w="0" w:type="dxa"/>
            <w:left w:w="108" w:type="dxa"/>
            <w:bottom w:w="0" w:type="dxa"/>
            <w:right w:w="108" w:type="dxa"/>
          </w:tblCellMar>
        </w:tblPrEx>
        <w:trPr>
          <w:tblHeader/>
          <w:jc w:val="center"/>
        </w:trPr>
        <w:tc>
          <w:tcPr>
            <w:tcW w:w="2016" w:type="dxa"/>
            <w:shd w:val="clear" w:color="auto" w:fill="1F5D42"/>
            <w:tcMar>
              <w:top w:w="100" w:type="dxa"/>
              <w:left w:w="120" w:type="dxa"/>
              <w:bottom w:w="100" w:type="dxa"/>
              <w:right w:w="120" w:type="dxa"/>
            </w:tcMar>
          </w:tcPr>
          <w:p w14:paraId="049E5E1D">
            <w:pPr>
              <w:jc w:val="center"/>
            </w:pPr>
            <w:r>
              <w:rPr>
                <w:b/>
                <w:color w:val="FFFFFF"/>
              </w:rPr>
              <w:t>Challenge/risk</w:t>
            </w:r>
          </w:p>
        </w:tc>
        <w:tc>
          <w:tcPr>
            <w:tcW w:w="3240" w:type="dxa"/>
            <w:shd w:val="clear" w:color="auto" w:fill="1F5D42"/>
            <w:tcMar>
              <w:top w:w="100" w:type="dxa"/>
              <w:left w:w="120" w:type="dxa"/>
              <w:bottom w:w="100" w:type="dxa"/>
              <w:right w:w="120" w:type="dxa"/>
            </w:tcMar>
          </w:tcPr>
          <w:p w14:paraId="371A004F">
            <w:pPr>
              <w:jc w:val="center"/>
            </w:pPr>
            <w:r>
              <w:rPr>
                <w:b/>
                <w:color w:val="FFFFFF"/>
              </w:rPr>
              <w:t>Effect during the quarter</w:t>
            </w:r>
          </w:p>
        </w:tc>
        <w:tc>
          <w:tcPr>
            <w:tcW w:w="2952" w:type="dxa"/>
            <w:shd w:val="clear" w:color="auto" w:fill="1F5D42"/>
            <w:tcMar>
              <w:top w:w="100" w:type="dxa"/>
              <w:left w:w="120" w:type="dxa"/>
              <w:bottom w:w="100" w:type="dxa"/>
              <w:right w:w="120" w:type="dxa"/>
            </w:tcMar>
          </w:tcPr>
          <w:p w14:paraId="051F0493">
            <w:pPr>
              <w:jc w:val="center"/>
            </w:pPr>
            <w:r>
              <w:rPr>
                <w:b/>
                <w:color w:val="FFFFFF"/>
              </w:rPr>
              <w:t>Response taken</w:t>
            </w:r>
          </w:p>
        </w:tc>
        <w:tc>
          <w:tcPr>
            <w:tcW w:w="1872" w:type="dxa"/>
            <w:shd w:val="clear" w:color="auto" w:fill="1F5D42"/>
            <w:tcMar>
              <w:top w:w="100" w:type="dxa"/>
              <w:left w:w="120" w:type="dxa"/>
              <w:bottom w:w="100" w:type="dxa"/>
              <w:right w:w="120" w:type="dxa"/>
            </w:tcMar>
          </w:tcPr>
          <w:p w14:paraId="2C2464FF">
            <w:pPr>
              <w:jc w:val="center"/>
            </w:pPr>
            <w:r>
              <w:rPr>
                <w:b/>
                <w:color w:val="FFFFFF"/>
              </w:rPr>
              <w:t>Priority action</w:t>
            </w:r>
          </w:p>
        </w:tc>
      </w:tr>
      <w:tr w14:paraId="1802575D">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295EE288">
            <w:r>
              <w:t>Health and workload constraints</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5E993C2">
            <w:r>
              <w:t>Reduced April fiber, cotton, and pad output.</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ADE93CB">
            <w:r>
              <w:t>Targets were adjusted and volunteers supported production.</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39B0AE87">
            <w:r>
              <w:t>Prepare contingency staffing and realistic weekly workloads.</w:t>
            </w:r>
          </w:p>
        </w:tc>
      </w:tr>
      <w:tr w14:paraId="30756FEE">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4EABB3B3">
            <w:r>
              <w:t>Machine breakdowns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39831642">
            <w:r>
              <w:t>Interrupted cotton preparation and pad production in April, May, and June.</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47329555">
            <w:r>
              <w:t>Repairs were completed when possible.</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3E637E11">
            <w:r>
              <w:t>Establish preventive maintenance, spare-part stock, and repair budget.</w:t>
            </w:r>
          </w:p>
        </w:tc>
      </w:tr>
      <w:tr w14:paraId="1462B766">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25F56991">
            <w:r>
              <w:t>Tailor unavailability</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346FFC62">
            <w:r>
              <w:t>Delayed pad assembly in May and June.</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2363163A">
            <w:r>
              <w:t>Volunteers supported cutting tasks.</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0BD2A7F9">
            <w:r>
              <w:t>Identify and train a backup tailor.</w:t>
            </w:r>
          </w:p>
        </w:tc>
      </w:tr>
      <w:tr w14:paraId="6F86A001">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3D647A3E">
            <w:r>
              <w:t>Material shortages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07E554BF">
            <w:r>
              <w:t>Buttons and towels constrained May production.</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242F17C5">
            <w:r>
              <w:t>Available stock was prioritised.</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6383BD63">
            <w:r>
              <w:t>Use minimum stock levels and quarterly procurement planning.</w:t>
            </w:r>
          </w:p>
        </w:tc>
      </w:tr>
      <w:tr w14:paraId="292F0074">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348AD405">
            <w:r>
              <w:t>Needle breakage</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0FE57C97">
            <w:r>
              <w:t>Reduced June assembly efficiency.</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1C6E142">
            <w:r>
              <w:t>Damaged needles were replaced where possible.</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6DB10BF9">
            <w:r>
              <w:t>Maintain adequate needle and small-tool reserves.</w:t>
            </w:r>
          </w:p>
        </w:tc>
      </w:tr>
      <w:tr w14:paraId="3D1386DF">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1D6AFCE1">
            <w:r>
              <w:t>Broken storage lock</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5DCE2E10">
            <w:r>
              <w:t>Created a risk of theft or loss of materials in June.</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30C9E3B9">
            <w:r>
              <w:t>Issue was reported to management.</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5F4FBFA8">
            <w:r>
              <w:t>Repair immediately and strengthen stock-control procedures.</w:t>
            </w:r>
          </w:p>
        </w:tc>
      </w:tr>
    </w:tbl>
    <w:p w14:paraId="5AF46E60">
      <w:pPr>
        <w:pStyle w:val="2"/>
      </w:pPr>
      <w:r>
        <w:t>7. Beneficiary Story: Comfort, Confidence and Local Pride</w:t>
      </w:r>
    </w:p>
    <w:tbl>
      <w:tblPr>
        <w:tblStyle w:val="12"/>
        <w:tblW w:w="0" w:type="auto"/>
        <w:jc w:val="center"/>
        <w:tblLayout w:type="fixed"/>
        <w:tblCellMar>
          <w:top w:w="0" w:type="dxa"/>
          <w:left w:w="108" w:type="dxa"/>
          <w:bottom w:w="0" w:type="dxa"/>
          <w:right w:w="108" w:type="dxa"/>
        </w:tblCellMar>
      </w:tblPr>
      <w:tblGrid>
        <w:gridCol w:w="5083"/>
        <w:gridCol w:w="5083"/>
      </w:tblGrid>
      <w:tr w14:paraId="1CF01BE4">
        <w:tblPrEx>
          <w:tblCellMar>
            <w:top w:w="0" w:type="dxa"/>
            <w:left w:w="108" w:type="dxa"/>
            <w:bottom w:w="0" w:type="dxa"/>
            <w:right w:w="108" w:type="dxa"/>
          </w:tblCellMar>
        </w:tblPrEx>
        <w:trPr>
          <w:jc w:val="center"/>
        </w:trPr>
        <w:tc>
          <w:tcPr>
            <w:tcW w:w="2664" w:type="dxa"/>
            <w:tcBorders>
              <w:top w:val="single" w:color="C8DCD0" w:sz="6" w:space="0"/>
              <w:left w:val="single" w:color="C8DCD0" w:sz="6" w:space="0"/>
              <w:bottom w:val="single" w:color="C8DCD0" w:sz="6" w:space="0"/>
              <w:right w:val="single" w:color="C8DCD0" w:sz="6" w:space="0"/>
            </w:tcBorders>
            <w:shd w:val="clear" w:color="auto" w:fill="EAF3EE"/>
            <w:tcMar>
              <w:top w:w="120" w:type="dxa"/>
              <w:left w:w="120" w:type="dxa"/>
              <w:bottom w:w="120" w:type="dxa"/>
              <w:right w:w="120" w:type="dxa"/>
            </w:tcMar>
          </w:tcPr>
          <w:p w14:paraId="322E73F5">
            <w:pPr>
              <w:jc w:val="center"/>
            </w:pPr>
            <w:bookmarkStart w:id="0" w:name="_GoBack"/>
            <w:bookmarkEnd w:id="0"/>
          </w:p>
        </w:tc>
        <w:tc>
          <w:tcPr>
            <w:tcW w:w="7128" w:type="dxa"/>
            <w:tcBorders>
              <w:top w:val="single" w:color="C8DCD0" w:sz="6" w:space="0"/>
              <w:left w:val="single" w:color="C8DCD0" w:sz="6" w:space="0"/>
              <w:bottom w:val="single" w:color="C8DCD0" w:sz="6" w:space="0"/>
              <w:right w:val="single" w:color="C8DCD0" w:sz="6" w:space="0"/>
            </w:tcBorders>
            <w:shd w:val="clear" w:color="auto" w:fill="EAF3EE"/>
            <w:tcMar>
              <w:top w:w="120" w:type="dxa"/>
              <w:left w:w="120" w:type="dxa"/>
              <w:bottom w:w="120" w:type="dxa"/>
              <w:right w:w="120" w:type="dxa"/>
            </w:tcMar>
          </w:tcPr>
          <w:p w14:paraId="069CDCF9">
            <w:pPr>
              <w:spacing w:after="140"/>
            </w:pPr>
            <w:r>
              <w:rPr>
                <w:b/>
                <w:color w:val="1F5D42"/>
                <w:sz w:val="26"/>
              </w:rPr>
              <w:t>Madelene (not her real name)</w:t>
            </w:r>
          </w:p>
          <w:p w14:paraId="15F10A18">
            <w:pPr>
              <w:spacing w:after="140"/>
            </w:pPr>
            <w:r>
              <w:t>Madelene is 41 and lives in Nyamagana A Village. Before the project, finding reliable and affordable menstrual products caused recurring discomfort and worry. After using both reusable-pad designs, she described them as absorbent, soft, comfortable, easy to wash, and reusable.</w:t>
            </w:r>
          </w:p>
          <w:p w14:paraId="71049795">
            <w:pPr>
              <w:spacing w:after="140"/>
            </w:pPr>
            <w:r>
              <w:rPr>
                <w:b/>
                <w:i/>
                <w:color w:val="263238"/>
              </w:rPr>
              <w:t>“Using them gave me confidence and peace of mind.”</w:t>
            </w:r>
          </w:p>
          <w:p w14:paraId="7E58833F">
            <w:r>
              <w:t>She expressed pride that the pads were made in her community. This is one beneficiary’s testimony, not evidence of project-wide outcomes.</w:t>
            </w:r>
          </w:p>
        </w:tc>
      </w:tr>
    </w:tbl>
    <w:p w14:paraId="4D8B7A61">
      <w:pPr>
        <w:pStyle w:val="164"/>
        <w:jc w:val="center"/>
      </w:pPr>
      <w:r>
        <w:t>Madelene (not her real name), a participant in the community sanitary pad initiative.</w:t>
      </w:r>
    </w:p>
    <w:p w14:paraId="310F9293">
      <w:pPr>
        <w:pStyle w:val="2"/>
      </w:pPr>
      <w:r>
        <w:t>8. Sustainability and Community Ownership</w:t>
      </w:r>
    </w:p>
    <w:p w14:paraId="06E9DB2D">
      <w:pPr>
        <w:pStyle w:val="13"/>
      </w:pPr>
      <w:r>
        <w:t>The project’s sustainability approach is grounded in local production, reuse, community participation, and the progressive transfer of practical production skills. The use of local fibers and community labour can reduce dependence on externally supplied finished products. Reusable pads may also provide longer-term value to users when products are safe, durable, correctly washed, and properly dried.</w:t>
      </w:r>
    </w:p>
    <w:p w14:paraId="13F2DD33">
      <w:pPr>
        <w:pStyle w:val="13"/>
      </w:pPr>
      <w:r>
        <w:t>However, sustainability depends on more than local materials. The quarter exposed operational vulnerabilities in equipment maintenance, technical staffing, small-material procurement, storage security, and quality testing. Addressing these weaknesses is necessary before production can be described as consistently reliable or ready for significant scale-up.</w:t>
      </w:r>
    </w:p>
    <w:p w14:paraId="5878DEA8">
      <w:pPr>
        <w:pStyle w:val="3"/>
      </w:pPr>
      <w:r>
        <w:t>8.1 Conditions required for responsible scale-up</w:t>
      </w:r>
    </w:p>
    <w:p w14:paraId="4F1FFA48">
      <w:pPr>
        <w:pStyle w:val="23"/>
      </w:pPr>
      <w:r>
        <w:t>Functional and regularly maintained sewing and fiber-processing equipment.</w:t>
      </w:r>
    </w:p>
    <w:p w14:paraId="1ABB4CCF">
      <w:pPr>
        <w:pStyle w:val="23"/>
      </w:pPr>
      <w:r>
        <w:t>At least two trained tailors or production technicians to avoid single-person dependency.</w:t>
      </w:r>
    </w:p>
    <w:p w14:paraId="16FEA9EF">
      <w:pPr>
        <w:pStyle w:val="23"/>
      </w:pPr>
      <w:r>
        <w:t>Documented product specifications and quality-control checks for absorbency, stitching, comfort, washing, drying, and durability.</w:t>
      </w:r>
    </w:p>
    <w:p w14:paraId="584C4D5C">
      <w:pPr>
        <w:pStyle w:val="23"/>
      </w:pPr>
      <w:r>
        <w:t>Accurate stock and distribution records that link inputs, completed products, packages, and beneficiaries.</w:t>
      </w:r>
    </w:p>
    <w:p w14:paraId="5D62F024">
      <w:pPr>
        <w:pStyle w:val="23"/>
      </w:pPr>
      <w:r>
        <w:t>Reliable procurement of towels, buttons, waterproof fabric, needles, thread, and replacement parts.</w:t>
      </w:r>
    </w:p>
    <w:p w14:paraId="1E1D6DC9">
      <w:pPr>
        <w:pStyle w:val="23"/>
      </w:pPr>
      <w:r>
        <w:t>Structured user feedback and follow-up before expanding to additional schools and communities.</w:t>
      </w:r>
    </w:p>
    <w:p w14:paraId="446B155F">
      <w:pPr>
        <w:pStyle w:val="2"/>
      </w:pPr>
      <w:r>
        <w:t>9. Next-Quarter Work Plan: July–September 2026</w:t>
      </w:r>
    </w:p>
    <w:p w14:paraId="2CC4FD24">
      <w:pPr>
        <w:pStyle w:val="13"/>
      </w:pPr>
      <w:r>
        <w:t>The internal work plan sets ambitious weekly production targets. Achieving them will require the operational risks identified during the quarter to be addressed early, particularly machine reliability, staffing, materials, and storage security.</w:t>
      </w:r>
    </w:p>
    <w:tbl>
      <w:tblPr>
        <w:tblStyle w:val="12"/>
        <w:tblW w:w="0" w:type="auto"/>
        <w:jc w:val="center"/>
        <w:tblLayout w:type="fixed"/>
        <w:tblCellMar>
          <w:top w:w="0" w:type="dxa"/>
          <w:left w:w="108" w:type="dxa"/>
          <w:bottom w:w="0" w:type="dxa"/>
          <w:right w:w="108" w:type="dxa"/>
        </w:tblCellMar>
      </w:tblPr>
      <w:tblGrid>
        <w:gridCol w:w="2541"/>
        <w:gridCol w:w="2541"/>
        <w:gridCol w:w="2541"/>
        <w:gridCol w:w="2541"/>
      </w:tblGrid>
      <w:tr w14:paraId="5D353AE5">
        <w:tblPrEx>
          <w:tblCellMar>
            <w:top w:w="0" w:type="dxa"/>
            <w:left w:w="108" w:type="dxa"/>
            <w:bottom w:w="0" w:type="dxa"/>
            <w:right w:w="108" w:type="dxa"/>
          </w:tblCellMar>
        </w:tblPrEx>
        <w:trPr>
          <w:tblHeader/>
          <w:jc w:val="center"/>
        </w:trPr>
        <w:tc>
          <w:tcPr>
            <w:tcW w:w="3384" w:type="dxa"/>
            <w:shd w:val="clear" w:color="auto" w:fill="1F5D42"/>
            <w:tcMar>
              <w:top w:w="100" w:type="dxa"/>
              <w:left w:w="120" w:type="dxa"/>
              <w:bottom w:w="100" w:type="dxa"/>
              <w:right w:w="120" w:type="dxa"/>
            </w:tcMar>
          </w:tcPr>
          <w:p w14:paraId="7F40C835">
            <w:pPr>
              <w:jc w:val="center"/>
            </w:pPr>
            <w:r>
              <w:rPr>
                <w:b/>
                <w:color w:val="FFFFFF"/>
              </w:rPr>
              <w:t>Priority activity</w:t>
            </w:r>
          </w:p>
        </w:tc>
        <w:tc>
          <w:tcPr>
            <w:tcW w:w="2088" w:type="dxa"/>
            <w:shd w:val="clear" w:color="auto" w:fill="1F5D42"/>
            <w:tcMar>
              <w:top w:w="100" w:type="dxa"/>
              <w:left w:w="120" w:type="dxa"/>
              <w:bottom w:w="100" w:type="dxa"/>
              <w:right w:w="120" w:type="dxa"/>
            </w:tcMar>
          </w:tcPr>
          <w:p w14:paraId="1C6BA5E2">
            <w:pPr>
              <w:jc w:val="center"/>
            </w:pPr>
            <w:r>
              <w:rPr>
                <w:b/>
                <w:color w:val="FFFFFF"/>
              </w:rPr>
              <w:t>Target/standard</w:t>
            </w:r>
          </w:p>
        </w:tc>
        <w:tc>
          <w:tcPr>
            <w:tcW w:w="2448" w:type="dxa"/>
            <w:shd w:val="clear" w:color="auto" w:fill="1F5D42"/>
            <w:tcMar>
              <w:top w:w="100" w:type="dxa"/>
              <w:left w:w="120" w:type="dxa"/>
              <w:bottom w:w="100" w:type="dxa"/>
              <w:right w:w="120" w:type="dxa"/>
            </w:tcMar>
          </w:tcPr>
          <w:p w14:paraId="03E1BE97">
            <w:pPr>
              <w:jc w:val="center"/>
            </w:pPr>
            <w:r>
              <w:rPr>
                <w:b/>
                <w:color w:val="FFFFFF"/>
              </w:rPr>
              <w:t>Verification</w:t>
            </w:r>
          </w:p>
        </w:tc>
        <w:tc>
          <w:tcPr>
            <w:tcW w:w="2232" w:type="dxa"/>
            <w:shd w:val="clear" w:color="auto" w:fill="1F5D42"/>
            <w:tcMar>
              <w:top w:w="100" w:type="dxa"/>
              <w:left w:w="120" w:type="dxa"/>
              <w:bottom w:w="100" w:type="dxa"/>
              <w:right w:w="120" w:type="dxa"/>
            </w:tcMar>
          </w:tcPr>
          <w:p w14:paraId="69CFB2E1">
            <w:pPr>
              <w:jc w:val="center"/>
            </w:pPr>
            <w:r>
              <w:rPr>
                <w:b/>
                <w:color w:val="FFFFFF"/>
              </w:rPr>
              <w:t>Management requirement</w:t>
            </w:r>
          </w:p>
        </w:tc>
      </w:tr>
      <w:tr w14:paraId="6D7D6D47">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11369A63">
            <w:r>
              <w:t>Produce absorbent cotton</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094CE09B">
            <w:r>
              <w:t>80 units per week</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F9830FC">
            <w:r>
              <w:t>Production log and stock count</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B33BF38">
            <w:r>
              <w:t>Functional equipment and materials</w:t>
            </w:r>
          </w:p>
        </w:tc>
      </w:tr>
      <w:tr w14:paraId="28819E02">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47684679">
            <w:r>
              <w:t>Assemble reusable pads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5F3BBB7C">
            <w:r>
              <w:t>100 pads per week</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338C061A">
            <w:r>
              <w:t>Completed-product register and quality checks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459986B5">
            <w:r>
              <w:t>Tailor and backup tailor available</w:t>
            </w:r>
          </w:p>
        </w:tc>
      </w:tr>
      <w:tr w14:paraId="03BCAAF9">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1A41102D">
            <w:r>
              <w:t>Prepare waterproof pieces</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5E26F88">
            <w:r>
              <w:t>100 pieces per week</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3F26760">
            <w:r>
              <w:t>Cutting log and stock count</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13462EE">
            <w:r>
              <w:t>Volunteer schedule and fabric availability</w:t>
            </w:r>
          </w:p>
        </w:tc>
      </w:tr>
      <w:tr w14:paraId="6A0968ED">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11D4B340">
            <w:r>
              <w:t>Improve storage security</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075864EF">
            <w:r>
              <w:t>Repair and reinforce locks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75FFB779">
            <w:r>
              <w:t>Repair confirmation and stock inspection</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7F5D3D40">
            <w:r>
              <w:t>Immediate management action</w:t>
            </w:r>
          </w:p>
        </w:tc>
      </w:tr>
      <w:tr w14:paraId="16BB3BAE">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C938858">
            <w:r>
              <w:t>Advance nappy prototype</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DDCF844">
            <w:r>
              <w:t>Complete absorption and quality trials</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C4F0A62">
            <w:r>
              <w:t>Written test results and decision record</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540BC795">
            <w:r>
              <w:t>Defined test criteria and supervision</w:t>
            </w:r>
          </w:p>
        </w:tc>
      </w:tr>
      <w:tr w14:paraId="376E51A7">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25293023">
            <w:r>
              <w:t>Maintain reporting quality</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7265C498">
            <w:r>
              <w:t>All weekly/monthly reports submitted</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11E4EB89">
            <w:r>
              <w:t>Submission tracker</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76A79BB8">
            <w:r>
              <w:t>Consistent data review</w:t>
            </w:r>
          </w:p>
        </w:tc>
      </w:tr>
      <w:tr w14:paraId="3E6E5026">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AFF3FDA">
            <w:r>
              <w:t>Strengthen distribution data</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17951AF4">
            <w:r>
              <w:t>Record packages, pads, recipients, location and signatures</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40D9D0B4">
            <w:r>
              <w:t>Standard distribution register</w:t>
            </w:r>
          </w:p>
        </w:tc>
        <w:tc>
          <w:tcPr>
            <w:tcW w:w="2541" w:type="dxa"/>
            <w:tcBorders>
              <w:top w:val="single" w:color="D9E0E3" w:sz="4" w:space="0"/>
              <w:left w:val="single" w:color="D9E0E3" w:sz="4" w:space="0"/>
              <w:bottom w:val="single" w:color="D9E0E3" w:sz="4" w:space="0"/>
              <w:right w:val="single" w:color="D9E0E3" w:sz="4" w:space="0"/>
            </w:tcBorders>
            <w:shd w:val="clear" w:color="auto" w:fill="FFFFFF"/>
            <w:tcMar>
              <w:top w:w="90" w:type="dxa"/>
              <w:left w:w="120" w:type="dxa"/>
              <w:bottom w:w="90" w:type="dxa"/>
              <w:right w:w="120" w:type="dxa"/>
            </w:tcMar>
          </w:tcPr>
          <w:p w14:paraId="16348DD9">
            <w:r>
              <w:t>MEAL and project-team oversight</w:t>
            </w:r>
          </w:p>
        </w:tc>
      </w:tr>
      <w:tr w14:paraId="5036C08A">
        <w:tblPrEx>
          <w:tblCellMar>
            <w:top w:w="0" w:type="dxa"/>
            <w:left w:w="108" w:type="dxa"/>
            <w:bottom w:w="0" w:type="dxa"/>
            <w:right w:w="108" w:type="dxa"/>
          </w:tblCellMar>
        </w:tblPrEx>
        <w:trPr>
          <w:jc w:val="center"/>
        </w:trPr>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458B20D7">
            <w:r>
              <w:t>Collect user feedback</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727AD9A6">
            <w:r>
              <w:t>Conduct structured follow-up with a defined sample</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6B2A7311">
            <w:r>
              <w:t>Feedback forms and short analysis</w:t>
            </w:r>
          </w:p>
        </w:tc>
        <w:tc>
          <w:tcPr>
            <w:tcW w:w="2541" w:type="dxa"/>
            <w:tcBorders>
              <w:top w:val="single" w:color="D9E0E3" w:sz="4" w:space="0"/>
              <w:left w:val="single" w:color="D9E0E3" w:sz="4" w:space="0"/>
              <w:bottom w:val="single" w:color="D9E0E3" w:sz="4" w:space="0"/>
              <w:right w:val="single" w:color="D9E0E3" w:sz="4" w:space="0"/>
            </w:tcBorders>
            <w:shd w:val="clear" w:color="auto" w:fill="F2F4F5"/>
            <w:tcMar>
              <w:top w:w="90" w:type="dxa"/>
              <w:left w:w="120" w:type="dxa"/>
              <w:bottom w:w="90" w:type="dxa"/>
              <w:right w:w="120" w:type="dxa"/>
            </w:tcMar>
          </w:tcPr>
          <w:p w14:paraId="11556067">
            <w:r>
              <w:t>Safeguarding and informed participation</w:t>
            </w:r>
          </w:p>
        </w:tc>
      </w:tr>
    </w:tbl>
    <w:p w14:paraId="39FFE6DC">
      <w:pPr>
        <w:pStyle w:val="2"/>
      </w:pPr>
      <w:r>
        <w:t>10. Management Recommendations</w:t>
      </w:r>
    </w:p>
    <w:p w14:paraId="1364EBAD">
      <w:pPr>
        <w:pStyle w:val="29"/>
      </w:pPr>
      <w:r>
        <w:rPr>
          <w:b/>
        </w:rPr>
        <w:t xml:space="preserve">Protect production continuity. </w:t>
      </w:r>
      <w:r>
        <w:t>Approve a preventive maintenance schedule, essential spare-part stock, and a clear process for rapid repairs.</w:t>
      </w:r>
    </w:p>
    <w:p w14:paraId="0A9D33A4">
      <w:pPr>
        <w:pStyle w:val="29"/>
      </w:pPr>
      <w:r>
        <w:rPr>
          <w:b/>
        </w:rPr>
        <w:t xml:space="preserve">Reduce staffing dependency. </w:t>
      </w:r>
      <w:r>
        <w:t>Train and retain a backup tailor who can take over when the primary tailor is unavailable.</w:t>
      </w:r>
    </w:p>
    <w:p w14:paraId="07BC3BC0">
      <w:pPr>
        <w:pStyle w:val="29"/>
      </w:pPr>
      <w:r>
        <w:rPr>
          <w:b/>
        </w:rPr>
        <w:t xml:space="preserve">Tighten inventory controls. </w:t>
      </w:r>
      <w:r>
        <w:t>Set minimum stock levels for buttons, towels, needles, waterproof fabric, thread, and other small materials.</w:t>
      </w:r>
    </w:p>
    <w:p w14:paraId="4B7F8C89">
      <w:pPr>
        <w:pStyle w:val="29"/>
      </w:pPr>
      <w:r>
        <w:rPr>
          <w:b/>
        </w:rPr>
        <w:t xml:space="preserve">Fix the distribution evidence gap. </w:t>
      </w:r>
      <w:r>
        <w:t>Use a standard register that records package contents, unique beneficiary identifiers, age category, school/community, date, and signature or acknowledgement.</w:t>
      </w:r>
    </w:p>
    <w:p w14:paraId="539CDCA0">
      <w:pPr>
        <w:pStyle w:val="29"/>
      </w:pPr>
      <w:r>
        <w:rPr>
          <w:b/>
        </w:rPr>
        <w:t xml:space="preserve">Introduce basic quality assurance. </w:t>
      </w:r>
      <w:r>
        <w:t>Inspect each production batch for stitching, size, absorbency, waterproof performance, comfort, washability, and visible defects.</w:t>
      </w:r>
    </w:p>
    <w:p w14:paraId="7A82AB69">
      <w:pPr>
        <w:pStyle w:val="29"/>
      </w:pPr>
      <w:r>
        <w:rPr>
          <w:b/>
        </w:rPr>
        <w:t xml:space="preserve">Measure outcomes honestly. </w:t>
      </w:r>
      <w:r>
        <w:t>Collect structured feedback rather than repeating broad claims about attendance, health, or behaviour that the current data cannot prove.</w:t>
      </w:r>
    </w:p>
    <w:p w14:paraId="7B57B508">
      <w:pPr>
        <w:pStyle w:val="2"/>
      </w:pPr>
      <w:r>
        <w:t>11. Conclusion</w:t>
      </w:r>
    </w:p>
    <w:p w14:paraId="6027742E">
      <w:pPr>
        <w:pStyle w:val="13"/>
      </w:pPr>
      <w:r>
        <w:t>The April–June 2026 quarter demonstrated that the Eco-Solutions for Women’s Health project can sustain meaningful production and community participation even under difficult operating conditions. The project completed 168 reusable pads, prepared 220 absorbent cotton units and 140 waterproof pieces, distributed 46 packages, maintained timely reporting, and continued exploring product innovation.</w:t>
      </w:r>
    </w:p>
    <w:p w14:paraId="12BCB409">
      <w:pPr>
        <w:pStyle w:val="13"/>
      </w:pPr>
      <w:r>
        <w:t>The results are useful, but the quarter also exposed weaknesses that cannot be ignored. Production remains vulnerable to machine failure, one-person technical dependency, small-material shortages, and weak distribution detail. The next phase should prioritise operational reliability and evidence quality before aggressive expansion. With these controls in place, the project will be better positioned to deliver consistent products, demonstrate credible reach, and communicate its contribution to women’s and girls’ dignity without overstating impact.</w:t>
      </w:r>
    </w:p>
    <w:p w14:paraId="74A86011">
      <w:pPr>
        <w:pStyle w:val="2"/>
      </w:pPr>
      <w:r>
        <w:t>Annex 1. Detailed Indicator Performance Matrix</w:t>
      </w:r>
    </w:p>
    <w:tbl>
      <w:tblPr>
        <w:tblStyle w:val="12"/>
        <w:tblW w:w="0" w:type="auto"/>
        <w:jc w:val="center"/>
        <w:tblLayout w:type="fixed"/>
        <w:tblCellMar>
          <w:top w:w="0" w:type="dxa"/>
          <w:left w:w="108" w:type="dxa"/>
          <w:bottom w:w="0" w:type="dxa"/>
          <w:right w:w="108" w:type="dxa"/>
        </w:tblCellMar>
      </w:tblPr>
      <w:tblGrid>
        <w:gridCol w:w="1694"/>
        <w:gridCol w:w="1694"/>
        <w:gridCol w:w="1694"/>
        <w:gridCol w:w="1694"/>
        <w:gridCol w:w="1694"/>
        <w:gridCol w:w="1694"/>
      </w:tblGrid>
      <w:tr w14:paraId="222C8339">
        <w:tblPrEx>
          <w:tblCellMar>
            <w:top w:w="0" w:type="dxa"/>
            <w:left w:w="108" w:type="dxa"/>
            <w:bottom w:w="0" w:type="dxa"/>
            <w:right w:w="108" w:type="dxa"/>
          </w:tblCellMar>
        </w:tblPrEx>
        <w:trPr>
          <w:tblHeader/>
          <w:jc w:val="center"/>
        </w:trPr>
        <w:tc>
          <w:tcPr>
            <w:tcW w:w="2016" w:type="dxa"/>
            <w:shd w:val="clear" w:color="auto" w:fill="1F5D42"/>
            <w:tcMar>
              <w:top w:w="80" w:type="dxa"/>
              <w:left w:w="120" w:type="dxa"/>
              <w:bottom w:w="80" w:type="dxa"/>
              <w:right w:w="120" w:type="dxa"/>
            </w:tcMar>
          </w:tcPr>
          <w:p w14:paraId="7ABAD09F">
            <w:pPr>
              <w:jc w:val="center"/>
            </w:pPr>
            <w:r>
              <w:rPr>
                <w:b/>
                <w:color w:val="FFFFFF"/>
              </w:rPr>
              <w:t>Indicator/activity</w:t>
            </w:r>
          </w:p>
        </w:tc>
        <w:tc>
          <w:tcPr>
            <w:tcW w:w="1512" w:type="dxa"/>
            <w:shd w:val="clear" w:color="auto" w:fill="1F5D42"/>
            <w:tcMar>
              <w:top w:w="80" w:type="dxa"/>
              <w:left w:w="120" w:type="dxa"/>
              <w:bottom w:w="80" w:type="dxa"/>
              <w:right w:w="120" w:type="dxa"/>
            </w:tcMar>
          </w:tcPr>
          <w:p w14:paraId="599692CA">
            <w:pPr>
              <w:jc w:val="center"/>
            </w:pPr>
            <w:r>
              <w:rPr>
                <w:b/>
                <w:color w:val="FFFFFF"/>
              </w:rPr>
              <w:t>Period</w:t>
            </w:r>
          </w:p>
        </w:tc>
        <w:tc>
          <w:tcPr>
            <w:tcW w:w="1512" w:type="dxa"/>
            <w:shd w:val="clear" w:color="auto" w:fill="1F5D42"/>
            <w:tcMar>
              <w:top w:w="80" w:type="dxa"/>
              <w:left w:w="120" w:type="dxa"/>
              <w:bottom w:w="80" w:type="dxa"/>
              <w:right w:w="120" w:type="dxa"/>
            </w:tcMar>
          </w:tcPr>
          <w:p w14:paraId="16D92E23">
            <w:pPr>
              <w:jc w:val="center"/>
            </w:pPr>
            <w:r>
              <w:rPr>
                <w:b/>
                <w:color w:val="FFFFFF"/>
              </w:rPr>
              <w:t>Target</w:t>
            </w:r>
          </w:p>
        </w:tc>
        <w:tc>
          <w:tcPr>
            <w:tcW w:w="1512" w:type="dxa"/>
            <w:shd w:val="clear" w:color="auto" w:fill="1F5D42"/>
            <w:tcMar>
              <w:top w:w="80" w:type="dxa"/>
              <w:left w:w="120" w:type="dxa"/>
              <w:bottom w:w="80" w:type="dxa"/>
              <w:right w:w="120" w:type="dxa"/>
            </w:tcMar>
          </w:tcPr>
          <w:p w14:paraId="27DAEFA8">
            <w:pPr>
              <w:jc w:val="center"/>
            </w:pPr>
            <w:r>
              <w:rPr>
                <w:b/>
                <w:color w:val="FFFFFF"/>
              </w:rPr>
              <w:t>Actual</w:t>
            </w:r>
          </w:p>
        </w:tc>
        <w:tc>
          <w:tcPr>
            <w:tcW w:w="1656" w:type="dxa"/>
            <w:shd w:val="clear" w:color="auto" w:fill="1F5D42"/>
            <w:tcMar>
              <w:top w:w="80" w:type="dxa"/>
              <w:left w:w="120" w:type="dxa"/>
              <w:bottom w:w="80" w:type="dxa"/>
              <w:right w:w="120" w:type="dxa"/>
            </w:tcMar>
          </w:tcPr>
          <w:p w14:paraId="7223E918">
            <w:pPr>
              <w:jc w:val="center"/>
            </w:pPr>
            <w:r>
              <w:rPr>
                <w:b/>
                <w:color w:val="FFFFFF"/>
              </w:rPr>
              <w:t>Status</w:t>
            </w:r>
          </w:p>
        </w:tc>
        <w:tc>
          <w:tcPr>
            <w:tcW w:w="2376" w:type="dxa"/>
            <w:shd w:val="clear" w:color="auto" w:fill="1F5D42"/>
            <w:tcMar>
              <w:top w:w="80" w:type="dxa"/>
              <w:left w:w="120" w:type="dxa"/>
              <w:bottom w:w="80" w:type="dxa"/>
              <w:right w:w="120" w:type="dxa"/>
            </w:tcMar>
          </w:tcPr>
          <w:p w14:paraId="599D65CF">
            <w:pPr>
              <w:jc w:val="center"/>
            </w:pPr>
            <w:r>
              <w:rPr>
                <w:b/>
                <w:color w:val="FFFFFF"/>
              </w:rPr>
              <w:t>Evidence/source</w:t>
            </w:r>
          </w:p>
        </w:tc>
      </w:tr>
      <w:tr w14:paraId="6B8680EB">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6D66540E">
            <w:r>
              <w:t>Fiber preparation</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709FFC45">
            <w:pPr>
              <w:jc w:val="center"/>
            </w:pPr>
            <w:r>
              <w:t>April</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131AA2DF">
            <w:pPr>
              <w:jc w:val="center"/>
            </w:pPr>
            <w:r>
              <w:t>0.5 kg</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467D332D">
            <w:pPr>
              <w:jc w:val="center"/>
            </w:pPr>
            <w:r>
              <w:t>0.25 kg</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0083BA44">
            <w:pPr>
              <w:jc w:val="center"/>
            </w:pPr>
            <w:r>
              <w:t>Shortfall</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3260ADCA">
            <w:r>
              <w:t>Production logs</w:t>
            </w:r>
          </w:p>
        </w:tc>
      </w:tr>
      <w:tr w14:paraId="679EAE9A">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BDB7866">
            <w:r>
              <w:t>Cotton preparation</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0F4EB1E">
            <w:pPr>
              <w:jc w:val="center"/>
            </w:pPr>
            <w:r>
              <w:t>April</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E8EEDFE">
            <w:pPr>
              <w:jc w:val="center"/>
            </w:pPr>
            <w:r>
              <w:t>1 basin</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1C16962C">
            <w:pPr>
              <w:jc w:val="center"/>
            </w:pPr>
            <w:r>
              <w:t>Half basin</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C4D481F">
            <w:pPr>
              <w:jc w:val="center"/>
            </w:pPr>
            <w:r>
              <w:t>Shortfall</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7E89AE37">
            <w:r>
              <w:t>Production logs</w:t>
            </w:r>
          </w:p>
        </w:tc>
      </w:tr>
      <w:tr w14:paraId="48FF79F1">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542C2DC2">
            <w:r>
              <w:t>Pad production</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41FBB5E0">
            <w:pPr>
              <w:jc w:val="center"/>
            </w:pPr>
            <w:r>
              <w:t>April</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628EC148">
            <w:pPr>
              <w:jc w:val="center"/>
            </w:pPr>
            <w:r>
              <w:t>100 pads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76056EE3">
            <w:pPr>
              <w:jc w:val="center"/>
            </w:pPr>
            <w:r>
              <w:t>70 pads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4E8B995A">
            <w:pPr>
              <w:jc w:val="center"/>
            </w:pPr>
            <w:r>
              <w:t>70%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366B2571">
            <w:r>
              <w:t>Pad samples</w:t>
            </w:r>
          </w:p>
        </w:tc>
      </w:tr>
      <w:tr w14:paraId="4EF0878B">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04992254">
            <w:r>
              <w:t>Innovation prototype</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3B6066B">
            <w:pPr>
              <w:jc w:val="center"/>
            </w:pPr>
            <w:r>
              <w:t>April</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7DDBC602">
            <w:pPr>
              <w:jc w:val="center"/>
            </w:pPr>
            <w:r>
              <w:t>1 metre</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3355B581">
            <w:pPr>
              <w:jc w:val="center"/>
            </w:pPr>
            <w:r>
              <w:t>1 metre</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26EB3290">
            <w:pPr>
              <w:jc w:val="center"/>
            </w:pPr>
            <w:r>
              <w:t>Achieved; test pending</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850A337">
            <w:r>
              <w:t>Prototype photo</w:t>
            </w:r>
          </w:p>
        </w:tc>
      </w:tr>
      <w:tr w14:paraId="582FA4BE">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46BBF74A">
            <w:r>
              <w:t>Pad assembly</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383A35AD">
            <w:pPr>
              <w:jc w:val="center"/>
            </w:pPr>
            <w:r>
              <w:t>May</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5FCA71B5">
            <w:pPr>
              <w:jc w:val="center"/>
            </w:pPr>
            <w:r>
              <w:t>100 pads/session</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09FBE55F">
            <w:pPr>
              <w:jc w:val="center"/>
            </w:pPr>
            <w:r>
              <w:t>48 pads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1658EC01">
            <w:pPr>
              <w:jc w:val="center"/>
            </w:pPr>
            <w:r>
              <w:t>Partially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1C72A79F">
            <w:r>
              <w:t>Pad samples</w:t>
            </w:r>
          </w:p>
        </w:tc>
      </w:tr>
      <w:tr w14:paraId="32243E16">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C8EC92D">
            <w:r>
              <w:t>Absorbent cotton</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62F39FF">
            <w:pPr>
              <w:jc w:val="center"/>
            </w:pPr>
            <w:r>
              <w:t>May</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3AD4A10E">
            <w:pPr>
              <w:jc w:val="center"/>
            </w:pPr>
            <w:r>
              <w:t>80 units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498F6F3D">
            <w:pPr>
              <w:jc w:val="center"/>
            </w:pPr>
            <w:r>
              <w:t>50 units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1C07EEF9">
            <w:pPr>
              <w:jc w:val="center"/>
            </w:pPr>
            <w:r>
              <w:t>62.5%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7423B21">
            <w:r>
              <w:t>Production logs</w:t>
            </w:r>
          </w:p>
        </w:tc>
      </w:tr>
      <w:tr w14:paraId="33959A85">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2094B3CA">
            <w:r>
              <w:t>Pad distribution</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1A19EC8E">
            <w:pPr>
              <w:jc w:val="center"/>
            </w:pPr>
            <w:r>
              <w:t>May</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2B65521F">
            <w:pPr>
              <w:jc w:val="center"/>
            </w:pPr>
            <w:r>
              <w:t>Not specified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01AB371C">
            <w:pPr>
              <w:jc w:val="center"/>
            </w:pPr>
            <w:r>
              <w:t>46 packages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7809AEA7">
            <w:pPr>
              <w:jc w:val="center"/>
            </w:pPr>
            <w:r>
              <w:t>Completed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7A636E66">
            <w:r>
              <w:t>Distribution information</w:t>
            </w:r>
          </w:p>
        </w:tc>
      </w:tr>
      <w:tr w14:paraId="356330D1">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7E8ECBCD">
            <w:r>
              <w:t>Pad assembly</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41DAA977">
            <w:pPr>
              <w:jc w:val="center"/>
            </w:pPr>
            <w:r>
              <w:t>June</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540A8526">
            <w:pPr>
              <w:jc w:val="center"/>
            </w:pPr>
            <w:r>
              <w:t>100 pads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13BE7AA">
            <w:pPr>
              <w:jc w:val="center"/>
            </w:pPr>
            <w:r>
              <w:t>50 pads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43BCA28E">
            <w:pPr>
              <w:jc w:val="center"/>
            </w:pPr>
            <w:r>
              <w:t>50%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20988573">
            <w:r>
              <w:t>Pad samples</w:t>
            </w:r>
          </w:p>
        </w:tc>
      </w:tr>
      <w:tr w14:paraId="0DA3647C">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755AC782">
            <w:r>
              <w:t>Absorbent cotton</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0F10CAC0">
            <w:pPr>
              <w:jc w:val="center"/>
            </w:pPr>
            <w:r>
              <w:t>June</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23A819FB">
            <w:pPr>
              <w:jc w:val="center"/>
            </w:pPr>
            <w:r>
              <w:t>200 units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08A74271">
            <w:pPr>
              <w:jc w:val="center"/>
            </w:pPr>
            <w:r>
              <w:t>170 units</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6AE6D2C3">
            <w:pPr>
              <w:jc w:val="center"/>
            </w:pPr>
            <w:r>
              <w:t>85%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176001FC">
            <w:r>
              <w:t>Production store</w:t>
            </w:r>
          </w:p>
        </w:tc>
      </w:tr>
      <w:tr w14:paraId="459ACDF1">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8634332">
            <w:r>
              <w:t>Waterproof preparation</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65E4D7D3">
            <w:pPr>
              <w:jc w:val="center"/>
            </w:pPr>
            <w:r>
              <w:t>June</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2F9FF6CD">
            <w:pPr>
              <w:jc w:val="center"/>
            </w:pPr>
            <w:r>
              <w:t>150 pieces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378B3AC1">
            <w:pPr>
              <w:jc w:val="center"/>
            </w:pPr>
            <w:r>
              <w:t>140 pieces</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4DC26049">
            <w:pPr>
              <w:jc w:val="center"/>
            </w:pPr>
            <w:r>
              <w:t>93.3% 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2F4F5"/>
            <w:tcMar>
              <w:top w:w="80" w:type="dxa"/>
              <w:left w:w="90" w:type="dxa"/>
              <w:bottom w:w="80" w:type="dxa"/>
              <w:right w:w="90" w:type="dxa"/>
            </w:tcMar>
          </w:tcPr>
          <w:p w14:paraId="3D9E81ED">
            <w:r>
              <w:t>Material stock</w:t>
            </w:r>
          </w:p>
        </w:tc>
      </w:tr>
      <w:tr w14:paraId="016976B1">
        <w:tblPrEx>
          <w:tblCellMar>
            <w:top w:w="0" w:type="dxa"/>
            <w:left w:w="108" w:type="dxa"/>
            <w:bottom w:w="0" w:type="dxa"/>
            <w:right w:w="108" w:type="dxa"/>
          </w:tblCellMar>
        </w:tblPrEx>
        <w:trPr>
          <w:jc w:val="center"/>
        </w:trPr>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47FF9939">
            <w:r>
              <w:t>Weekly/monthly reporting</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62C9545F">
            <w:pPr>
              <w:jc w:val="center"/>
            </w:pPr>
            <w:r>
              <w:t>Quarter</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3E40737B">
            <w:pPr>
              <w:jc w:val="center"/>
            </w:pPr>
            <w:r>
              <w:t>All required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2CD4A625">
            <w:pPr>
              <w:jc w:val="center"/>
            </w:pPr>
            <w:r>
              <w:t>All submitted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3BA74041">
            <w:pPr>
              <w:jc w:val="center"/>
            </w:pPr>
            <w:r>
              <w:t>Achieved</w:t>
            </w:r>
          </w:p>
        </w:tc>
        <w:tc>
          <w:tcPr>
            <w:tcW w:w="1694" w:type="dxa"/>
            <w:tcBorders>
              <w:top w:val="single" w:color="D9E0E3" w:sz="4" w:space="0"/>
              <w:left w:val="single" w:color="D9E0E3" w:sz="4" w:space="0"/>
              <w:bottom w:val="single" w:color="D9E0E3" w:sz="4" w:space="0"/>
              <w:right w:val="single" w:color="D9E0E3" w:sz="4" w:space="0"/>
            </w:tcBorders>
            <w:shd w:val="clear" w:color="auto" w:fill="FFFFFF"/>
            <w:tcMar>
              <w:top w:w="80" w:type="dxa"/>
              <w:left w:w="90" w:type="dxa"/>
              <w:bottom w:w="80" w:type="dxa"/>
              <w:right w:w="90" w:type="dxa"/>
            </w:tcMar>
          </w:tcPr>
          <w:p w14:paraId="61AF613C">
            <w:r>
              <w:t>Submitted reports</w:t>
            </w:r>
          </w:p>
        </w:tc>
      </w:tr>
    </w:tbl>
    <w:p w14:paraId="77F7161C">
      <w:pPr>
        <w:pStyle w:val="2"/>
      </w:pPr>
      <w:r>
        <w:t>Annex 2. Source and Interpretation Notes</w:t>
      </w:r>
    </w:p>
    <w:p w14:paraId="7AD4D579">
      <w:pPr>
        <w:pStyle w:val="23"/>
      </w:pPr>
      <w:r>
        <w:t>The report is derived from the Dufatanye Organization Monthly Report: Sanitary Pad Project (April–June 2026) and the earlier GlobalGiving-style January–March 2026 report format.</w:t>
      </w:r>
    </w:p>
    <w:p w14:paraId="38576C69">
      <w:pPr>
        <w:pStyle w:val="23"/>
      </w:pPr>
      <w:r>
        <w:t>Quarter totals are calculated by adding the verified monthly figures in the source report.</w:t>
      </w:r>
    </w:p>
    <w:p w14:paraId="507DF531">
      <w:pPr>
        <w:pStyle w:val="23"/>
      </w:pPr>
      <w:r>
        <w:t>Percentages are calculated from the recorded target and actual achievement for each activity.</w:t>
      </w:r>
    </w:p>
    <w:p w14:paraId="0000FD39">
      <w:pPr>
        <w:pStyle w:val="23"/>
      </w:pPr>
      <w:r>
        <w:t>Distribution is reported as packages because the source does not specify pads per package or unique beneficiaries.</w:t>
      </w:r>
    </w:p>
    <w:p w14:paraId="799206B0">
      <w:pPr>
        <w:pStyle w:val="23"/>
      </w:pPr>
      <w:r>
        <w:t>The beneficiary story is presented as an individual testimony and is not generalised to all users.</w:t>
      </w:r>
    </w:p>
    <w:p w14:paraId="6CA32ED7">
      <w:pPr>
        <w:pStyle w:val="23"/>
      </w:pPr>
      <w:r>
        <w:t>No unsupported claim is made regarding school attendance, health outcomes, waste reduction, or household savings because the quarterly source does not provide measured evidence for those outcomes.</w:t>
      </w:r>
    </w:p>
    <w:sectPr>
      <w:headerReference r:id="rId5" w:type="default"/>
      <w:footerReference r:id="rId6" w:type="default"/>
      <w:pgSz w:w="12240" w:h="15840"/>
      <w:pgMar w:top="936" w:right="1037" w:bottom="936" w:left="1037" w:header="360" w:footer="36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Aptos Display">
    <w:altName w:val="Segoe UI Variable Display"/>
    <w:panose1 w:val="00000000000000000000"/>
    <w:charset w:val="00"/>
    <w:family w:val="auto"/>
    <w:pitch w:val="default"/>
    <w:sig w:usb0="00000000" w:usb1="00000000" w:usb2="00000000" w:usb3="00000000" w:csb0="00000000" w:csb1="00000000"/>
  </w:font>
  <w:font w:name="Segoe UI Variable Display">
    <w:panose1 w:val="00000000000000000000"/>
    <w:charset w:val="00"/>
    <w:family w:val="auto"/>
    <w:pitch w:val="default"/>
    <w:sig w:usb0="A00002FF" w:usb1="0000000B" w:usb2="00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30865">
    <w:pPr>
      <w:pStyle w:val="18"/>
    </w:pPr>
  </w:p>
  <w:tbl>
    <w:tblPr>
      <w:tblStyle w:val="12"/>
      <w:tblW w:w="0" w:type="auto"/>
      <w:tblInd w:w="0" w:type="dxa"/>
      <w:tblLayout w:type="fixed"/>
      <w:tblCellMar>
        <w:top w:w="0" w:type="dxa"/>
        <w:left w:w="108" w:type="dxa"/>
        <w:bottom w:w="0" w:type="dxa"/>
        <w:right w:w="108" w:type="dxa"/>
      </w:tblCellMar>
    </w:tblPr>
    <w:tblGrid>
      <w:gridCol w:w="4680"/>
      <w:gridCol w:w="4680"/>
    </w:tblGrid>
    <w:tr w14:paraId="74A854CD">
      <w:tc>
        <w:tcPr>
          <w:tcW w:w="7200" w:type="dxa"/>
          <w:tcBorders>
            <w:top w:val="nil"/>
            <w:left w:val="nil"/>
            <w:bottom w:val="nil"/>
            <w:right w:val="nil"/>
          </w:tcBorders>
        </w:tcPr>
        <w:p w14:paraId="33180F04">
          <w:r>
            <w:rPr>
              <w:color w:val="68757D"/>
              <w:sz w:val="17"/>
            </w:rPr>
            <w:t>Eco-Solutions for Women’s Health | April–June 2026</w:t>
          </w:r>
        </w:p>
      </w:tc>
      <w:tc>
        <w:tcPr>
          <w:tcW w:w="2160" w:type="dxa"/>
          <w:tcBorders>
            <w:top w:val="nil"/>
            <w:left w:val="nil"/>
            <w:bottom w:val="nil"/>
            <w:right w:val="nil"/>
          </w:tcBorders>
        </w:tcPr>
        <w:p w14:paraId="7B92D7ED">
          <w:pPr>
            <w:jc w:val="right"/>
          </w:pPr>
          <w:r>
            <w:rPr>
              <w:color w:val="68757D"/>
              <w:sz w:val="18"/>
            </w:rPr>
            <w:t xml:space="preserve">Page </w:t>
          </w:r>
          <w:r>
            <w:rPr>
              <w:color w:val="68757D"/>
              <w:sz w:val="18"/>
            </w:rPr>
            <w:fldChar w:fldCharType="begin"/>
          </w:r>
          <w:r>
            <w:rPr>
              <w:color w:val="68757D"/>
              <w:sz w:val="18"/>
            </w:rPr>
            <w:instrText xml:space="preserve"> PAGE </w:instrText>
          </w:r>
          <w:r>
            <w:rPr>
              <w:color w:val="68757D"/>
              <w:sz w:val="18"/>
            </w:rPr>
            <w:fldChar w:fldCharType="end"/>
          </w:r>
        </w:p>
      </w:tc>
    </w:tr>
  </w:tbl>
  <w:p w14:paraId="4B997C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FF61B">
    <w:pPr>
      <w:pStyle w:val="19"/>
      <w:pBdr>
        <w:bottom w:val="single" w:color="D6A63C" w:sz="8" w:space="1"/>
      </w:pBdr>
      <w:jc w:val="left"/>
    </w:pPr>
    <w:r>
      <w:drawing>
        <wp:inline distT="0" distB="0" distL="114300" distR="114300">
          <wp:extent cx="328930" cy="3302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stretch>
                    <a:fillRect/>
                  </a:stretch>
                </pic:blipFill>
                <pic:spPr>
                  <a:xfrm>
                    <a:off x="0" y="0"/>
                    <a:ext cx="329184" cy="330573"/>
                  </a:xfrm>
                  <a:prstGeom prst="rect">
                    <a:avLst/>
                  </a:prstGeom>
                </pic:spPr>
              </pic:pic>
            </a:graphicData>
          </a:graphic>
        </wp:inline>
      </w:drawing>
    </w:r>
    <w:r>
      <w:rPr>
        <w:b/>
        <w:color w:val="1F5D42"/>
        <w:sz w:val="17"/>
      </w:rPr>
      <w:t xml:space="preserve">  DUFATANYE ORGANIZATION  |  GLOBALGIVING QUARTERLY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8CF680C"/>
    <w:rsid w:val="461810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59" w:lineRule="auto"/>
    </w:pPr>
    <w:rPr>
      <w:rFonts w:ascii="Aptos" w:hAnsi="Aptos" w:eastAsiaTheme="minorEastAsia" w:cstheme="minorBidi"/>
      <w:color w:val="263238"/>
      <w:sz w:val="21"/>
      <w:szCs w:val="22"/>
      <w:lang w:val="en-US" w:eastAsia="en-US" w:bidi="ar-SA"/>
    </w:rPr>
  </w:style>
  <w:style w:type="paragraph" w:styleId="2">
    <w:name w:val="heading 1"/>
    <w:basedOn w:val="1"/>
    <w:next w:val="1"/>
    <w:link w:val="138"/>
    <w:qFormat/>
    <w:uiPriority w:val="9"/>
    <w:pPr>
      <w:keepNext/>
      <w:keepLines/>
      <w:spacing w:before="240" w:after="120"/>
      <w:outlineLvl w:val="0"/>
    </w:pPr>
    <w:rPr>
      <w:rFonts w:asciiTheme="majorHAnsi" w:hAnsiTheme="majorHAnsi" w:eastAsiaTheme="majorEastAsia" w:cstheme="majorBidi"/>
      <w:b/>
      <w:bCs/>
      <w:color w:val="1F5D42"/>
      <w:sz w:val="34"/>
      <w:szCs w:val="28"/>
    </w:rPr>
  </w:style>
  <w:style w:type="paragraph" w:styleId="3">
    <w:name w:val="heading 2"/>
    <w:basedOn w:val="1"/>
    <w:next w:val="1"/>
    <w:link w:val="139"/>
    <w:unhideWhenUsed/>
    <w:qFormat/>
    <w:uiPriority w:val="9"/>
    <w:pPr>
      <w:keepNext/>
      <w:keepLines/>
      <w:spacing w:before="180" w:after="80"/>
      <w:outlineLvl w:val="1"/>
    </w:pPr>
    <w:rPr>
      <w:rFonts w:asciiTheme="majorHAnsi" w:hAnsiTheme="majorHAnsi" w:eastAsiaTheme="majorEastAsia" w:cstheme="majorBidi"/>
      <w:b/>
      <w:bCs/>
      <w:color w:val="263238"/>
      <w:sz w:val="26"/>
      <w:szCs w:val="26"/>
    </w:rPr>
  </w:style>
  <w:style w:type="paragraph" w:styleId="4">
    <w:name w:val="heading 3"/>
    <w:basedOn w:val="1"/>
    <w:next w:val="1"/>
    <w:link w:val="140"/>
    <w:unhideWhenUsed/>
    <w:qFormat/>
    <w:uiPriority w:val="9"/>
    <w:pPr>
      <w:keepNext/>
      <w:keepLines/>
      <w:spacing w:before="120" w:after="60"/>
      <w:outlineLvl w:val="2"/>
    </w:pPr>
    <w:rPr>
      <w:rFonts w:asciiTheme="majorHAnsi" w:hAnsiTheme="majorHAnsi" w:eastAsiaTheme="majorEastAsia" w:cstheme="majorBidi"/>
      <w:b/>
      <w:bCs/>
      <w:color w:val="1F5D42"/>
      <w:sz w:val="22"/>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40" w:line="269" w:lineRule="auto"/>
      <w:jc w:val="both"/>
    </w:pPr>
    <w:rPr>
      <w:rFonts w:ascii="Aptos" w:hAnsi="Aptos"/>
      <w:color w:val="263238"/>
      <w:sz w:val="21"/>
    </w:r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uiPriority w:val="99"/>
    <w:pPr>
      <w:numPr>
        <w:ilvl w:val="0"/>
        <w:numId w:val="1"/>
      </w:numPr>
      <w:spacing w:after="60" w:line="252" w:lineRule="auto"/>
      <w:contextualSpacing/>
    </w:pPr>
    <w:rPr>
      <w:rFonts w:ascii="Aptos" w:hAnsi="Aptos"/>
      <w:color w:val="263238"/>
      <w:sz w:val="20"/>
    </w:rPr>
  </w:style>
  <w:style w:type="paragraph" w:styleId="24">
    <w:name w:val="List Bullet 2"/>
    <w:basedOn w:val="1"/>
    <w:unhideWhenUsed/>
    <w:uiPriority w:val="99"/>
    <w:pPr>
      <w:numPr>
        <w:ilvl w:val="0"/>
        <w:numId w:val="2"/>
      </w:numPr>
      <w:spacing w:after="60" w:line="252" w:lineRule="auto"/>
      <w:contextualSpacing/>
    </w:pPr>
    <w:rPr>
      <w:rFonts w:ascii="Aptos" w:hAnsi="Aptos"/>
      <w:color w:val="263238"/>
      <w:sz w:val="20"/>
    </w:r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spacing w:after="60" w:line="252" w:lineRule="auto"/>
      <w:contextualSpacing/>
    </w:pPr>
    <w:rPr>
      <w:rFonts w:ascii="Aptos" w:hAnsi="Aptos"/>
      <w:color w:val="263238"/>
      <w:sz w:val="20"/>
    </w:r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Small Caption"/>
    <w:uiPriority w:val="0"/>
    <w:pPr>
      <w:spacing w:after="120" w:line="276" w:lineRule="auto"/>
    </w:pPr>
    <w:rPr>
      <w:rFonts w:ascii="Aptos" w:hAnsi="Aptos" w:eastAsiaTheme="minorEastAsia" w:cstheme="minorBidi"/>
      <w:i/>
      <w:color w:val="68757D"/>
      <w:sz w:val="17"/>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2409</Words>
  <Characters>15310</Characters>
  <Lines>0</Lines>
  <Paragraphs>0</Paragraphs>
  <TotalTime>7</TotalTime>
  <ScaleCrop>false</ScaleCrop>
  <LinksUpToDate>false</LinksUpToDate>
  <CharactersWithSpaces>17408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Dufatanye Organization</dc:creator>
  <dc:description>Prepared from verified internal quarterly project data.</dc:description>
  <cp:keywords>GlobalGiving, reusable sanitary pads, menstrual hygiene, women, girls, Rwanda, Dufatanye</cp:keywords>
  <cp:lastModifiedBy>SEKAMANA ARCHIMEDE</cp:lastModifiedBy>
  <dcterms:modified xsi:type="dcterms:W3CDTF">2026-08-07T20:42:51Z</dcterms:modified>
  <dc:subject>Reusable sanitary pad project quarterly progress report</dc:subject>
  <dc:title>GlobalGiving Quarterly Report: Eco-Solutions for Women’s Health, April–June 2026</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eyJoZGlkIjoiMWYyMTNjMjZiZGFjZjEyNzA1NGE1ZmYwZThhY2VhYjkiLCJ1c2VySWQiOiIxNjY2NTA1MTg4OTYyIn0=</vt:lpwstr>
  </property>
  <property fmtid="{D5CDD505-2E9C-101B-9397-08002B2CF9AE}" pid="3" name="KSOProductBuildVer">
    <vt:lpwstr>1033-12.1.0.28032</vt:lpwstr>
  </property>
  <property fmtid="{D5CDD505-2E9C-101B-9397-08002B2CF9AE}" pid="4" name="ICV">
    <vt:lpwstr>2DCD0893F6394361967FC9DC82ADB78F_12</vt:lpwstr>
  </property>
</Properties>
</file>