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9FDDE" w14:textId="7CF81B7E" w:rsidR="00E90F33" w:rsidRPr="00DD192B" w:rsidRDefault="00FA3956" w:rsidP="00DD192B">
      <w:pPr>
        <w:jc w:val="both"/>
        <w:rPr>
          <w:b/>
          <w:bCs/>
        </w:rPr>
      </w:pPr>
      <w:proofErr w:type="spellStart"/>
      <w:r w:rsidRPr="00DD192B">
        <w:rPr>
          <w:b/>
          <w:bCs/>
        </w:rPr>
        <w:t>Nayabasti</w:t>
      </w:r>
      <w:proofErr w:type="spellEnd"/>
      <w:r w:rsidR="004C1764" w:rsidRPr="00DD192B">
        <w:rPr>
          <w:b/>
          <w:bCs/>
        </w:rPr>
        <w:t xml:space="preserve"> WASH Project</w:t>
      </w:r>
    </w:p>
    <w:p w14:paraId="3CDB6D58" w14:textId="77777777" w:rsidR="00FA3956" w:rsidRDefault="00FA3956" w:rsidP="00DD192B">
      <w:pPr>
        <w:jc w:val="both"/>
      </w:pPr>
    </w:p>
    <w:p w14:paraId="13FC6061" w14:textId="77777777" w:rsidR="00FA3956" w:rsidRPr="00FA3956" w:rsidRDefault="00FA3956" w:rsidP="00DD192B">
      <w:pPr>
        <w:jc w:val="both"/>
      </w:pPr>
      <w:r w:rsidRPr="00FA3956">
        <w:rPr>
          <w:b/>
          <w:bCs/>
        </w:rPr>
        <w:t>Project Overview:</w:t>
      </w:r>
    </w:p>
    <w:p w14:paraId="540A35D0" w14:textId="265A258E" w:rsidR="00FA3956" w:rsidRPr="00FA3956" w:rsidRDefault="00FA3956" w:rsidP="00DD192B">
      <w:pPr>
        <w:jc w:val="both"/>
      </w:pPr>
      <w:r w:rsidRPr="00FA3956">
        <w:t xml:space="preserve">From 26-28 September 2024, Nepal experienced severe flooding and landslides due to continuous heavy rainfall, predominantly affecting the Bagmati, Koshi, and Madhesh provinces. The disaster resulted in the destruction of vital infrastructure, particularly impacting water supply, sanitation, and hygiene (WASH) facilities. </w:t>
      </w:r>
      <w:r>
        <w:t>T</w:t>
      </w:r>
      <w:r w:rsidRPr="00FA3956">
        <w:t xml:space="preserve">he </w:t>
      </w:r>
      <w:proofErr w:type="spellStart"/>
      <w:r w:rsidRPr="00FA3956">
        <w:t>Nayabasti</w:t>
      </w:r>
      <w:proofErr w:type="spellEnd"/>
      <w:r w:rsidRPr="00FA3956">
        <w:t xml:space="preserve"> WASH (Water, Sanitation, and Hygiene) project </w:t>
      </w:r>
      <w:r w:rsidR="00224FEC" w:rsidRPr="00A56886">
        <w:t>(</w:t>
      </w:r>
      <w:proofErr w:type="spellStart"/>
      <w:r w:rsidR="00224FEC" w:rsidRPr="00A56886">
        <w:t>Bethanchok</w:t>
      </w:r>
      <w:proofErr w:type="spellEnd"/>
      <w:r w:rsidR="00224FEC" w:rsidRPr="00A56886">
        <w:t xml:space="preserve"> Rural municipality ward no .2 Kavrepalanchok District)</w:t>
      </w:r>
      <w:r w:rsidR="00224FEC">
        <w:t xml:space="preserve"> </w:t>
      </w:r>
      <w:r w:rsidRPr="00FA3956">
        <w:t xml:space="preserve">was completed with the goal of providing safe and reliable drinking water to the households in </w:t>
      </w:r>
      <w:proofErr w:type="spellStart"/>
      <w:r w:rsidRPr="00FA3956">
        <w:t>Nayabasti</w:t>
      </w:r>
      <w:proofErr w:type="spellEnd"/>
      <w:r>
        <w:t xml:space="preserve"> by Nepal Water for Health</w:t>
      </w:r>
      <w:r w:rsidRPr="00FA3956">
        <w:t xml:space="preserve">. The project was a significant step forward in improving the health and well-being of the community by establishing water infrastructure that included an intake system, </w:t>
      </w:r>
      <w:proofErr w:type="spellStart"/>
      <w:r w:rsidRPr="00FA3956">
        <w:t>tapstands</w:t>
      </w:r>
      <w:proofErr w:type="spellEnd"/>
      <w:r w:rsidRPr="00FA3956">
        <w:t>, and other essential structures for water distribution.</w:t>
      </w:r>
    </w:p>
    <w:p w14:paraId="26BF5ED4" w14:textId="2D75533F" w:rsidR="00FA3956" w:rsidRPr="00FA3956" w:rsidRDefault="00FA3956" w:rsidP="00DD192B">
      <w:pPr>
        <w:jc w:val="both"/>
      </w:pPr>
      <w:r w:rsidRPr="00FA3956">
        <w:t>However, the heavy rainfall and devastating floods in September 202</w:t>
      </w:r>
      <w:r>
        <w:t>4</w:t>
      </w:r>
      <w:r w:rsidRPr="00FA3956">
        <w:t xml:space="preserve"> have caused catastrophic damage to the project. The intake system, which was the lifeline for the water supply, was completely swept away by the floodwaters. The </w:t>
      </w:r>
      <w:proofErr w:type="spellStart"/>
      <w:r w:rsidRPr="00FA3956">
        <w:t>tapstands</w:t>
      </w:r>
      <w:proofErr w:type="spellEnd"/>
      <w:r w:rsidRPr="00FA3956">
        <w:t>, which were installed to provide clean water to households, have been severely damaged, rendering them non-functional. Additionally, other key structures that were built to support water distribution have also been destroyed.</w:t>
      </w:r>
    </w:p>
    <w:p w14:paraId="16A5C4EF" w14:textId="77777777" w:rsidR="00FA3956" w:rsidRPr="00FA3956" w:rsidRDefault="00FA3956" w:rsidP="00DD192B">
      <w:pPr>
        <w:jc w:val="both"/>
      </w:pPr>
      <w:r w:rsidRPr="00FA3956">
        <w:rPr>
          <w:b/>
          <w:bCs/>
        </w:rPr>
        <w:t>Impact on the Community:</w:t>
      </w:r>
    </w:p>
    <w:p w14:paraId="7080B719" w14:textId="33ECFD03" w:rsidR="00FA3956" w:rsidRPr="00FA3956" w:rsidRDefault="00FA3956" w:rsidP="00DD192B">
      <w:pPr>
        <w:jc w:val="both"/>
      </w:pPr>
      <w:r w:rsidRPr="00FA3956">
        <w:t>As a result of the flood’s destruction</w:t>
      </w:r>
      <w:r w:rsidRPr="004C1764">
        <w:t xml:space="preserve">, </w:t>
      </w:r>
      <w:r w:rsidR="004C1764" w:rsidRPr="004C1764">
        <w:rPr>
          <w:b/>
          <w:bCs/>
        </w:rPr>
        <w:t>73</w:t>
      </w:r>
      <w:r w:rsidRPr="004C1764">
        <w:rPr>
          <w:b/>
          <w:bCs/>
        </w:rPr>
        <w:t xml:space="preserve"> households</w:t>
      </w:r>
      <w:r w:rsidR="004C1764">
        <w:rPr>
          <w:b/>
          <w:bCs/>
        </w:rPr>
        <w:t xml:space="preserve"> having 602 population</w:t>
      </w:r>
      <w:r w:rsidRPr="00FA3956">
        <w:t xml:space="preserve"> in </w:t>
      </w:r>
      <w:proofErr w:type="spellStart"/>
      <w:r w:rsidRPr="00FA3956">
        <w:t>Nayabasti</w:t>
      </w:r>
      <w:proofErr w:type="spellEnd"/>
      <w:r w:rsidRPr="00FA3956">
        <w:t xml:space="preserve"> are now left without access to safe drinking water. Prior to the disaster, the community had been relying on the newly established infrastructure for clean water, which significantly reduced the risks of waterborne diseases and improved overall hygiene and sanitation. However, with the collapse of the WASH project’s infrastructure, the people of </w:t>
      </w:r>
      <w:proofErr w:type="spellStart"/>
      <w:r w:rsidRPr="00FA3956">
        <w:t>Nayabasti</w:t>
      </w:r>
      <w:proofErr w:type="spellEnd"/>
      <w:r w:rsidRPr="00FA3956">
        <w:t xml:space="preserve"> are once again facing the dire consequences of contaminated water sources and unsafe hygiene practices.</w:t>
      </w:r>
    </w:p>
    <w:p w14:paraId="14FD35B7" w14:textId="45AF0E67" w:rsidR="00FA3956" w:rsidRPr="00FA3956" w:rsidRDefault="00FA3956" w:rsidP="00DD192B">
      <w:pPr>
        <w:jc w:val="both"/>
      </w:pPr>
      <w:r w:rsidRPr="00FA3956">
        <w:t xml:space="preserve">Currently, the residents of </w:t>
      </w:r>
      <w:proofErr w:type="spellStart"/>
      <w:r w:rsidRPr="00FA3956">
        <w:t>Nayabasti</w:t>
      </w:r>
      <w:proofErr w:type="spellEnd"/>
      <w:r w:rsidRPr="00FA3956">
        <w:t xml:space="preserve"> are forced to rely </w:t>
      </w:r>
      <w:r w:rsidRPr="00A56886">
        <w:t xml:space="preserve">on </w:t>
      </w:r>
      <w:r w:rsidR="00224FEC" w:rsidRPr="00A56886">
        <w:t>temporary pipe connection</w:t>
      </w:r>
      <w:r w:rsidRPr="00FA3956">
        <w:t xml:space="preserve"> for drinking, cooking, and other essential domestic needs. This alternative source may be contaminated, putting the health of the entire community at risk, especially vulnerable groups such as children, the elderly, and pregnant women.</w:t>
      </w:r>
    </w:p>
    <w:p w14:paraId="51027C3B" w14:textId="77777777" w:rsidR="00FA3956" w:rsidRPr="00FA3956" w:rsidRDefault="00FA3956" w:rsidP="00DD192B">
      <w:pPr>
        <w:jc w:val="both"/>
      </w:pPr>
      <w:r w:rsidRPr="00FA3956">
        <w:t>Without immediate intervention, the community faces the ongoing threat of waterborne diseases, including cholera, dysentery, and typhoid. The destruction of the WASH infrastructure also jeopardizes the community's ability to maintain basic sanitation, making it more difficult to practice proper hygiene and preventing the spread of diseases.</w:t>
      </w:r>
    </w:p>
    <w:p w14:paraId="6764B999" w14:textId="77777777" w:rsidR="00FA3956" w:rsidRPr="00FA3956" w:rsidRDefault="00FA3956" w:rsidP="00DD192B">
      <w:pPr>
        <w:jc w:val="both"/>
      </w:pPr>
      <w:r w:rsidRPr="00FA3956">
        <w:rPr>
          <w:b/>
          <w:bCs/>
        </w:rPr>
        <w:t>The Need for Support:</w:t>
      </w:r>
    </w:p>
    <w:p w14:paraId="1E311E71" w14:textId="6E2118AB" w:rsidR="00FA3956" w:rsidRPr="00FA3956" w:rsidRDefault="00FA3956" w:rsidP="00DD192B">
      <w:pPr>
        <w:jc w:val="both"/>
      </w:pPr>
      <w:r w:rsidRPr="00FA3956">
        <w:t xml:space="preserve">The restoration of safe drinking water in </w:t>
      </w:r>
      <w:proofErr w:type="spellStart"/>
      <w:r w:rsidRPr="00FA3956">
        <w:t>Nayabasti</w:t>
      </w:r>
      <w:proofErr w:type="spellEnd"/>
      <w:r w:rsidRPr="00FA3956">
        <w:t xml:space="preserve"> is critical to the survival and health of its people. </w:t>
      </w:r>
      <w:r w:rsidRPr="00A13B2B">
        <w:t>Rebuilding the water infrastructure</w:t>
      </w:r>
      <w:r w:rsidR="00224FEC">
        <w:t xml:space="preserve"> </w:t>
      </w:r>
      <w:r w:rsidR="00224FEC" w:rsidRPr="00A56886">
        <w:t xml:space="preserve">(Pipe line, Intake, slow sand filter, Horizontal roughing filter and community </w:t>
      </w:r>
      <w:proofErr w:type="spellStart"/>
      <w:r w:rsidR="00224FEC" w:rsidRPr="00A56886">
        <w:t>tapstand</w:t>
      </w:r>
      <w:proofErr w:type="spellEnd"/>
      <w:r w:rsidR="00224FEC" w:rsidRPr="00A56886">
        <w:t>)</w:t>
      </w:r>
      <w:r w:rsidR="00224FEC">
        <w:t xml:space="preserve"> </w:t>
      </w:r>
      <w:r w:rsidRPr="00FA3956">
        <w:t xml:space="preserve">is an urgent priority. This includes the repair or reconstruction of the intake system, installation of new </w:t>
      </w:r>
      <w:proofErr w:type="spellStart"/>
      <w:r w:rsidRPr="00FA3956">
        <w:t>tapstands</w:t>
      </w:r>
      <w:proofErr w:type="spellEnd"/>
      <w:r w:rsidRPr="00FA3956">
        <w:t>, and restoration of other key water distribution structures. Additionally, we must ensure that the community has access to clean and safe water sources in the long term.</w:t>
      </w:r>
    </w:p>
    <w:p w14:paraId="5D699231" w14:textId="4F66F25A" w:rsidR="00FA3956" w:rsidRPr="00FA3956" w:rsidRDefault="00FA3956" w:rsidP="00DD192B">
      <w:pPr>
        <w:jc w:val="both"/>
      </w:pPr>
      <w:r w:rsidRPr="00FA3956">
        <w:lastRenderedPageBreak/>
        <w:t xml:space="preserve">With the help of compassionate donors like you, we can ensure that the people of </w:t>
      </w:r>
      <w:proofErr w:type="spellStart"/>
      <w:r w:rsidRPr="00FA3956">
        <w:t>Nayabasti</w:t>
      </w:r>
      <w:proofErr w:type="spellEnd"/>
      <w:r w:rsidRPr="00FA3956">
        <w:t xml:space="preserve"> are not left without their most basic human right: access to safe, clean water. Your donation will directly support the </w:t>
      </w:r>
      <w:r w:rsidRPr="00A13B2B">
        <w:t>reconstruction efforts</w:t>
      </w:r>
      <w:r w:rsidRPr="00FA3956">
        <w:t xml:space="preserve"> needed to restore the WASH infrastructure and provide the community with the resources they need to stay healthy and thrive.</w:t>
      </w:r>
      <w:r w:rsidR="00DD192B">
        <w:t xml:space="preserve"> </w:t>
      </w:r>
    </w:p>
    <w:p w14:paraId="361A4408" w14:textId="77777777" w:rsidR="00FA3956" w:rsidRPr="00FA3956" w:rsidRDefault="00FA3956" w:rsidP="00DD192B">
      <w:pPr>
        <w:jc w:val="both"/>
      </w:pPr>
      <w:r w:rsidRPr="00FA3956">
        <w:rPr>
          <w:b/>
          <w:bCs/>
        </w:rPr>
        <w:t>How You Can Help:</w:t>
      </w:r>
    </w:p>
    <w:p w14:paraId="3B6C58D0" w14:textId="77777777" w:rsidR="00DD192B" w:rsidRPr="00FA3956" w:rsidRDefault="00DD192B" w:rsidP="00DD192B">
      <w:pPr>
        <w:jc w:val="both"/>
      </w:pPr>
      <w:r>
        <w:t xml:space="preserve">It will cost around </w:t>
      </w:r>
      <w:r w:rsidRPr="00A56886">
        <w:t>US $ 15,000</w:t>
      </w:r>
      <w:r>
        <w:t xml:space="preserve"> to restore the water infrastructures in this project. </w:t>
      </w:r>
    </w:p>
    <w:p w14:paraId="28B0C5C4" w14:textId="77777777" w:rsidR="00FA3956" w:rsidRPr="00FA3956" w:rsidRDefault="00FA3956" w:rsidP="00DD192B">
      <w:pPr>
        <w:jc w:val="both"/>
      </w:pPr>
      <w:r w:rsidRPr="00FA3956">
        <w:t xml:space="preserve">We are calling on individuals, organizations, and communities to join us in raising the funds necessary to rebuild the </w:t>
      </w:r>
      <w:proofErr w:type="spellStart"/>
      <w:r w:rsidRPr="00FA3956">
        <w:t>Nayabasti</w:t>
      </w:r>
      <w:proofErr w:type="spellEnd"/>
      <w:r w:rsidRPr="00FA3956">
        <w:t xml:space="preserve"> WASH project. Your support will go toward:</w:t>
      </w:r>
    </w:p>
    <w:p w14:paraId="2CD79C84" w14:textId="5EFB21B5" w:rsidR="00FA3956" w:rsidRPr="00FA3956" w:rsidRDefault="00DD192B" w:rsidP="00DD192B">
      <w:pPr>
        <w:numPr>
          <w:ilvl w:val="0"/>
          <w:numId w:val="1"/>
        </w:numPr>
        <w:jc w:val="both"/>
      </w:pPr>
      <w:r w:rsidRPr="00FA3956">
        <w:rPr>
          <w:b/>
          <w:bCs/>
        </w:rPr>
        <w:t xml:space="preserve">Reconstruction </w:t>
      </w:r>
      <w:r>
        <w:rPr>
          <w:b/>
          <w:bCs/>
        </w:rPr>
        <w:t xml:space="preserve">and </w:t>
      </w:r>
      <w:r w:rsidR="00FA3956" w:rsidRPr="00FA3956">
        <w:rPr>
          <w:b/>
          <w:bCs/>
        </w:rPr>
        <w:t>Repairing Water Distribution Infrastructure:</w:t>
      </w:r>
      <w:r w:rsidR="00FA3956" w:rsidRPr="00FA3956">
        <w:t xml:space="preserve"> Restoring the </w:t>
      </w:r>
      <w:r>
        <w:t xml:space="preserve">intake, </w:t>
      </w:r>
      <w:r w:rsidR="00FA3956" w:rsidRPr="00FA3956">
        <w:t xml:space="preserve">vital </w:t>
      </w:r>
      <w:proofErr w:type="spellStart"/>
      <w:r w:rsidR="00FA3956" w:rsidRPr="00FA3956">
        <w:t>tapstands</w:t>
      </w:r>
      <w:proofErr w:type="spellEnd"/>
      <w:r w:rsidR="00FA3956" w:rsidRPr="00FA3956">
        <w:t xml:space="preserve"> and other structures that make clean water accessible to every household.</w:t>
      </w:r>
    </w:p>
    <w:p w14:paraId="11A6E15B" w14:textId="77777777" w:rsidR="00FA3956" w:rsidRPr="00FA3956" w:rsidRDefault="00FA3956" w:rsidP="00DD192B">
      <w:pPr>
        <w:numPr>
          <w:ilvl w:val="0"/>
          <w:numId w:val="1"/>
        </w:numPr>
        <w:jc w:val="both"/>
      </w:pPr>
      <w:r w:rsidRPr="00FA3956">
        <w:rPr>
          <w:b/>
          <w:bCs/>
        </w:rPr>
        <w:t>Community Engagement and Education:</w:t>
      </w:r>
      <w:r w:rsidRPr="00FA3956">
        <w:t xml:space="preserve"> Ensuring that the community is involved in the rebuilding process and educated about water conservation, hygiene practices, and maintaining the new infrastructure.</w:t>
      </w:r>
    </w:p>
    <w:p w14:paraId="4A202C8F" w14:textId="012C9E82" w:rsidR="00FA3956" w:rsidRPr="00FA3956" w:rsidRDefault="00FA3956" w:rsidP="00DD192B">
      <w:pPr>
        <w:jc w:val="both"/>
      </w:pPr>
      <w:r w:rsidRPr="00FA3956">
        <w:t xml:space="preserve">By contributing to the restoration of the </w:t>
      </w:r>
      <w:proofErr w:type="spellStart"/>
      <w:r w:rsidRPr="00FA3956">
        <w:t>Nayabasti</w:t>
      </w:r>
      <w:proofErr w:type="spellEnd"/>
      <w:r w:rsidRPr="00FA3956">
        <w:t xml:space="preserve"> WASH project, you will directly improve the lives of </w:t>
      </w:r>
      <w:r w:rsidR="004C1764">
        <w:rPr>
          <w:b/>
          <w:bCs/>
        </w:rPr>
        <w:t>73</w:t>
      </w:r>
      <w:r w:rsidRPr="00FA3956">
        <w:rPr>
          <w:b/>
          <w:bCs/>
        </w:rPr>
        <w:t xml:space="preserve"> households</w:t>
      </w:r>
      <w:r w:rsidRPr="00FA3956">
        <w:t xml:space="preserve"> and help prevent further suffering caused by contaminated water. Together, we can rebuild not just infrastructure, but hope and resilience for the people of </w:t>
      </w:r>
      <w:proofErr w:type="spellStart"/>
      <w:r w:rsidRPr="00FA3956">
        <w:t>Nayabasti</w:t>
      </w:r>
      <w:proofErr w:type="spellEnd"/>
      <w:r w:rsidRPr="00FA3956">
        <w:t>.</w:t>
      </w:r>
    </w:p>
    <w:p w14:paraId="4F5A553F" w14:textId="77777777" w:rsidR="00FA3956" w:rsidRDefault="00FA3956" w:rsidP="00DD192B">
      <w:pPr>
        <w:jc w:val="both"/>
      </w:pPr>
      <w:r w:rsidRPr="00FA3956">
        <w:rPr>
          <w:b/>
          <w:bCs/>
        </w:rPr>
        <w:t>Donate Now</w:t>
      </w:r>
      <w:r w:rsidRPr="00FA3956">
        <w:t xml:space="preserve"> and be a part of the solution. Your generosity will ensure that the residents of </w:t>
      </w:r>
      <w:proofErr w:type="spellStart"/>
      <w:r w:rsidRPr="00FA3956">
        <w:t>Nayabasti</w:t>
      </w:r>
      <w:proofErr w:type="spellEnd"/>
      <w:r w:rsidRPr="00FA3956">
        <w:t xml:space="preserve"> once again have access to safe, clean water – a foundation for better health, hygiene, and a brighter future.</w:t>
      </w:r>
    </w:p>
    <w:p w14:paraId="0927F8DE" w14:textId="77777777" w:rsidR="00DD192B" w:rsidRDefault="00DD192B" w:rsidP="00DD192B">
      <w:pPr>
        <w:jc w:val="both"/>
      </w:pPr>
    </w:p>
    <w:tbl>
      <w:tblPr>
        <w:tblStyle w:val="TableGrid"/>
        <w:tblW w:w="0" w:type="auto"/>
        <w:tblLook w:val="04A0" w:firstRow="1" w:lastRow="0" w:firstColumn="1" w:lastColumn="0" w:noHBand="0" w:noVBand="1"/>
      </w:tblPr>
      <w:tblGrid>
        <w:gridCol w:w="4698"/>
        <w:gridCol w:w="4652"/>
      </w:tblGrid>
      <w:tr w:rsidR="00DD192B" w14:paraId="20343324" w14:textId="77777777" w:rsidTr="00DD192B">
        <w:tc>
          <w:tcPr>
            <w:tcW w:w="4675" w:type="dxa"/>
          </w:tcPr>
          <w:p w14:paraId="7849129A" w14:textId="1A29AE32" w:rsidR="00DD192B" w:rsidRDefault="00DD192B" w:rsidP="00DD192B">
            <w:pPr>
              <w:jc w:val="both"/>
            </w:pPr>
          </w:p>
        </w:tc>
        <w:tc>
          <w:tcPr>
            <w:tcW w:w="4675" w:type="dxa"/>
          </w:tcPr>
          <w:p w14:paraId="265B8619" w14:textId="284D63F7" w:rsidR="00DD192B" w:rsidRDefault="00DD192B" w:rsidP="00DD192B">
            <w:pPr>
              <w:jc w:val="both"/>
            </w:pPr>
          </w:p>
        </w:tc>
      </w:tr>
      <w:tr w:rsidR="00DD192B" w14:paraId="6C6C48AD" w14:textId="77777777" w:rsidTr="00DD192B">
        <w:tc>
          <w:tcPr>
            <w:tcW w:w="4675" w:type="dxa"/>
          </w:tcPr>
          <w:p w14:paraId="7585D2F4" w14:textId="77777777" w:rsidR="00DD192B" w:rsidRDefault="00DD192B" w:rsidP="00DD192B">
            <w:pPr>
              <w:jc w:val="both"/>
            </w:pPr>
            <w:r>
              <w:rPr>
                <w:noProof/>
              </w:rPr>
              <w:drawing>
                <wp:inline distT="0" distB="0" distL="0" distR="0" wp14:anchorId="641914F5" wp14:editId="3EAA371E">
                  <wp:extent cx="2752090" cy="2064067"/>
                  <wp:effectExtent l="0" t="0" r="0" b="0"/>
                  <wp:docPr id="1274419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8186" cy="2068639"/>
                          </a:xfrm>
                          <a:prstGeom prst="rect">
                            <a:avLst/>
                          </a:prstGeom>
                          <a:noFill/>
                          <a:ln>
                            <a:noFill/>
                          </a:ln>
                        </pic:spPr>
                      </pic:pic>
                    </a:graphicData>
                  </a:graphic>
                </wp:inline>
              </w:drawing>
            </w:r>
          </w:p>
          <w:p w14:paraId="0D9ABF8D" w14:textId="2FB6817E" w:rsidR="00DD192B" w:rsidRDefault="00DD192B" w:rsidP="00DD192B">
            <w:pPr>
              <w:jc w:val="both"/>
            </w:pPr>
            <w:r>
              <w:t>Slow sand filter</w:t>
            </w:r>
            <w:r w:rsidR="00556BAC">
              <w:t xml:space="preserve"> (</w:t>
            </w:r>
            <w:r w:rsidR="00556BAC">
              <w:t>Before the flood</w:t>
            </w:r>
            <w:r w:rsidR="00556BAC">
              <w:t>)</w:t>
            </w:r>
          </w:p>
        </w:tc>
        <w:tc>
          <w:tcPr>
            <w:tcW w:w="4675" w:type="dxa"/>
          </w:tcPr>
          <w:p w14:paraId="398E7325" w14:textId="77777777" w:rsidR="00DD192B" w:rsidRDefault="00DD192B" w:rsidP="00DD192B">
            <w:pPr>
              <w:jc w:val="both"/>
            </w:pPr>
            <w:r>
              <w:rPr>
                <w:noProof/>
              </w:rPr>
              <w:drawing>
                <wp:inline distT="0" distB="0" distL="0" distR="0" wp14:anchorId="7D972678" wp14:editId="4AD57A02">
                  <wp:extent cx="2781300" cy="2085975"/>
                  <wp:effectExtent l="0" t="0" r="0" b="9525"/>
                  <wp:docPr id="1475739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3379" cy="2087534"/>
                          </a:xfrm>
                          <a:prstGeom prst="rect">
                            <a:avLst/>
                          </a:prstGeom>
                          <a:noFill/>
                          <a:ln>
                            <a:noFill/>
                          </a:ln>
                        </pic:spPr>
                      </pic:pic>
                    </a:graphicData>
                  </a:graphic>
                </wp:inline>
              </w:drawing>
            </w:r>
          </w:p>
          <w:p w14:paraId="04B3450A" w14:textId="3F819DE8" w:rsidR="00DD192B" w:rsidRDefault="00556BAC" w:rsidP="00DD192B">
            <w:pPr>
              <w:jc w:val="both"/>
            </w:pPr>
            <w:r>
              <w:t>I</w:t>
            </w:r>
            <w:r w:rsidR="00DD192B">
              <w:t>ntake</w:t>
            </w:r>
            <w:r>
              <w:t xml:space="preserve"> (</w:t>
            </w:r>
            <w:r>
              <w:t>After the flood</w:t>
            </w:r>
            <w:r>
              <w:t>)</w:t>
            </w:r>
          </w:p>
        </w:tc>
      </w:tr>
      <w:tr w:rsidR="00DD192B" w14:paraId="45C66C63" w14:textId="77777777" w:rsidTr="00DD192B">
        <w:tc>
          <w:tcPr>
            <w:tcW w:w="4675" w:type="dxa"/>
          </w:tcPr>
          <w:p w14:paraId="112D0FF5" w14:textId="3DC56193" w:rsidR="00DD192B" w:rsidRDefault="00CF1240" w:rsidP="00DD192B">
            <w:pPr>
              <w:jc w:val="both"/>
            </w:pPr>
            <w:r>
              <w:rPr>
                <w:noProof/>
              </w:rPr>
              <w:lastRenderedPageBreak/>
              <w:drawing>
                <wp:anchor distT="0" distB="0" distL="114300" distR="114300" simplePos="0" relativeHeight="251658240" behindDoc="0" locked="0" layoutInCell="1" allowOverlap="1" wp14:anchorId="618C35C9" wp14:editId="583D121A">
                  <wp:simplePos x="0" y="0"/>
                  <wp:positionH relativeFrom="column">
                    <wp:posOffset>-62230</wp:posOffset>
                  </wp:positionH>
                  <wp:positionV relativeFrom="paragraph">
                    <wp:posOffset>98425</wp:posOffset>
                  </wp:positionV>
                  <wp:extent cx="2857500" cy="2143125"/>
                  <wp:effectExtent l="0" t="0" r="0" b="9525"/>
                  <wp:wrapSquare wrapText="bothSides"/>
                  <wp:docPr id="1292406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t>Destroyed Pipe line area</w:t>
            </w:r>
          </w:p>
        </w:tc>
        <w:tc>
          <w:tcPr>
            <w:tcW w:w="4675" w:type="dxa"/>
          </w:tcPr>
          <w:p w14:paraId="7BFFAAFE" w14:textId="77777777" w:rsidR="00DD192B" w:rsidRDefault="00DD192B" w:rsidP="00DD192B">
            <w:pPr>
              <w:jc w:val="both"/>
            </w:pPr>
            <w:r>
              <w:rPr>
                <w:noProof/>
              </w:rPr>
              <w:drawing>
                <wp:inline distT="0" distB="0" distL="0" distR="0" wp14:anchorId="6420D174" wp14:editId="5988C08A">
                  <wp:extent cx="2828290" cy="2121218"/>
                  <wp:effectExtent l="0" t="0" r="0" b="0"/>
                  <wp:docPr id="245730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9980" cy="2129985"/>
                          </a:xfrm>
                          <a:prstGeom prst="rect">
                            <a:avLst/>
                          </a:prstGeom>
                          <a:noFill/>
                          <a:ln>
                            <a:noFill/>
                          </a:ln>
                        </pic:spPr>
                      </pic:pic>
                    </a:graphicData>
                  </a:graphic>
                </wp:inline>
              </w:drawing>
            </w:r>
          </w:p>
          <w:p w14:paraId="08C9EE44" w14:textId="1AC676E2" w:rsidR="00DD192B" w:rsidRDefault="00DD192B" w:rsidP="00DD192B">
            <w:pPr>
              <w:jc w:val="both"/>
            </w:pPr>
            <w:proofErr w:type="spellStart"/>
            <w:r>
              <w:t>tapstands</w:t>
            </w:r>
            <w:proofErr w:type="spellEnd"/>
          </w:p>
        </w:tc>
      </w:tr>
    </w:tbl>
    <w:p w14:paraId="0B10CAA4" w14:textId="77777777" w:rsidR="00DD192B" w:rsidRPr="00FA3956" w:rsidRDefault="00DD192B" w:rsidP="00DD192B">
      <w:pPr>
        <w:jc w:val="both"/>
      </w:pPr>
    </w:p>
    <w:p w14:paraId="7CFCAA21" w14:textId="58B6A1E8" w:rsidR="00FA3956" w:rsidRDefault="00FA3956" w:rsidP="00DD192B">
      <w:pPr>
        <w:jc w:val="both"/>
      </w:pPr>
    </w:p>
    <w:sectPr w:rsidR="00FA3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5122D"/>
    <w:multiLevelType w:val="multilevel"/>
    <w:tmpl w:val="D5C2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77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AF"/>
    <w:rsid w:val="000716E6"/>
    <w:rsid w:val="00224FEC"/>
    <w:rsid w:val="002A70B7"/>
    <w:rsid w:val="00491302"/>
    <w:rsid w:val="004C1764"/>
    <w:rsid w:val="00556BAC"/>
    <w:rsid w:val="007029AC"/>
    <w:rsid w:val="00731E57"/>
    <w:rsid w:val="00A13B2B"/>
    <w:rsid w:val="00A26E4B"/>
    <w:rsid w:val="00A56886"/>
    <w:rsid w:val="00BC17AF"/>
    <w:rsid w:val="00CF1240"/>
    <w:rsid w:val="00DA3F17"/>
    <w:rsid w:val="00DD192B"/>
    <w:rsid w:val="00E90F33"/>
    <w:rsid w:val="00FA395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F1F7"/>
  <w15:chartTrackingRefBased/>
  <w15:docId w15:val="{81E3A8DC-872D-4AC4-B08E-10DCBB27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807933">
      <w:bodyDiv w:val="1"/>
      <w:marLeft w:val="0"/>
      <w:marRight w:val="0"/>
      <w:marTop w:val="0"/>
      <w:marBottom w:val="0"/>
      <w:divBdr>
        <w:top w:val="none" w:sz="0" w:space="0" w:color="auto"/>
        <w:left w:val="none" w:sz="0" w:space="0" w:color="auto"/>
        <w:bottom w:val="none" w:sz="0" w:space="0" w:color="auto"/>
        <w:right w:val="none" w:sz="0" w:space="0" w:color="auto"/>
      </w:divBdr>
    </w:div>
    <w:div w:id="207677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Rojeena  Manandhar</dc:creator>
  <cp:keywords/>
  <dc:description/>
  <cp:lastModifiedBy>Rojeena  Manandhar</cp:lastModifiedBy>
  <cp:revision>5</cp:revision>
  <dcterms:created xsi:type="dcterms:W3CDTF">2024-11-29T04:56:00Z</dcterms:created>
  <dcterms:modified xsi:type="dcterms:W3CDTF">2024-11-29T07:46:00Z</dcterms:modified>
</cp:coreProperties>
</file>