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C8862B"/>
          <w:sz w:val="20"/>
          <w:szCs w:val="20"/>
        </w:rPr>
        <w:t xml:space="preserve">PROJECT UPDATE &amp; IMPACT REPORT</w:t>
      </w:r>
    </w:p>
    <w:p>
      <w:pPr>
        <w:spacing w:after="120"/>
      </w:pPr>
      <w:r>
        <w:rPr>
          <w:rFonts w:ascii="Calibri" w:cs="Calibri" w:eastAsia="Calibri" w:hAnsi="Calibri"/>
          <w:b/>
          <w:bCs/>
          <w:color w:val="1B3A5C"/>
          <w:sz w:val="44"/>
          <w:szCs w:val="44"/>
        </w:rPr>
        <w:t xml:space="preserve">Lighting the Way to Health</w:t>
      </w:r>
    </w:p>
    <w:p>
      <w:pPr>
        <w:spacing w:after="280"/>
      </w:pPr>
      <w:r>
        <w:rPr>
          <w:rFonts w:ascii="Calibri" w:cs="Calibri" w:eastAsia="Calibri" w:hAnsi="Calibri"/>
          <w:color w:val="595959"/>
          <w:sz w:val="26"/>
          <w:szCs w:val="26"/>
        </w:rPr>
        <w:t xml:space="preserve">Solar Power for the Karin Clinics, Northern Uganda</w:t>
      </w:r>
    </w:p>
    <w:p>
      <w:pPr>
        <w:spacing w:after="40"/>
      </w:pPr>
      <w:r>
        <w:rPr>
          <w:rFonts w:ascii="Calibri" w:cs="Calibri" w:eastAsia="Calibri" w:hAnsi="Calibri"/>
          <w:b/>
          <w:bCs/>
          <w:color w:val="222222"/>
          <w:sz w:val="20"/>
          <w:szCs w:val="20"/>
        </w:rPr>
        <w:t xml:space="preserve">Report Date:  </w:t>
      </w:r>
      <w:r>
        <w:rPr>
          <w:rFonts w:ascii="Calibri" w:cs="Calibri" w:eastAsia="Calibri" w:hAnsi="Calibri"/>
          <w:color w:val="222222"/>
          <w:sz w:val="20"/>
          <w:szCs w:val="20"/>
        </w:rPr>
        <w:t xml:space="preserve">July 23, 2026</w:t>
      </w:r>
    </w:p>
    <w:p>
      <w:pPr>
        <w:spacing w:after="40"/>
      </w:pPr>
      <w:r>
        <w:rPr>
          <w:rFonts w:ascii="Calibri" w:cs="Calibri" w:eastAsia="Calibri" w:hAnsi="Calibri"/>
          <w:b/>
          <w:bCs/>
          <w:color w:val="222222"/>
          <w:sz w:val="20"/>
          <w:szCs w:val="20"/>
        </w:rPr>
        <w:t xml:space="preserve">Project:  </w:t>
      </w:r>
      <w:r>
        <w:rPr>
          <w:rFonts w:ascii="Calibri" w:cs="Calibri" w:eastAsia="Calibri" w:hAnsi="Calibri"/>
          <w:color w:val="222222"/>
          <w:sz w:val="20"/>
          <w:szCs w:val="20"/>
        </w:rPr>
        <w:t xml:space="preserve">Solar Power Installation for Karin Clinics</w:t>
      </w:r>
    </w:p>
    <w:p>
      <w:pPr>
        <w:spacing w:after="300"/>
      </w:pPr>
      <w:r>
        <w:rPr>
          <w:rFonts w:ascii="Calibri" w:cs="Calibri" w:eastAsia="Calibri" w:hAnsi="Calibri"/>
          <w:b/>
          <w:bCs/>
          <w:color w:val="222222"/>
          <w:sz w:val="20"/>
          <w:szCs w:val="20"/>
        </w:rPr>
        <w:t xml:space="preserve">Location:  </w:t>
      </w:r>
      <w:r>
        <w:rPr>
          <w:rFonts w:ascii="Calibri" w:cs="Calibri" w:eastAsia="Calibri" w:hAnsi="Calibri"/>
          <w:color w:val="222222"/>
          <w:sz w:val="20"/>
          <w:szCs w:val="20"/>
        </w:rPr>
        <w:t xml:space="preserve">Northern Uganda</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500"/>
      </w:tblGrid>
      <w:tr>
        <w:tc>
          <w:tcPr>
            <w:tcW w:type="dxa" w:w="2500"/>
            <w:shd w:fill="1B3A5C" w:val="clear"/>
            <w:tcMar>
              <w:top w:type="dxa" w:w="160"/>
              <w:left w:type="dxa" w:w="100"/>
              <w:bottom w:type="dxa" w:w="160"/>
              <w:right w:type="dxa" w:w="100"/>
            </w:tcMar>
          </w:tcPr>
          <w:p>
            <w:pPr>
              <w:spacing w:after="40"/>
              <w:jc w:val="center"/>
            </w:pPr>
            <w:r>
              <w:rPr>
                <w:rFonts w:ascii="Calibri" w:cs="Calibri" w:eastAsia="Calibri" w:hAnsi="Calibri"/>
                <w:b/>
                <w:bCs/>
                <w:color w:val="FFFFFF"/>
                <w:sz w:val="26"/>
                <w:szCs w:val="26"/>
              </w:rPr>
              <w:t xml:space="preserve">Phase 1</w:t>
            </w:r>
          </w:p>
          <w:p>
            <w:pPr>
              <w:jc w:val="center"/>
            </w:pPr>
            <w:r>
              <w:rPr>
                <w:rFonts w:ascii="Calibri" w:cs="Calibri" w:eastAsia="Calibri" w:hAnsi="Calibri"/>
                <w:color w:val="E7E2D6"/>
                <w:sz w:val="16"/>
                <w:szCs w:val="16"/>
              </w:rPr>
              <w:t xml:space="preserve">COMPLETE</w:t>
            </w:r>
          </w:p>
        </w:tc>
        <w:tc>
          <w:tcPr>
            <w:tcW w:type="dxa" w:w="2500"/>
            <w:shd w:fill="1B3A5C" w:val="clear"/>
            <w:tcMar>
              <w:top w:type="dxa" w:w="160"/>
              <w:left w:type="dxa" w:w="100"/>
              <w:bottom w:type="dxa" w:w="160"/>
              <w:right w:type="dxa" w:w="100"/>
            </w:tcMar>
          </w:tcPr>
          <w:p>
            <w:pPr>
              <w:spacing w:after="40"/>
              <w:jc w:val="center"/>
            </w:pPr>
            <w:r>
              <w:rPr>
                <w:rFonts w:ascii="Calibri" w:cs="Calibri" w:eastAsia="Calibri" w:hAnsi="Calibri"/>
                <w:b/>
                <w:bCs/>
                <w:color w:val="FFFFFF"/>
                <w:sz w:val="26"/>
                <w:szCs w:val="26"/>
              </w:rPr>
              <w:t xml:space="preserve">$76</w:t>
            </w:r>
          </w:p>
          <w:p>
            <w:pPr>
              <w:jc w:val="center"/>
            </w:pPr>
            <w:r>
              <w:rPr>
                <w:rFonts w:ascii="Calibri" w:cs="Calibri" w:eastAsia="Calibri" w:hAnsi="Calibri"/>
                <w:color w:val="E7E2D6"/>
                <w:sz w:val="16"/>
                <w:szCs w:val="16"/>
              </w:rPr>
              <w:t xml:space="preserve">RAISED TO DATE</w:t>
            </w:r>
          </w:p>
        </w:tc>
        <w:tc>
          <w:tcPr>
            <w:tcW w:type="dxa" w:w="2500"/>
            <w:shd w:fill="1B3A5C" w:val="clear"/>
            <w:tcMar>
              <w:top w:type="dxa" w:w="160"/>
              <w:left w:type="dxa" w:w="100"/>
              <w:bottom w:type="dxa" w:w="160"/>
              <w:right w:type="dxa" w:w="100"/>
            </w:tcMar>
          </w:tcPr>
          <w:p>
            <w:pPr>
              <w:spacing w:after="40"/>
              <w:jc w:val="center"/>
            </w:pPr>
            <w:r>
              <w:rPr>
                <w:rFonts w:ascii="Calibri" w:cs="Calibri" w:eastAsia="Calibri" w:hAnsi="Calibri"/>
                <w:b/>
                <w:bCs/>
                <w:color w:val="FFFFFF"/>
                <w:sz w:val="26"/>
                <w:szCs w:val="26"/>
              </w:rPr>
              <w:t xml:space="preserve">$24,924</w:t>
            </w:r>
          </w:p>
          <w:p>
            <w:pPr>
              <w:jc w:val="center"/>
            </w:pPr>
            <w:r>
              <w:rPr>
                <w:rFonts w:ascii="Calibri" w:cs="Calibri" w:eastAsia="Calibri" w:hAnsi="Calibri"/>
                <w:color w:val="E7E2D6"/>
                <w:sz w:val="16"/>
                <w:szCs w:val="16"/>
              </w:rPr>
              <w:t xml:space="preserve">STILL NEEDED</w:t>
            </w:r>
          </w:p>
        </w:tc>
        <w:tc>
          <w:tcPr>
            <w:tcW w:type="dxa" w:w="2500"/>
            <w:shd w:fill="1B3A5C" w:val="clear"/>
            <w:tcMar>
              <w:top w:type="dxa" w:w="160"/>
              <w:left w:type="dxa" w:w="100"/>
              <w:bottom w:type="dxa" w:w="160"/>
              <w:right w:type="dxa" w:w="100"/>
            </w:tcMar>
          </w:tcPr>
          <w:p>
            <w:pPr>
              <w:spacing w:after="40"/>
              <w:jc w:val="center"/>
            </w:pPr>
            <w:r>
              <w:rPr>
                <w:rFonts w:ascii="Calibri" w:cs="Calibri" w:eastAsia="Calibri" w:hAnsi="Calibri"/>
                <w:b/>
                <w:bCs/>
                <w:color w:val="FFFFFF"/>
                <w:sz w:val="26"/>
                <w:szCs w:val="26"/>
              </w:rPr>
              <w:t xml:space="preserve">7</w:t>
            </w:r>
          </w:p>
          <w:p>
            <w:pPr>
              <w:jc w:val="center"/>
            </w:pPr>
            <w:r>
              <w:rPr>
                <w:rFonts w:ascii="Calibri" w:cs="Calibri" w:eastAsia="Calibri" w:hAnsi="Calibri"/>
                <w:color w:val="E7E2D6"/>
                <w:sz w:val="16"/>
                <w:szCs w:val="16"/>
              </w:rPr>
              <w:t xml:space="preserve">DONORS SO FAR</w:t>
            </w:r>
          </w:p>
        </w:tc>
      </w:tr>
    </w:tbl>
    <w:p>
      <w:pPr>
        <w:spacing w:after="200"/>
      </w:pPr>
    </w:p>
    <w:p>
      <w:pPr>
        <w:pStyle w:val="Heading1"/>
        <w:pBdr>
          <w:bottom w:val="single" w:color="C8862B" w:sz="8" w:space="4"/>
        </w:pBdr>
        <w:spacing w:after="200" w:before="400"/>
      </w:pPr>
      <w:r>
        <w:rPr>
          <w:rFonts w:ascii="Calibri" w:cs="Calibri" w:eastAsia="Calibri" w:hAnsi="Calibri"/>
          <w:b/>
          <w:bCs/>
          <w:color w:val="1B3A5C"/>
          <w:sz w:val="28"/>
          <w:szCs w:val="28"/>
        </w:rPr>
        <w:t xml:space="preserve">1. Executive Summary</w:t>
      </w:r>
    </w:p>
    <w:p>
      <w:pPr>
        <w:spacing w:after="160" w:line="276"/>
        <w:jc w:val="both"/>
      </w:pPr>
      <w:r>
        <w:rPr>
          <w:rFonts w:ascii="Calibri" w:cs="Calibri" w:eastAsia="Calibri" w:hAnsi="Calibri"/>
          <w:color w:val="222222"/>
          <w:sz w:val="22"/>
          <w:szCs w:val="22"/>
        </w:rPr>
        <w:t xml:space="preserve">Thanks to the generosity of our donors, the first phase of our solar power initiative at the Karin Clinics is complete. Power now reaches beyond the maternity ward to the Outpatient Department (OPD) — a change that has already improved safety and the quality of care our patients receive.</w:t>
      </w:r>
    </w:p>
    <w:p>
      <w:pPr>
        <w:spacing w:after="160" w:line="276"/>
        <w:jc w:val="both"/>
      </w:pPr>
      <w:r>
        <w:rPr>
          <w:rFonts w:ascii="Calibri" w:cs="Calibri" w:eastAsia="Calibri" w:hAnsi="Calibri"/>
          <w:color w:val="222222"/>
          <w:sz w:val="22"/>
          <w:szCs w:val="22"/>
        </w:rPr>
        <w:t xml:space="preserve">That progress has also exposed a new challenge. Demand for power is rising faster than our current system can supply, and unpredictable weather is stretching our battery reserves thin. This report outlines what we have achieved, the constraints we now face, and what is needed to complete the project and put the clinics on a fully sustainable footing.</w:t>
      </w:r>
    </w:p>
    <w:p>
      <w:pPr>
        <w:pStyle w:val="Heading1"/>
        <w:pBdr>
          <w:bottom w:val="single" w:color="C8862B" w:sz="8" w:space="4"/>
        </w:pBdr>
        <w:spacing w:after="200" w:before="400"/>
      </w:pPr>
      <w:r>
        <w:rPr>
          <w:rFonts w:ascii="Calibri" w:cs="Calibri" w:eastAsia="Calibri" w:hAnsi="Calibri"/>
          <w:b/>
          <w:bCs/>
          <w:color w:val="1B3A5C"/>
          <w:sz w:val="28"/>
          <w:szCs w:val="28"/>
        </w:rPr>
        <w:t xml:space="preserve">2. The Challenge We Set Out to Solve</w:t>
      </w:r>
    </w:p>
    <w:p>
      <w:pPr>
        <w:spacing w:after="160" w:line="276"/>
        <w:jc w:val="both"/>
      </w:pPr>
      <w:r>
        <w:rPr>
          <w:rFonts w:ascii="Calibri" w:cs="Calibri" w:eastAsia="Calibri" w:hAnsi="Calibri"/>
          <w:color w:val="222222"/>
          <w:sz w:val="22"/>
          <w:szCs w:val="22"/>
        </w:rPr>
        <w:t xml:space="preserve">Before this project, the Karin Clinics operated under a constant threat: an unreliable national grid that put patients and services at risk with every outage.</w:t>
      </w:r>
    </w:p>
    <w:p>
      <w:pPr>
        <w:pStyle w:val="ListParagraph"/>
        <w:numPr>
          <w:ilvl w:val="0"/>
          <w:numId w:val="2"/>
        </w:numPr>
        <w:spacing w:after="100" w:line="276"/>
      </w:pPr>
      <w:r>
        <w:rPr>
          <w:rFonts w:ascii="Calibri" w:cs="Calibri" w:eastAsia="Calibri" w:hAnsi="Calibri"/>
          <w:b/>
          <w:bCs/>
          <w:color w:val="1B3A5C"/>
          <w:sz w:val="22"/>
          <w:szCs w:val="22"/>
        </w:rPr>
        <w:t xml:space="preserve">Risk during delivery: </w:t>
      </w:r>
      <w:r>
        <w:rPr>
          <w:rFonts w:ascii="Calibri" w:cs="Calibri" w:eastAsia="Calibri" w:hAnsi="Calibri"/>
          <w:color w:val="222222"/>
          <w:sz w:val="22"/>
          <w:szCs w:val="22"/>
        </w:rPr>
        <w:t xml:space="preserve">Mothers in labor were often attended by phone light, adding danger to an already critical moment.</w:t>
      </w:r>
    </w:p>
    <w:p>
      <w:pPr>
        <w:pStyle w:val="ListParagraph"/>
        <w:numPr>
          <w:ilvl w:val="0"/>
          <w:numId w:val="2"/>
        </w:numPr>
        <w:spacing w:after="100" w:line="276"/>
      </w:pPr>
      <w:r>
        <w:rPr>
          <w:rFonts w:ascii="Calibri" w:cs="Calibri" w:eastAsia="Calibri" w:hAnsi="Calibri"/>
          <w:b/>
          <w:bCs/>
          <w:color w:val="1B3A5C"/>
          <w:sz w:val="22"/>
          <w:szCs w:val="22"/>
        </w:rPr>
        <w:t xml:space="preserve">Compromised cold chain: </w:t>
      </w:r>
      <w:r>
        <w:rPr>
          <w:rFonts w:ascii="Calibri" w:cs="Calibri" w:eastAsia="Calibri" w:hAnsi="Calibri"/>
          <w:color w:val="222222"/>
          <w:sz w:val="22"/>
          <w:szCs w:val="22"/>
        </w:rPr>
        <w:t xml:space="preserve">A single extended outage could spoil vaccines and medicines the community depends on.</w:t>
      </w:r>
    </w:p>
    <w:p>
      <w:pPr>
        <w:pStyle w:val="ListParagraph"/>
        <w:numPr>
          <w:ilvl w:val="0"/>
          <w:numId w:val="2"/>
        </w:numPr>
        <w:spacing w:after="100" w:line="276"/>
      </w:pPr>
      <w:r>
        <w:rPr>
          <w:rFonts w:ascii="Calibri" w:cs="Calibri" w:eastAsia="Calibri" w:hAnsi="Calibri"/>
          <w:b/>
          <w:bCs/>
          <w:color w:val="1B3A5C"/>
          <w:sz w:val="22"/>
          <w:szCs w:val="22"/>
        </w:rPr>
        <w:t xml:space="preserve">Idle equipment: </w:t>
      </w:r>
      <w:r>
        <w:rPr>
          <w:rFonts w:ascii="Calibri" w:cs="Calibri" w:eastAsia="Calibri" w:hAnsi="Calibri"/>
          <w:color w:val="222222"/>
          <w:sz w:val="22"/>
          <w:szCs w:val="22"/>
        </w:rPr>
        <w:t xml:space="preserve">Diagnostic tools sat unusable without steady power, forcing staff to work with what little they had.</w:t>
      </w:r>
    </w:p>
    <w:p>
      <w:pPr>
        <w:pStyle w:val="ListParagraph"/>
        <w:numPr>
          <w:ilvl w:val="0"/>
          <w:numId w:val="2"/>
        </w:numPr>
        <w:spacing w:after="100" w:line="276"/>
      </w:pPr>
      <w:r>
        <w:rPr>
          <w:rFonts w:ascii="Calibri" w:cs="Calibri" w:eastAsia="Calibri" w:hAnsi="Calibri"/>
          <w:b/>
          <w:bCs/>
          <w:color w:val="1B3A5C"/>
          <w:sz w:val="22"/>
          <w:szCs w:val="22"/>
        </w:rPr>
        <w:t xml:space="preserve">Eroding trust: </w:t>
      </w:r>
      <w:r>
        <w:rPr>
          <w:rFonts w:ascii="Calibri" w:cs="Calibri" w:eastAsia="Calibri" w:hAnsi="Calibri"/>
          <w:color w:val="222222"/>
          <w:sz w:val="22"/>
          <w:szCs w:val="22"/>
        </w:rPr>
        <w:t xml:space="preserve">Patients who traveled far for care were sometimes met with dark wards and canceled procedures.</w:t>
      </w:r>
    </w:p>
    <w:p>
      <w:pPr>
        <w:spacing w:after="160" w:line="276"/>
        <w:jc w:val="both"/>
      </w:pPr>
      <w:r>
        <w:rPr>
          <w:rFonts w:ascii="Calibri" w:cs="Calibri" w:eastAsia="Calibri" w:hAnsi="Calibri"/>
          <w:color w:val="222222"/>
          <w:sz w:val="22"/>
          <w:szCs w:val="22"/>
        </w:rPr>
        <w:t xml:space="preserve">This was, and remains, a health equity issue: unreliable electricity turns treatable conditions into emergencies.</w:t>
      </w:r>
    </w:p>
    <w:p>
      <w:pPr>
        <w:pStyle w:val="Heading1"/>
        <w:pBdr>
          <w:bottom w:val="single" w:color="C8862B" w:sz="8" w:space="4"/>
        </w:pBdr>
        <w:spacing w:after="200" w:before="400"/>
      </w:pPr>
      <w:r>
        <w:rPr>
          <w:rFonts w:ascii="Calibri" w:cs="Calibri" w:eastAsia="Calibri" w:hAnsi="Calibri"/>
          <w:b/>
          <w:bCs/>
          <w:color w:val="1B3A5C"/>
          <w:sz w:val="28"/>
          <w:szCs w:val="28"/>
        </w:rPr>
        <w:t xml:space="preserve">3. Progress to Date: Phase 1 Complete</w:t>
      </w:r>
    </w:p>
    <w:p>
      <w:pPr>
        <w:spacing w:after="160" w:line="276"/>
        <w:jc w:val="both"/>
      </w:pPr>
      <w:r>
        <w:rPr>
          <w:rFonts w:ascii="Calibri" w:cs="Calibri" w:eastAsia="Calibri" w:hAnsi="Calibri"/>
          <w:color w:val="222222"/>
          <w:sz w:val="22"/>
          <w:szCs w:val="22"/>
        </w:rPr>
        <w:t xml:space="preserve">With support from early donors, we installed solar power extending from the maternity ward to the OPD. The results have been immediate:</w:t>
      </w:r>
    </w:p>
    <w:p>
      <w:pPr>
        <w:pStyle w:val="ListParagraph"/>
        <w:numPr>
          <w:ilvl w:val="0"/>
          <w:numId w:val="2"/>
        </w:numPr>
        <w:spacing w:after="100" w:line="276"/>
      </w:pPr>
      <w:r>
        <w:rPr>
          <w:rFonts w:ascii="Calibri" w:cs="Calibri" w:eastAsia="Calibri" w:hAnsi="Calibri"/>
          <w:b/>
          <w:bCs/>
          <w:color w:val="1B3A5C"/>
          <w:sz w:val="22"/>
          <w:szCs w:val="22"/>
        </w:rPr>
        <w:t xml:space="preserve">Reliable lighting: </w:t>
      </w:r>
      <w:r>
        <w:rPr>
          <w:rFonts w:ascii="Calibri" w:cs="Calibri" w:eastAsia="Calibri" w:hAnsi="Calibri"/>
          <w:color w:val="222222"/>
          <w:sz w:val="22"/>
          <w:szCs w:val="22"/>
        </w:rPr>
        <w:t xml:space="preserve">The OPD and maternity ward now have consistent, bright lighting for exams, procedures, and record-keeping.</w:t>
      </w:r>
    </w:p>
    <w:p>
      <w:pPr>
        <w:pStyle w:val="ListParagraph"/>
        <w:numPr>
          <w:ilvl w:val="0"/>
          <w:numId w:val="2"/>
        </w:numPr>
        <w:spacing w:after="100" w:line="276"/>
      </w:pPr>
      <w:r>
        <w:rPr>
          <w:rFonts w:ascii="Calibri" w:cs="Calibri" w:eastAsia="Calibri" w:hAnsi="Calibri"/>
          <w:b/>
          <w:bCs/>
          <w:color w:val="1B3A5C"/>
          <w:sz w:val="22"/>
          <w:szCs w:val="22"/>
        </w:rPr>
        <w:t xml:space="preserve">Steadier staff: </w:t>
      </w:r>
      <w:r>
        <w:rPr>
          <w:rFonts w:ascii="Calibri" w:cs="Calibri" w:eastAsia="Calibri" w:hAnsi="Calibri"/>
          <w:color w:val="222222"/>
          <w:sz w:val="22"/>
          <w:szCs w:val="22"/>
        </w:rPr>
        <w:t xml:space="preserve">Medical staff report far less stress during outages, and safer conditions for night shifts.</w:t>
      </w:r>
    </w:p>
    <w:p>
      <w:pPr>
        <w:pStyle w:val="ListParagraph"/>
        <w:numPr>
          <w:ilvl w:val="0"/>
          <w:numId w:val="2"/>
        </w:numPr>
        <w:spacing w:after="100" w:line="276"/>
      </w:pPr>
      <w:r>
        <w:rPr>
          <w:rFonts w:ascii="Calibri" w:cs="Calibri" w:eastAsia="Calibri" w:hAnsi="Calibri"/>
          <w:b/>
          <w:bCs/>
          <w:color w:val="1B3A5C"/>
          <w:sz w:val="22"/>
          <w:szCs w:val="22"/>
        </w:rPr>
        <w:t xml:space="preserve">Fewer interruptions: </w:t>
      </w:r>
      <w:r>
        <w:rPr>
          <w:rFonts w:ascii="Calibri" w:cs="Calibri" w:eastAsia="Calibri" w:hAnsi="Calibri"/>
          <w:color w:val="222222"/>
          <w:sz w:val="22"/>
          <w:szCs w:val="22"/>
        </w:rPr>
        <w:t xml:space="preserve">Critical equipment can now stay on through blackouts, keeping patient monitoring and stabilization uninterrupted.</w:t>
      </w:r>
    </w:p>
    <w:p>
      <w:pPr>
        <w:pStyle w:val="Heading1"/>
        <w:pBdr>
          <w:bottom w:val="single" w:color="C8862B" w:sz="8" w:space="4"/>
        </w:pBdr>
        <w:spacing w:after="200" w:before="400"/>
      </w:pPr>
      <w:r>
        <w:rPr>
          <w:rFonts w:ascii="Calibri" w:cs="Calibri" w:eastAsia="Calibri" w:hAnsi="Calibri"/>
          <w:b/>
          <w:bCs/>
          <w:color w:val="1B3A5C"/>
          <w:sz w:val="28"/>
          <w:szCs w:val="28"/>
        </w:rPr>
        <w:t xml:space="preserve">4. The Current Situation: Outgrowing Phase 1</w:t>
      </w:r>
    </w:p>
    <w:p>
      <w:pPr>
        <w:spacing w:after="160" w:line="276"/>
        <w:jc w:val="both"/>
      </w:pPr>
      <w:r>
        <w:rPr>
          <w:rFonts w:ascii="Calibri" w:cs="Calibri" w:eastAsia="Calibri" w:hAnsi="Calibri"/>
          <w:color w:val="222222"/>
          <w:sz w:val="22"/>
          <w:szCs w:val="22"/>
        </w:rPr>
        <w:t xml:space="preserve">Our early success has driven higher demand for care — and, with it, higher power needs than the first-phase system was built to carry.</w:t>
      </w:r>
    </w:p>
    <w:p>
      <w:pPr>
        <w:pStyle w:val="ListParagraph"/>
        <w:numPr>
          <w:ilvl w:val="0"/>
          <w:numId w:val="2"/>
        </w:numPr>
        <w:spacing w:after="100" w:line="276"/>
      </w:pPr>
      <w:r>
        <w:rPr>
          <w:rFonts w:ascii="Calibri" w:cs="Calibri" w:eastAsia="Calibri" w:hAnsi="Calibri"/>
          <w:b/>
          <w:bCs/>
          <w:color w:val="1B3A5C"/>
          <w:sz w:val="22"/>
          <w:szCs w:val="22"/>
        </w:rPr>
        <w:t xml:space="preserve">System at capacity: </w:t>
      </w:r>
      <w:r>
        <w:rPr>
          <w:rFonts w:ascii="Calibri" w:cs="Calibri" w:eastAsia="Calibri" w:hAnsi="Calibri"/>
          <w:color w:val="222222"/>
          <w:sz w:val="22"/>
          <w:szCs w:val="22"/>
        </w:rPr>
        <w:t xml:space="preserve">The current setup often runs at its limit as OPD and maternity loads combine.</w:t>
      </w:r>
    </w:p>
    <w:p>
      <w:pPr>
        <w:pStyle w:val="ListParagraph"/>
        <w:numPr>
          <w:ilvl w:val="0"/>
          <w:numId w:val="2"/>
        </w:numPr>
        <w:spacing w:after="100" w:line="276"/>
      </w:pPr>
      <w:r>
        <w:rPr>
          <w:rFonts w:ascii="Calibri" w:cs="Calibri" w:eastAsia="Calibri" w:hAnsi="Calibri"/>
          <w:b/>
          <w:bCs/>
          <w:color w:val="1B3A5C"/>
          <w:sz w:val="22"/>
          <w:szCs w:val="22"/>
        </w:rPr>
        <w:t xml:space="preserve">Weather dependency: </w:t>
      </w:r>
      <w:r>
        <w:rPr>
          <w:rFonts w:ascii="Calibri" w:cs="Calibri" w:eastAsia="Calibri" w:hAnsi="Calibri"/>
          <w:color w:val="222222"/>
          <w:sz w:val="22"/>
          <w:szCs w:val="22"/>
        </w:rPr>
        <w:t xml:space="preserve">Extended cloud cover and rain reduce generation, pushing us back onto the unreliable grid.</w:t>
      </w:r>
    </w:p>
    <w:p>
      <w:pPr>
        <w:pStyle w:val="ListParagraph"/>
        <w:numPr>
          <w:ilvl w:val="0"/>
          <w:numId w:val="2"/>
        </w:numPr>
        <w:spacing w:after="100" w:line="276"/>
      </w:pPr>
      <w:r>
        <w:rPr>
          <w:rFonts w:ascii="Calibri" w:cs="Calibri" w:eastAsia="Calibri" w:hAnsi="Calibri"/>
          <w:b/>
          <w:bCs/>
          <w:color w:val="1B3A5C"/>
          <w:sz w:val="22"/>
          <w:szCs w:val="22"/>
        </w:rPr>
        <w:t xml:space="preserve">Battery strain: </w:t>
      </w:r>
      <w:r>
        <w:rPr>
          <w:rFonts w:ascii="Calibri" w:cs="Calibri" w:eastAsia="Calibri" w:hAnsi="Calibri"/>
          <w:color w:val="222222"/>
          <w:sz w:val="22"/>
          <w:szCs w:val="22"/>
        </w:rPr>
        <w:t xml:space="preserve">Frequent grid outages drain reserves faster than they can recharge.</w:t>
      </w:r>
    </w:p>
    <w:p>
      <w:pPr>
        <w:pStyle w:val="ListParagraph"/>
        <w:numPr>
          <w:ilvl w:val="0"/>
          <w:numId w:val="2"/>
        </w:numPr>
        <w:spacing w:after="100" w:line="276"/>
      </w:pPr>
      <w:r>
        <w:rPr>
          <w:rFonts w:ascii="Calibri" w:cs="Calibri" w:eastAsia="Calibri" w:hAnsi="Calibri"/>
          <w:b/>
          <w:bCs/>
          <w:color w:val="1B3A5C"/>
          <w:sz w:val="22"/>
          <w:szCs w:val="22"/>
        </w:rPr>
        <w:t xml:space="preserve">Continued growth: </w:t>
      </w:r>
      <w:r>
        <w:rPr>
          <w:rFonts w:ascii="Calibri" w:cs="Calibri" w:eastAsia="Calibri" w:hAnsi="Calibri"/>
          <w:color w:val="222222"/>
          <w:sz w:val="22"/>
          <w:szCs w:val="22"/>
        </w:rPr>
        <w:t xml:space="preserve">Rising patient volume means power needs will keep climbing.</w:t>
      </w:r>
    </w:p>
    <w:p>
      <w:pPr>
        <w:pStyle w:val="Heading1"/>
        <w:pBdr>
          <w:bottom w:val="single" w:color="C8862B" w:sz="8" w:space="4"/>
        </w:pBdr>
        <w:spacing w:after="200" w:before="400"/>
      </w:pPr>
      <w:r>
        <w:rPr>
          <w:rFonts w:ascii="Calibri" w:cs="Calibri" w:eastAsia="Calibri" w:hAnsi="Calibri"/>
          <w:b/>
          <w:bCs/>
          <w:color w:val="1B3A5C"/>
          <w:sz w:val="28"/>
          <w:szCs w:val="28"/>
        </w:rPr>
        <w:t xml:space="preserve">5. The Road Ahead: Completing the System</w:t>
      </w:r>
    </w:p>
    <w:p>
      <w:pPr>
        <w:spacing w:after="160" w:line="276"/>
        <w:jc w:val="both"/>
      </w:pPr>
      <w:r>
        <w:rPr>
          <w:rFonts w:ascii="Calibri" w:cs="Calibri" w:eastAsia="Calibri" w:hAnsi="Calibri"/>
          <w:color w:val="222222"/>
          <w:sz w:val="22"/>
          <w:szCs w:val="22"/>
        </w:rPr>
        <w:t xml:space="preserve">Phase 2 will scale the existing system so it can meet demand year-round, regardless of weather:</w:t>
      </w:r>
    </w:p>
    <w:p>
      <w:pPr>
        <w:pStyle w:val="ListParagraph"/>
        <w:numPr>
          <w:ilvl w:val="0"/>
          <w:numId w:val="2"/>
        </w:numPr>
        <w:spacing w:after="100" w:line="276"/>
      </w:pPr>
      <w:r>
        <w:rPr>
          <w:rFonts w:ascii="Calibri" w:cs="Calibri" w:eastAsia="Calibri" w:hAnsi="Calibri"/>
          <w:b/>
          <w:bCs/>
          <w:color w:val="1B3A5C"/>
          <w:sz w:val="22"/>
          <w:szCs w:val="22"/>
        </w:rPr>
        <w:t xml:space="preserve">Expand battery storage: </w:t>
      </w:r>
      <w:r>
        <w:rPr>
          <w:rFonts w:ascii="Calibri" w:cs="Calibri" w:eastAsia="Calibri" w:hAnsi="Calibri"/>
          <w:color w:val="222222"/>
          <w:sz w:val="22"/>
          <w:szCs w:val="22"/>
        </w:rPr>
        <w:t xml:space="preserve">Add high-capacity batteries to carry the clinics through multiple cloudy days and full nights.</w:t>
      </w:r>
    </w:p>
    <w:p>
      <w:pPr>
        <w:pStyle w:val="ListParagraph"/>
        <w:numPr>
          <w:ilvl w:val="0"/>
          <w:numId w:val="2"/>
        </w:numPr>
        <w:spacing w:after="100" w:line="276"/>
      </w:pPr>
      <w:r>
        <w:rPr>
          <w:rFonts w:ascii="Calibri" w:cs="Calibri" w:eastAsia="Calibri" w:hAnsi="Calibri"/>
          <w:b/>
          <w:bCs/>
          <w:color w:val="1B3A5C"/>
          <w:sz w:val="22"/>
          <w:szCs w:val="22"/>
        </w:rPr>
        <w:t xml:space="preserve">Expand the solar array: </w:t>
      </w:r>
      <w:r>
        <w:rPr>
          <w:rFonts w:ascii="Calibri" w:cs="Calibri" w:eastAsia="Calibri" w:hAnsi="Calibri"/>
          <w:color w:val="222222"/>
          <w:sz w:val="22"/>
          <w:szCs w:val="22"/>
        </w:rPr>
        <w:t xml:space="preserve">Install additional panels to generate a daily surplus large enough to charge the larger battery bank.</w:t>
      </w:r>
    </w:p>
    <w:p>
      <w:pPr>
        <w:pStyle w:val="ListParagraph"/>
        <w:numPr>
          <w:ilvl w:val="0"/>
          <w:numId w:val="2"/>
        </w:numPr>
        <w:spacing w:after="100" w:line="276"/>
      </w:pPr>
      <w:r>
        <w:rPr>
          <w:rFonts w:ascii="Calibri" w:cs="Calibri" w:eastAsia="Calibri" w:hAnsi="Calibri"/>
          <w:b/>
          <w:bCs/>
          <w:color w:val="1B3A5C"/>
          <w:sz w:val="22"/>
          <w:szCs w:val="22"/>
        </w:rPr>
        <w:t xml:space="preserve">Upgrade inverter &amp; controller: </w:t>
      </w:r>
      <w:r>
        <w:rPr>
          <w:rFonts w:ascii="Calibri" w:cs="Calibri" w:eastAsia="Calibri" w:hAnsi="Calibri"/>
          <w:color w:val="222222"/>
          <w:sz w:val="22"/>
          <w:szCs w:val="22"/>
        </w:rPr>
        <w:t xml:space="preserve">Manage higher capacity and distribute power reliably across every department.</w:t>
      </w:r>
    </w:p>
    <w:p>
      <w:pPr>
        <w:pBdr>
          <w:top w:val="single" w:color="F4F1EB" w:sz="2" w:space="4"/>
          <w:bottom w:val="single" w:color="F4F1EB" w:sz="2" w:space="4"/>
          <w:left w:val="single" w:color="C8862B" w:sz="24" w:space="8"/>
          <w:right w:val="single" w:color="F4F1EB" w:sz="2" w:space="4"/>
        </w:pBdr>
        <w:shd w:fill="F4F1EB" w:val="clear"/>
        <w:spacing w:after="240" w:before="160"/>
        <w:ind w:left="100" w:right="100"/>
      </w:pPr>
      <w:r>
        <w:rPr>
          <w:rFonts w:ascii="Calibri" w:cs="Calibri" w:eastAsia="Calibri" w:hAnsi="Calibri"/>
          <w:i/>
          <w:iCs/>
          <w:color w:val="1B3A5C"/>
          <w:sz w:val="22"/>
          <w:szCs w:val="22"/>
        </w:rPr>
        <w:t xml:space="preserve">This is not simply an upgrade. It is the difference between a system that copes with blackouts and one that makes them irrelevant.</w:t>
      </w:r>
    </w:p>
    <w:p>
      <w:pPr>
        <w:pStyle w:val="Heading1"/>
        <w:pBdr>
          <w:bottom w:val="single" w:color="C8862B" w:sz="8" w:space="4"/>
        </w:pBdr>
        <w:spacing w:after="200" w:before="400"/>
      </w:pPr>
      <w:r>
        <w:rPr>
          <w:rFonts w:ascii="Calibri" w:cs="Calibri" w:eastAsia="Calibri" w:hAnsi="Calibri"/>
          <w:b/>
          <w:bCs/>
          <w:color w:val="1B3A5C"/>
          <w:sz w:val="28"/>
          <w:szCs w:val="28"/>
        </w:rPr>
        <w:t xml:space="preserve">6. Long-Term Impact</w:t>
      </w:r>
    </w:p>
    <w:p>
      <w:pPr>
        <w:spacing w:after="160" w:line="276"/>
        <w:jc w:val="both"/>
      </w:pPr>
      <w:r>
        <w:rPr>
          <w:rFonts w:ascii="Calibri" w:cs="Calibri" w:eastAsia="Calibri" w:hAnsi="Calibri"/>
          <w:color w:val="222222"/>
          <w:sz w:val="22"/>
          <w:szCs w:val="22"/>
        </w:rPr>
        <w:t xml:space="preserve">Completing this project will produce measurable, lasting outcomes for the community:</w:t>
      </w:r>
    </w:p>
    <w:p>
      <w:pPr>
        <w:pStyle w:val="ListParagraph"/>
        <w:numPr>
          <w:ilvl w:val="0"/>
          <w:numId w:val="2"/>
        </w:numPr>
        <w:spacing w:after="100" w:line="276"/>
      </w:pPr>
      <w:r>
        <w:rPr>
          <w:rFonts w:ascii="Calibri" w:cs="Calibri" w:eastAsia="Calibri" w:hAnsi="Calibri"/>
          <w:color w:val="222222"/>
          <w:sz w:val="22"/>
          <w:szCs w:val="22"/>
        </w:rPr>
        <w:t xml:space="preserve">Zero vaccine wastage from cold-chain failures</w:t>
      </w:r>
    </w:p>
    <w:p>
      <w:pPr>
        <w:pStyle w:val="ListParagraph"/>
        <w:numPr>
          <w:ilvl w:val="0"/>
          <w:numId w:val="2"/>
        </w:numPr>
        <w:spacing w:after="100" w:line="276"/>
      </w:pPr>
      <w:r>
        <w:rPr>
          <w:rFonts w:ascii="Calibri" w:cs="Calibri" w:eastAsia="Calibri" w:hAnsi="Calibri"/>
          <w:color w:val="222222"/>
          <w:sz w:val="22"/>
          <w:szCs w:val="22"/>
        </w:rPr>
        <w:t xml:space="preserve">Safe deliveries, day or night, regardless of grid status</w:t>
      </w:r>
    </w:p>
    <w:p>
      <w:pPr>
        <w:pStyle w:val="ListParagraph"/>
        <w:numPr>
          <w:ilvl w:val="0"/>
          <w:numId w:val="2"/>
        </w:numPr>
        <w:spacing w:after="100" w:line="276"/>
      </w:pPr>
      <w:r>
        <w:rPr>
          <w:rFonts w:ascii="Calibri" w:cs="Calibri" w:eastAsia="Calibri" w:hAnsi="Calibri"/>
          <w:color w:val="222222"/>
          <w:sz w:val="22"/>
          <w:szCs w:val="22"/>
        </w:rPr>
        <w:t xml:space="preserve">Full use of diagnostic equipment for earlier, better treatment</w:t>
      </w:r>
    </w:p>
    <w:p>
      <w:pPr>
        <w:pStyle w:val="ListParagraph"/>
        <w:numPr>
          <w:ilvl w:val="0"/>
          <w:numId w:val="2"/>
        </w:numPr>
        <w:spacing w:after="100" w:line="276"/>
      </w:pPr>
      <w:r>
        <w:rPr>
          <w:rFonts w:ascii="Calibri" w:cs="Calibri" w:eastAsia="Calibri" w:hAnsi="Calibri"/>
          <w:color w:val="222222"/>
          <w:sz w:val="22"/>
          <w:szCs w:val="22"/>
        </w:rPr>
        <w:t xml:space="preserve">Renewed community trust in the clinics as a dependable resource</w:t>
      </w:r>
    </w:p>
    <w:p>
      <w:pPr>
        <w:pStyle w:val="ListParagraph"/>
        <w:numPr>
          <w:ilvl w:val="0"/>
          <w:numId w:val="2"/>
        </w:numPr>
        <w:spacing w:after="100" w:line="276"/>
      </w:pPr>
      <w:r>
        <w:rPr>
          <w:rFonts w:ascii="Calibri" w:cs="Calibri" w:eastAsia="Calibri" w:hAnsi="Calibri"/>
          <w:color w:val="222222"/>
          <w:sz w:val="22"/>
          <w:szCs w:val="22"/>
        </w:rPr>
        <w:t xml:space="preserve">Stronger staff retention through safer, more workable conditions</w:t>
      </w:r>
    </w:p>
    <w:p>
      <w:pPr>
        <w:pStyle w:val="Heading1"/>
        <w:pBdr>
          <w:bottom w:val="single" w:color="C8862B" w:sz="8" w:space="4"/>
        </w:pBdr>
        <w:spacing w:after="200" w:before="400"/>
      </w:pPr>
      <w:r>
        <w:rPr>
          <w:rFonts w:ascii="Calibri" w:cs="Calibri" w:eastAsia="Calibri" w:hAnsi="Calibri"/>
          <w:b/>
          <w:bCs/>
          <w:color w:val="1B3A5C"/>
          <w:sz w:val="28"/>
          <w:szCs w:val="28"/>
        </w:rPr>
        <w:t xml:space="preserve">7. Fundraising Summary</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000"/>
        <w:gridCol w:w="4000"/>
      </w:tblGrid>
      <w:tr>
        <w:trPr>
          <w:tblHeader/>
        </w:trPr>
        <w:tc>
          <w:tcPr>
            <w:tcW w:type="dxa" w:w="6000"/>
            <w:shd w:fill="1B3A5C" w:val="clear"/>
            <w:tcMar>
              <w:top w:type="dxa" w:w="100"/>
              <w:left w:type="dxa" w:w="150"/>
              <w:bottom w:type="dxa" w:w="100"/>
              <w:right w:type="dxa" w:w="150"/>
            </w:tcMar>
          </w:tcPr>
          <w:p>
            <w:r>
              <w:rPr>
                <w:rFonts w:ascii="Calibri" w:cs="Calibri" w:eastAsia="Calibri" w:hAnsi="Calibri"/>
                <w:b/>
                <w:bCs/>
                <w:color w:val="FFFFFF"/>
                <w:sz w:val="20"/>
                <w:szCs w:val="20"/>
              </w:rPr>
              <w:t xml:space="preserve">Item</w:t>
            </w:r>
          </w:p>
        </w:tc>
        <w:tc>
          <w:tcPr>
            <w:tcW w:type="dxa" w:w="4000"/>
            <w:shd w:fill="1B3A5C" w:val="clear"/>
            <w:tcMar>
              <w:top w:type="dxa" w:w="100"/>
              <w:left w:type="dxa" w:w="150"/>
              <w:bottom w:type="dxa" w:w="100"/>
              <w:right w:type="dxa" w:w="150"/>
            </w:tcMar>
          </w:tcPr>
          <w:p>
            <w:r>
              <w:rPr>
                <w:rFonts w:ascii="Calibri" w:cs="Calibri" w:eastAsia="Calibri" w:hAnsi="Calibri"/>
                <w:b/>
                <w:bCs/>
                <w:color w:val="FFFFFF"/>
                <w:sz w:val="20"/>
                <w:szCs w:val="20"/>
              </w:rPr>
              <w:t xml:space="preserve">Amount</w:t>
            </w:r>
          </w:p>
        </w:tc>
      </w:tr>
      <w:tr>
        <w:tc>
          <w:tcPr>
            <w:tcW w:type="dxa" w:w="6000"/>
            <w:shd w:fill="FFFFFF" w:val="clear"/>
            <w:tcMar>
              <w:top w:type="dxa" w:w="90"/>
              <w:left w:type="dxa" w:w="150"/>
              <w:bottom w:type="dxa" w:w="90"/>
              <w:right w:type="dxa" w:w="150"/>
            </w:tcMar>
          </w:tcPr>
          <w:p>
            <w:r>
              <w:rPr>
                <w:rFonts w:ascii="Calibri" w:cs="Calibri" w:eastAsia="Calibri" w:hAnsi="Calibri"/>
                <w:color w:val="222222"/>
                <w:sz w:val="20"/>
                <w:szCs w:val="20"/>
              </w:rPr>
              <w:t xml:space="preserve">Total Project Goal</w:t>
            </w:r>
          </w:p>
        </w:tc>
        <w:tc>
          <w:tcPr>
            <w:tcW w:type="dxa" w:w="4000"/>
            <w:shd w:fill="FFFFFF" w:val="clear"/>
            <w:tcMar>
              <w:top w:type="dxa" w:w="90"/>
              <w:left w:type="dxa" w:w="150"/>
              <w:bottom w:type="dxa" w:w="90"/>
              <w:right w:type="dxa" w:w="150"/>
            </w:tcMar>
          </w:tcPr>
          <w:p>
            <w:r>
              <w:rPr>
                <w:rFonts w:ascii="Calibri" w:cs="Calibri" w:eastAsia="Calibri" w:hAnsi="Calibri"/>
                <w:b/>
                <w:bCs/>
                <w:color w:val="1B3A5C"/>
                <w:sz w:val="20"/>
                <w:szCs w:val="20"/>
              </w:rPr>
              <w:t xml:space="preserve">$25,000</w:t>
            </w:r>
          </w:p>
        </w:tc>
      </w:tr>
      <w:tr>
        <w:tc>
          <w:tcPr>
            <w:tcW w:type="dxa" w:w="6000"/>
            <w:shd w:fill="F4F1EB" w:val="clear"/>
            <w:tcMar>
              <w:top w:type="dxa" w:w="90"/>
              <w:left w:type="dxa" w:w="150"/>
              <w:bottom w:type="dxa" w:w="90"/>
              <w:right w:type="dxa" w:w="150"/>
            </w:tcMar>
          </w:tcPr>
          <w:p>
            <w:r>
              <w:rPr>
                <w:rFonts w:ascii="Calibri" w:cs="Calibri" w:eastAsia="Calibri" w:hAnsi="Calibri"/>
                <w:color w:val="222222"/>
                <w:sz w:val="20"/>
                <w:szCs w:val="20"/>
              </w:rPr>
              <w:t xml:space="preserve">Remaining Funds Needed</w:t>
            </w:r>
          </w:p>
        </w:tc>
        <w:tc>
          <w:tcPr>
            <w:tcW w:type="dxa" w:w="4000"/>
            <w:shd w:fill="F4F1EB" w:val="clear"/>
            <w:tcMar>
              <w:top w:type="dxa" w:w="90"/>
              <w:left w:type="dxa" w:w="150"/>
              <w:bottom w:type="dxa" w:w="90"/>
              <w:right w:type="dxa" w:w="150"/>
            </w:tcMar>
          </w:tcPr>
          <w:p>
            <w:r>
              <w:rPr>
                <w:rFonts w:ascii="Calibri" w:cs="Calibri" w:eastAsia="Calibri" w:hAnsi="Calibri"/>
                <w:b/>
                <w:bCs/>
                <w:color w:val="1B3A5C"/>
                <w:sz w:val="20"/>
                <w:szCs w:val="20"/>
              </w:rPr>
              <w:t xml:space="preserve">$24,924</w:t>
            </w:r>
          </w:p>
        </w:tc>
      </w:tr>
      <w:tr>
        <w:tc>
          <w:tcPr>
            <w:tcW w:type="dxa" w:w="6000"/>
            <w:shd w:fill="FFFFFF" w:val="clear"/>
            <w:tcMar>
              <w:top w:type="dxa" w:w="90"/>
              <w:left w:type="dxa" w:w="150"/>
              <w:bottom w:type="dxa" w:w="90"/>
              <w:right w:type="dxa" w:w="150"/>
            </w:tcMar>
          </w:tcPr>
          <w:p>
            <w:r>
              <w:rPr>
                <w:rFonts w:ascii="Calibri" w:cs="Calibri" w:eastAsia="Calibri" w:hAnsi="Calibri"/>
                <w:color w:val="222222"/>
                <w:sz w:val="20"/>
                <w:szCs w:val="20"/>
              </w:rPr>
              <w:t xml:space="preserve">Donors to Date</w:t>
            </w:r>
          </w:p>
        </w:tc>
        <w:tc>
          <w:tcPr>
            <w:tcW w:type="dxa" w:w="4000"/>
            <w:shd w:fill="FFFFFF" w:val="clear"/>
            <w:tcMar>
              <w:top w:type="dxa" w:w="90"/>
              <w:left w:type="dxa" w:w="150"/>
              <w:bottom w:type="dxa" w:w="90"/>
              <w:right w:type="dxa" w:w="150"/>
            </w:tcMar>
          </w:tcPr>
          <w:p>
            <w:r>
              <w:rPr>
                <w:rFonts w:ascii="Calibri" w:cs="Calibri" w:eastAsia="Calibri" w:hAnsi="Calibri"/>
                <w:b/>
                <w:bCs/>
                <w:color w:val="1B3A5C"/>
                <w:sz w:val="20"/>
                <w:szCs w:val="20"/>
              </w:rPr>
              <w:t xml:space="preserve">7</w:t>
            </w:r>
          </w:p>
        </w:tc>
      </w:tr>
      <w:tr>
        <w:tc>
          <w:tcPr>
            <w:tcW w:type="dxa" w:w="6000"/>
            <w:shd w:fill="F4F1EB" w:val="clear"/>
            <w:tcMar>
              <w:top w:type="dxa" w:w="90"/>
              <w:left w:type="dxa" w:w="150"/>
              <w:bottom w:type="dxa" w:w="90"/>
              <w:right w:type="dxa" w:w="150"/>
            </w:tcMar>
          </w:tcPr>
          <w:p>
            <w:r>
              <w:rPr>
                <w:rFonts w:ascii="Calibri" w:cs="Calibri" w:eastAsia="Calibri" w:hAnsi="Calibri"/>
                <w:color w:val="222222"/>
                <w:sz w:val="20"/>
                <w:szCs w:val="20"/>
              </w:rPr>
              <w:t xml:space="preserve">Monthly Donors</w:t>
            </w:r>
          </w:p>
        </w:tc>
        <w:tc>
          <w:tcPr>
            <w:tcW w:type="dxa" w:w="4000"/>
            <w:shd w:fill="F4F1EB" w:val="clear"/>
            <w:tcMar>
              <w:top w:type="dxa" w:w="90"/>
              <w:left w:type="dxa" w:w="150"/>
              <w:bottom w:type="dxa" w:w="90"/>
              <w:right w:type="dxa" w:w="150"/>
            </w:tcMar>
          </w:tcPr>
          <w:p>
            <w:r>
              <w:rPr>
                <w:rFonts w:ascii="Calibri" w:cs="Calibri" w:eastAsia="Calibri" w:hAnsi="Calibri"/>
                <w:b/>
                <w:bCs/>
                <w:color w:val="1B3A5C"/>
                <w:sz w:val="20"/>
                <w:szCs w:val="20"/>
              </w:rPr>
              <w:t xml:space="preserve">0</w:t>
            </w:r>
          </w:p>
        </w:tc>
      </w:tr>
      <w:tr>
        <w:tc>
          <w:tcPr>
            <w:tcW w:type="dxa" w:w="6000"/>
            <w:shd w:fill="FFFFFF" w:val="clear"/>
            <w:tcMar>
              <w:top w:type="dxa" w:w="90"/>
              <w:left w:type="dxa" w:w="150"/>
              <w:bottom w:type="dxa" w:w="90"/>
              <w:right w:type="dxa" w:w="150"/>
            </w:tcMar>
          </w:tcPr>
          <w:p>
            <w:r>
              <w:rPr>
                <w:rFonts w:ascii="Calibri" w:cs="Calibri" w:eastAsia="Calibri" w:hAnsi="Calibri"/>
                <w:color w:val="222222"/>
                <w:sz w:val="20"/>
                <w:szCs w:val="20"/>
              </w:rPr>
              <w:t xml:space="preserve">Project Duration</w:t>
            </w:r>
          </w:p>
        </w:tc>
        <w:tc>
          <w:tcPr>
            <w:tcW w:type="dxa" w:w="4000"/>
            <w:shd w:fill="FFFFFF" w:val="clear"/>
            <w:tcMar>
              <w:top w:type="dxa" w:w="90"/>
              <w:left w:type="dxa" w:w="150"/>
              <w:bottom w:type="dxa" w:w="90"/>
              <w:right w:type="dxa" w:w="150"/>
            </w:tcMar>
          </w:tcPr>
          <w:p>
            <w:r>
              <w:rPr>
                <w:rFonts w:ascii="Calibri" w:cs="Calibri" w:eastAsia="Calibri" w:hAnsi="Calibri"/>
                <w:b/>
                <w:bCs/>
                <w:color w:val="1B3A5C"/>
                <w:sz w:val="20"/>
                <w:szCs w:val="20"/>
              </w:rPr>
              <w:t xml:space="preserve">2 Years</w:t>
            </w:r>
          </w:p>
        </w:tc>
      </w:tr>
    </w:tbl>
    <w:p>
      <w:pPr>
        <w:spacing w:after="200"/>
      </w:pPr>
    </w:p>
    <w:p>
      <w:pPr>
        <w:pStyle w:val="Heading1"/>
        <w:pBdr>
          <w:bottom w:val="single" w:color="C8862B" w:sz="8" w:space="4"/>
        </w:pBdr>
        <w:spacing w:after="200" w:before="400"/>
      </w:pPr>
      <w:r>
        <w:rPr>
          <w:rFonts w:ascii="Calibri" w:cs="Calibri" w:eastAsia="Calibri" w:hAnsi="Calibri"/>
          <w:b/>
          <w:bCs/>
          <w:color w:val="1B3A5C"/>
          <w:sz w:val="28"/>
          <w:szCs w:val="28"/>
        </w:rPr>
        <w:t xml:space="preserve">8. A Call to Action: Be the Light That Lasts</w:t>
      </w:r>
    </w:p>
    <w:p>
      <w:pPr>
        <w:spacing w:after="160" w:line="276"/>
        <w:jc w:val="both"/>
      </w:pPr>
      <w:r>
        <w:rPr>
          <w:rFonts w:ascii="Calibri" w:cs="Calibri" w:eastAsia="Calibri" w:hAnsi="Calibri"/>
          <w:color w:val="222222"/>
          <w:sz w:val="22"/>
          <w:szCs w:val="22"/>
        </w:rPr>
        <w:t xml:space="preserve">We have come far, but the final phase is the most critical. Your support — a one-time gift or a monthly commitment — is what will keep vaccines cold, guide a child safely into the world, and sustain this community for years to come.</w:t>
      </w:r>
    </w:p>
    <w:p>
      <w:pPr>
        <w:pBdr>
          <w:top w:val="single" w:color="C8862B" w:sz="12" w:space="6"/>
          <w:bottom w:val="single" w:color="C8862B" w:sz="12" w:space="6"/>
        </w:pBdr>
        <w:shd w:fill="1B3A5C" w:val="clear"/>
        <w:spacing w:after="200" w:before="200"/>
        <w:jc w:val="center"/>
      </w:pPr>
      <w:r>
        <w:rPr>
          <w:rFonts w:ascii="Calibri" w:cs="Calibri" w:eastAsia="Calibri" w:hAnsi="Calibri"/>
          <w:b/>
          <w:bCs/>
          <w:color w:val="FFFFFF"/>
          <w:sz w:val="26"/>
          <w:szCs w:val="26"/>
        </w:rPr>
        <w:t xml:space="preserve">DONATE TODAY</w:t>
      </w:r>
    </w:p>
    <w:p>
      <w:pPr>
        <w:spacing w:after="160" w:line="276"/>
        <w:jc w:val="center"/>
      </w:pPr>
      <w:r>
        <w:rPr>
          <w:rFonts w:ascii="Calibri" w:cs="Calibri" w:eastAsia="Calibri" w:hAnsi="Calibri"/>
          <w:color w:val="222222"/>
          <w:sz w:val="22"/>
          <w:szCs w:val="22"/>
        </w:rPr>
        <w:t xml:space="preserve">Join us in finishing what we started — and help make the Karin Clinics a true beacon of health for Northern Uganda.</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Page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of </w:t>
    </w:r>
    <w:r>
      <w:rPr>
        <w:rFonts w:ascii="Calibri" w:cs="Calibri" w:eastAsia="Calibri" w:hAnsi="Calibri"/>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rFonts w:ascii="Calibri" w:cs="Calibri" w:eastAsia="Calibri" w:hAnsi="Calibri"/>
        <w:color w:val="595959"/>
        <w:sz w:val="16"/>
        <w:szCs w:val="16"/>
      </w:rPr>
      <w:t xml:space="preserve">Karin Clinics Solar Power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2026-07-23T13:14:43.924Z</dcterms:created>
  <dcterms:modified xsi:type="dcterms:W3CDTF">2026-07-23T13:14:43.940Z</dcterms:modified>
</cp:coreProperties>
</file>

<file path=docProps/custom.xml><?xml version="1.0" encoding="utf-8"?>
<Properties xmlns="http://schemas.openxmlformats.org/officeDocument/2006/custom-properties" xmlns:vt="http://schemas.openxmlformats.org/officeDocument/2006/docPropsVTypes"/>
</file>