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8DEB3" w14:textId="77777777" w:rsidR="0062462A" w:rsidRDefault="0062462A">
      <w:pPr>
        <w:rPr>
          <w:rFonts w:ascii="Gill Sans MT" w:hAnsi="Gill Sans MT" w:cs="Gill Sans MT"/>
          <w:color w:val="000000" w:themeColor="text1"/>
        </w:rPr>
      </w:pPr>
    </w:p>
    <w:tbl>
      <w:tblPr>
        <w:tblStyle w:val="TableGrid"/>
        <w:tblW w:w="0" w:type="auto"/>
        <w:tblLook w:val="04A0" w:firstRow="1" w:lastRow="0" w:firstColumn="1" w:lastColumn="0" w:noHBand="0" w:noVBand="1"/>
      </w:tblPr>
      <w:tblGrid>
        <w:gridCol w:w="3717"/>
        <w:gridCol w:w="5633"/>
      </w:tblGrid>
      <w:tr w:rsidR="0062462A" w14:paraId="79C0344F" w14:textId="77777777">
        <w:tc>
          <w:tcPr>
            <w:tcW w:w="3791" w:type="dxa"/>
          </w:tcPr>
          <w:p w14:paraId="7174314C" w14:textId="77777777" w:rsidR="0062462A" w:rsidRDefault="00000000">
            <w:pPr>
              <w:rPr>
                <w:rFonts w:ascii="Gill Sans MT" w:hAnsi="Gill Sans MT" w:cs="Gill Sans MT"/>
                <w:b/>
                <w:bCs/>
                <w:color w:val="000000" w:themeColor="text1"/>
              </w:rPr>
            </w:pPr>
            <w:r>
              <w:rPr>
                <w:rFonts w:ascii="Gill Sans MT" w:hAnsi="Gill Sans MT" w:cs="Gill Sans MT"/>
                <w:b/>
                <w:bCs/>
                <w:color w:val="000000" w:themeColor="text1"/>
              </w:rPr>
              <w:t>Name of organization</w:t>
            </w:r>
          </w:p>
        </w:tc>
        <w:tc>
          <w:tcPr>
            <w:tcW w:w="5785" w:type="dxa"/>
          </w:tcPr>
          <w:p w14:paraId="11941A43" w14:textId="77777777" w:rsidR="0062462A" w:rsidRDefault="00000000">
            <w:pPr>
              <w:rPr>
                <w:rFonts w:ascii="Gill Sans MT" w:hAnsi="Gill Sans MT" w:cs="Gill Sans MT"/>
                <w:color w:val="000000" w:themeColor="text1"/>
              </w:rPr>
            </w:pPr>
            <w:r>
              <w:rPr>
                <w:rFonts w:ascii="Gill Sans MT" w:hAnsi="Gill Sans MT" w:cs="Gill Sans MT"/>
                <w:color w:val="000000" w:themeColor="text1"/>
              </w:rPr>
              <w:t>Nile Care Advocacy for Peace and Development (NILECAPD)</w:t>
            </w:r>
          </w:p>
        </w:tc>
      </w:tr>
      <w:tr w:rsidR="0062462A" w14:paraId="5774FE97" w14:textId="77777777">
        <w:tc>
          <w:tcPr>
            <w:tcW w:w="3791" w:type="dxa"/>
          </w:tcPr>
          <w:p w14:paraId="5DA3AED6" w14:textId="77777777" w:rsidR="0062462A" w:rsidRDefault="00000000">
            <w:pPr>
              <w:rPr>
                <w:rFonts w:ascii="Gill Sans MT" w:hAnsi="Gill Sans MT" w:cs="Gill Sans MT"/>
                <w:b/>
                <w:bCs/>
                <w:color w:val="000000" w:themeColor="text1"/>
              </w:rPr>
            </w:pPr>
            <w:r>
              <w:rPr>
                <w:rFonts w:ascii="Gill Sans MT" w:hAnsi="Gill Sans MT" w:cs="Gill Sans MT"/>
                <w:b/>
                <w:bCs/>
                <w:color w:val="000000" w:themeColor="text1"/>
              </w:rPr>
              <w:t>Activity location</w:t>
            </w:r>
          </w:p>
        </w:tc>
        <w:tc>
          <w:tcPr>
            <w:tcW w:w="5785" w:type="dxa"/>
          </w:tcPr>
          <w:p w14:paraId="6B77368F" w14:textId="77777777" w:rsidR="0062462A" w:rsidRDefault="00000000">
            <w:pPr>
              <w:rPr>
                <w:rFonts w:ascii="Gill Sans MT" w:hAnsi="Gill Sans MT" w:cs="Gill Sans MT"/>
                <w:color w:val="000000" w:themeColor="text1"/>
              </w:rPr>
            </w:pPr>
            <w:r>
              <w:rPr>
                <w:rFonts w:ascii="Gill Sans MT" w:hAnsi="Gill Sans MT" w:cs="Gill Sans MT"/>
                <w:color w:val="000000" w:themeColor="text1"/>
              </w:rPr>
              <w:t>Gorom Refugee Camp, Juba, South Sudan</w:t>
            </w:r>
          </w:p>
        </w:tc>
      </w:tr>
      <w:tr w:rsidR="0062462A" w14:paraId="5CB20F71" w14:textId="77777777">
        <w:tc>
          <w:tcPr>
            <w:tcW w:w="3791" w:type="dxa"/>
          </w:tcPr>
          <w:p w14:paraId="3E57BD66" w14:textId="77777777" w:rsidR="0062462A" w:rsidRDefault="00000000">
            <w:pPr>
              <w:rPr>
                <w:rFonts w:ascii="Gill Sans MT" w:hAnsi="Gill Sans MT" w:cs="Gill Sans MT"/>
                <w:b/>
                <w:bCs/>
                <w:color w:val="000000" w:themeColor="text1"/>
              </w:rPr>
            </w:pPr>
            <w:r>
              <w:rPr>
                <w:rFonts w:ascii="Gill Sans MT" w:hAnsi="Gill Sans MT" w:cs="Gill Sans MT"/>
                <w:b/>
                <w:bCs/>
                <w:color w:val="000000" w:themeColor="text1"/>
              </w:rPr>
              <w:t>Number of beneficiaries</w:t>
            </w:r>
          </w:p>
        </w:tc>
        <w:tc>
          <w:tcPr>
            <w:tcW w:w="5785" w:type="dxa"/>
          </w:tcPr>
          <w:p w14:paraId="4709C407" w14:textId="77777777" w:rsidR="0062462A" w:rsidRDefault="00000000">
            <w:pPr>
              <w:rPr>
                <w:rFonts w:ascii="Gill Sans MT" w:hAnsi="Gill Sans MT" w:cs="Gill Sans MT"/>
                <w:color w:val="000000" w:themeColor="text1"/>
              </w:rPr>
            </w:pPr>
            <w:r>
              <w:rPr>
                <w:rFonts w:ascii="Gill Sans MT" w:hAnsi="Gill Sans MT" w:cs="Gill Sans MT"/>
                <w:color w:val="000000" w:themeColor="text1"/>
              </w:rPr>
              <w:t>100 women aged 19 and 35 years</w:t>
            </w:r>
          </w:p>
        </w:tc>
      </w:tr>
      <w:tr w:rsidR="0062462A" w14:paraId="3F8491E9" w14:textId="77777777">
        <w:tc>
          <w:tcPr>
            <w:tcW w:w="3791" w:type="dxa"/>
          </w:tcPr>
          <w:p w14:paraId="36074628" w14:textId="77777777" w:rsidR="0062462A" w:rsidRDefault="00000000">
            <w:pPr>
              <w:rPr>
                <w:rFonts w:ascii="Gill Sans MT" w:hAnsi="Gill Sans MT" w:cs="Gill Sans MT"/>
                <w:b/>
                <w:bCs/>
                <w:color w:val="000000" w:themeColor="text1"/>
              </w:rPr>
            </w:pPr>
            <w:r>
              <w:rPr>
                <w:rFonts w:ascii="Gill Sans MT" w:hAnsi="Gill Sans MT" w:cs="Gill Sans MT"/>
                <w:b/>
                <w:bCs/>
                <w:color w:val="000000" w:themeColor="text1"/>
              </w:rPr>
              <w:t>Category of beneficiaries</w:t>
            </w:r>
          </w:p>
        </w:tc>
        <w:tc>
          <w:tcPr>
            <w:tcW w:w="5785" w:type="dxa"/>
          </w:tcPr>
          <w:p w14:paraId="501B39C8" w14:textId="77777777" w:rsidR="0062462A" w:rsidRDefault="00000000">
            <w:pPr>
              <w:rPr>
                <w:rFonts w:ascii="Gill Sans MT" w:hAnsi="Gill Sans MT" w:cs="Gill Sans MT"/>
                <w:color w:val="000000" w:themeColor="text1"/>
              </w:rPr>
            </w:pPr>
            <w:r>
              <w:rPr>
                <w:rFonts w:ascii="Gill Sans MT" w:hAnsi="Gill Sans MT" w:cs="Gill Sans MT"/>
                <w:color w:val="000000" w:themeColor="text1"/>
              </w:rPr>
              <w:t>Lactating and pregnant women refugees</w:t>
            </w:r>
          </w:p>
        </w:tc>
      </w:tr>
      <w:tr w:rsidR="0062462A" w14:paraId="09BBA545" w14:textId="77777777">
        <w:tc>
          <w:tcPr>
            <w:tcW w:w="3791" w:type="dxa"/>
          </w:tcPr>
          <w:p w14:paraId="5BDE72D5" w14:textId="77777777" w:rsidR="0062462A" w:rsidRDefault="00000000">
            <w:pPr>
              <w:rPr>
                <w:rFonts w:ascii="Gill Sans MT" w:hAnsi="Gill Sans MT" w:cs="Gill Sans MT"/>
                <w:b/>
                <w:bCs/>
                <w:color w:val="000000" w:themeColor="text1"/>
              </w:rPr>
            </w:pPr>
            <w:r>
              <w:rPr>
                <w:rFonts w:ascii="Gill Sans MT" w:hAnsi="Gill Sans MT" w:cs="Gill Sans MT"/>
                <w:b/>
                <w:bCs/>
                <w:color w:val="000000" w:themeColor="text1"/>
              </w:rPr>
              <w:t>Implementation Period</w:t>
            </w:r>
          </w:p>
        </w:tc>
        <w:tc>
          <w:tcPr>
            <w:tcW w:w="5785" w:type="dxa"/>
          </w:tcPr>
          <w:p w14:paraId="7FE83163" w14:textId="77777777" w:rsidR="0062462A" w:rsidRDefault="00000000">
            <w:pPr>
              <w:rPr>
                <w:rFonts w:ascii="Gill Sans MT" w:hAnsi="Gill Sans MT" w:cs="Gill Sans MT"/>
                <w:color w:val="000000" w:themeColor="text1"/>
              </w:rPr>
            </w:pPr>
            <w:r>
              <w:rPr>
                <w:rFonts w:ascii="Gill Sans MT" w:hAnsi="Gill Sans MT" w:cs="Gill Sans MT"/>
                <w:color w:val="000000" w:themeColor="text1"/>
              </w:rPr>
              <w:t>10</w:t>
            </w:r>
            <w:r>
              <w:rPr>
                <w:rFonts w:ascii="Gill Sans MT" w:hAnsi="Gill Sans MT" w:cs="Gill Sans MT"/>
                <w:color w:val="000000" w:themeColor="text1"/>
                <w:vertAlign w:val="superscript"/>
              </w:rPr>
              <w:t>th</w:t>
            </w:r>
            <w:r>
              <w:rPr>
                <w:rFonts w:ascii="Gill Sans MT" w:hAnsi="Gill Sans MT" w:cs="Gill Sans MT"/>
                <w:color w:val="000000" w:themeColor="text1"/>
              </w:rPr>
              <w:t xml:space="preserve"> to 22</w:t>
            </w:r>
            <w:r>
              <w:rPr>
                <w:rFonts w:ascii="Gill Sans MT" w:hAnsi="Gill Sans MT" w:cs="Gill Sans MT"/>
                <w:color w:val="000000" w:themeColor="text1"/>
                <w:vertAlign w:val="superscript"/>
              </w:rPr>
              <w:t>nd</w:t>
            </w:r>
            <w:r>
              <w:rPr>
                <w:rFonts w:ascii="Gill Sans MT" w:hAnsi="Gill Sans MT" w:cs="Gill Sans MT"/>
                <w:color w:val="000000" w:themeColor="text1"/>
              </w:rPr>
              <w:t xml:space="preserve"> October 2024</w:t>
            </w:r>
          </w:p>
        </w:tc>
      </w:tr>
      <w:tr w:rsidR="0062462A" w14:paraId="50F47014" w14:textId="77777777">
        <w:tc>
          <w:tcPr>
            <w:tcW w:w="3791" w:type="dxa"/>
          </w:tcPr>
          <w:p w14:paraId="7EBFF6BE" w14:textId="77777777" w:rsidR="0062462A" w:rsidRDefault="00000000">
            <w:pPr>
              <w:rPr>
                <w:rFonts w:ascii="Gill Sans MT" w:hAnsi="Gill Sans MT" w:cs="Gill Sans MT"/>
                <w:b/>
                <w:bCs/>
                <w:color w:val="000000" w:themeColor="text1"/>
              </w:rPr>
            </w:pPr>
            <w:r>
              <w:rPr>
                <w:rFonts w:ascii="Gill Sans MT" w:hAnsi="Gill Sans MT" w:cs="Gill Sans MT"/>
                <w:b/>
                <w:bCs/>
                <w:color w:val="000000" w:themeColor="text1"/>
              </w:rPr>
              <w:t>Focal Point</w:t>
            </w:r>
          </w:p>
        </w:tc>
        <w:tc>
          <w:tcPr>
            <w:tcW w:w="5785" w:type="dxa"/>
          </w:tcPr>
          <w:p w14:paraId="2569DD72" w14:textId="585414D4" w:rsidR="0062462A" w:rsidRDefault="00065270">
            <w:pPr>
              <w:rPr>
                <w:rFonts w:ascii="Gill Sans MT" w:hAnsi="Gill Sans MT" w:cs="Gill Sans MT"/>
                <w:color w:val="000000" w:themeColor="text1"/>
              </w:rPr>
            </w:pPr>
            <w:r>
              <w:rPr>
                <w:rFonts w:ascii="Gill Sans MT" w:hAnsi="Gill Sans MT" w:cs="Gill Sans MT"/>
                <w:color w:val="000000" w:themeColor="text1"/>
              </w:rPr>
              <w:t>Mr. Bayak Chuol Puoch</w:t>
            </w:r>
          </w:p>
          <w:p w14:paraId="69613328" w14:textId="2D09D499" w:rsidR="0062462A" w:rsidRDefault="00000000">
            <w:pPr>
              <w:rPr>
                <w:rFonts w:ascii="Gill Sans MT" w:hAnsi="Gill Sans MT" w:cs="Gill Sans MT"/>
                <w:color w:val="000000" w:themeColor="text1"/>
              </w:rPr>
            </w:pPr>
            <w:r>
              <w:rPr>
                <w:rFonts w:ascii="Gill Sans MT" w:hAnsi="Gill Sans MT" w:cs="Gill Sans MT"/>
                <w:color w:val="000000" w:themeColor="text1"/>
              </w:rPr>
              <w:t>Email:</w:t>
            </w:r>
            <w:r w:rsidR="00AF1C9B">
              <w:rPr>
                <w:rFonts w:ascii="Gill Sans MT" w:hAnsi="Gill Sans MT" w:cs="Gill Sans MT"/>
                <w:color w:val="000000" w:themeColor="text1"/>
              </w:rPr>
              <w:t xml:space="preserve"> </w:t>
            </w:r>
            <w:hyperlink r:id="rId7" w:history="1">
              <w:r w:rsidR="00AF1C9B" w:rsidRPr="00511576">
                <w:rPr>
                  <w:rStyle w:val="Hyperlink"/>
                  <w:rFonts w:ascii="Gill Sans MT" w:hAnsi="Gill Sans MT" w:cs="Gill Sans MT"/>
                </w:rPr>
                <w:t>info@nilecapd.org</w:t>
              </w:r>
            </w:hyperlink>
            <w:r w:rsidR="00AF1C9B">
              <w:rPr>
                <w:rFonts w:ascii="Gill Sans MT" w:hAnsi="Gill Sans MT" w:cs="Gill Sans MT"/>
                <w:color w:val="000000" w:themeColor="text1"/>
              </w:rPr>
              <w:t xml:space="preserve"> </w:t>
            </w:r>
          </w:p>
        </w:tc>
      </w:tr>
      <w:tr w:rsidR="0062462A" w14:paraId="48484C17" w14:textId="77777777">
        <w:tc>
          <w:tcPr>
            <w:tcW w:w="3791" w:type="dxa"/>
          </w:tcPr>
          <w:p w14:paraId="4C7C9458" w14:textId="77777777" w:rsidR="0062462A" w:rsidRDefault="00000000">
            <w:pPr>
              <w:rPr>
                <w:rFonts w:ascii="Gill Sans MT" w:hAnsi="Gill Sans MT" w:cs="Gill Sans MT"/>
                <w:b/>
                <w:bCs/>
                <w:color w:val="000000" w:themeColor="text1"/>
              </w:rPr>
            </w:pPr>
            <w:r>
              <w:rPr>
                <w:rFonts w:ascii="Gill Sans MT" w:hAnsi="Gill Sans MT" w:cs="Gill Sans MT"/>
                <w:b/>
                <w:bCs/>
                <w:color w:val="000000" w:themeColor="text1"/>
              </w:rPr>
              <w:t>Alternate focal point</w:t>
            </w:r>
          </w:p>
        </w:tc>
        <w:tc>
          <w:tcPr>
            <w:tcW w:w="5785" w:type="dxa"/>
          </w:tcPr>
          <w:p w14:paraId="443C2DAC" w14:textId="5CABB836" w:rsidR="0062462A" w:rsidRDefault="00065270">
            <w:pPr>
              <w:rPr>
                <w:rFonts w:ascii="Gill Sans MT" w:hAnsi="Gill Sans MT" w:cs="Gill Sans MT"/>
                <w:color w:val="000000" w:themeColor="text1"/>
              </w:rPr>
            </w:pPr>
            <w:r>
              <w:rPr>
                <w:rFonts w:ascii="Gill Sans MT" w:hAnsi="Gill Sans MT" w:cs="Gill Sans MT"/>
                <w:color w:val="000000" w:themeColor="text1"/>
              </w:rPr>
              <w:t>Mr. Marial Deng</w:t>
            </w:r>
          </w:p>
          <w:p w14:paraId="376363A8" w14:textId="57ABC95E" w:rsidR="00065270" w:rsidRDefault="00065270">
            <w:pPr>
              <w:rPr>
                <w:rFonts w:ascii="Gill Sans MT" w:hAnsi="Gill Sans MT" w:cs="Gill Sans MT"/>
                <w:color w:val="000000" w:themeColor="text1"/>
              </w:rPr>
            </w:pPr>
            <w:hyperlink r:id="rId8" w:history="1">
              <w:r w:rsidRPr="005F595D">
                <w:rPr>
                  <w:rStyle w:val="Hyperlink"/>
                  <w:rFonts w:ascii="Gill Sans MT" w:hAnsi="Gill Sans MT" w:cs="Gill Sans MT"/>
                </w:rPr>
                <w:t>info@nilecapd.org</w:t>
              </w:r>
            </w:hyperlink>
            <w:r>
              <w:rPr>
                <w:rFonts w:ascii="Gill Sans MT" w:hAnsi="Gill Sans MT" w:cs="Gill Sans MT"/>
                <w:color w:val="000000" w:themeColor="text1"/>
              </w:rPr>
              <w:t xml:space="preserve"> </w:t>
            </w:r>
          </w:p>
          <w:p w14:paraId="53B0FF8B" w14:textId="77777777" w:rsidR="0062462A" w:rsidRDefault="0062462A">
            <w:pPr>
              <w:rPr>
                <w:rFonts w:ascii="Gill Sans MT" w:hAnsi="Gill Sans MT" w:cs="Gill Sans MT"/>
                <w:color w:val="000000" w:themeColor="text1"/>
              </w:rPr>
            </w:pPr>
          </w:p>
        </w:tc>
      </w:tr>
      <w:tr w:rsidR="0062462A" w14:paraId="6A261415" w14:textId="77777777">
        <w:tc>
          <w:tcPr>
            <w:tcW w:w="3791" w:type="dxa"/>
          </w:tcPr>
          <w:p w14:paraId="189BEAF8" w14:textId="77777777" w:rsidR="0062462A" w:rsidRDefault="00000000">
            <w:pPr>
              <w:rPr>
                <w:rFonts w:ascii="Gill Sans MT" w:hAnsi="Gill Sans MT" w:cs="Gill Sans MT"/>
                <w:b/>
                <w:bCs/>
                <w:color w:val="000000" w:themeColor="text1"/>
              </w:rPr>
            </w:pPr>
            <w:r>
              <w:rPr>
                <w:rFonts w:ascii="Gill Sans MT" w:hAnsi="Gill Sans MT" w:cs="Gill Sans MT"/>
                <w:b/>
                <w:bCs/>
                <w:color w:val="000000" w:themeColor="text1"/>
              </w:rPr>
              <w:t>Objective of the response</w:t>
            </w:r>
          </w:p>
        </w:tc>
        <w:tc>
          <w:tcPr>
            <w:tcW w:w="5785" w:type="dxa"/>
          </w:tcPr>
          <w:p w14:paraId="3091F30D" w14:textId="7D2EB4F3" w:rsidR="0062462A" w:rsidRDefault="00000000">
            <w:pPr>
              <w:rPr>
                <w:rFonts w:ascii="Gill Sans MT" w:hAnsi="Gill Sans MT" w:cs="Gill Sans MT"/>
                <w:color w:val="000000" w:themeColor="text1"/>
              </w:rPr>
            </w:pPr>
            <w:r>
              <w:rPr>
                <w:rFonts w:ascii="Gill Sans MT" w:hAnsi="Gill Sans MT" w:cs="Gill Sans MT"/>
                <w:b/>
                <w:bCs/>
                <w:color w:val="000000" w:themeColor="text1"/>
              </w:rPr>
              <w:t xml:space="preserve"> To </w:t>
            </w:r>
            <w:r>
              <w:rPr>
                <w:rFonts w:ascii="Gill Sans MT" w:eastAsia="Times New Roman" w:hAnsi="Gill Sans MT" w:cs="Gill Sans MT"/>
                <w:color w:val="000000" w:themeColor="text1"/>
              </w:rPr>
              <w:t xml:space="preserve">Improve access to safe and appropriate </w:t>
            </w:r>
            <w:r w:rsidR="00030753">
              <w:rPr>
                <w:rFonts w:ascii="Gill Sans MT" w:eastAsia="Times New Roman" w:hAnsi="Gill Sans MT" w:cs="Gill Sans MT"/>
                <w:color w:val="000000" w:themeColor="text1"/>
              </w:rPr>
              <w:t>emergency non</w:t>
            </w:r>
            <w:r>
              <w:rPr>
                <w:rFonts w:ascii="Gill Sans MT" w:eastAsia="Times New Roman" w:hAnsi="Gill Sans MT" w:cs="Gill Sans MT"/>
                <w:color w:val="000000" w:themeColor="text1"/>
              </w:rPr>
              <w:t xml:space="preserve">-food items to women refugees residing in Gorom Refugee Camp in Juba, </w:t>
            </w:r>
            <w:r w:rsidR="00650B67">
              <w:rPr>
                <w:rFonts w:ascii="Gill Sans MT" w:eastAsia="Times New Roman" w:hAnsi="Gill Sans MT" w:cs="Gill Sans MT"/>
                <w:color w:val="000000" w:themeColor="text1"/>
              </w:rPr>
              <w:t>Central Equatoria</w:t>
            </w:r>
            <w:r>
              <w:rPr>
                <w:rFonts w:ascii="Gill Sans MT" w:eastAsia="Times New Roman" w:hAnsi="Gill Sans MT" w:cs="Gill Sans MT"/>
                <w:color w:val="000000" w:themeColor="text1"/>
              </w:rPr>
              <w:t xml:space="preserve"> State. </w:t>
            </w:r>
          </w:p>
        </w:tc>
      </w:tr>
      <w:tr w:rsidR="0062462A" w14:paraId="40D13264" w14:textId="77777777">
        <w:tc>
          <w:tcPr>
            <w:tcW w:w="3791" w:type="dxa"/>
          </w:tcPr>
          <w:p w14:paraId="51DD6C14" w14:textId="77777777" w:rsidR="0062462A" w:rsidRDefault="00000000">
            <w:pPr>
              <w:rPr>
                <w:rFonts w:ascii="Gill Sans MT" w:hAnsi="Gill Sans MT" w:cs="Gill Sans MT"/>
                <w:b/>
                <w:bCs/>
                <w:color w:val="000000" w:themeColor="text1"/>
              </w:rPr>
            </w:pPr>
            <w:r>
              <w:rPr>
                <w:rFonts w:ascii="Gill Sans MT" w:hAnsi="Gill Sans MT" w:cs="Gill Sans MT"/>
                <w:b/>
                <w:bCs/>
                <w:color w:val="000000" w:themeColor="text1"/>
              </w:rPr>
              <w:t>Items distributed</w:t>
            </w:r>
          </w:p>
        </w:tc>
        <w:tc>
          <w:tcPr>
            <w:tcW w:w="5785" w:type="dxa"/>
          </w:tcPr>
          <w:p w14:paraId="36881E2C" w14:textId="77777777" w:rsidR="0062462A" w:rsidRDefault="00000000">
            <w:pPr>
              <w:spacing w:after="0"/>
              <w:rPr>
                <w:rFonts w:ascii="Gill Sans MT" w:eastAsia="Helvetica" w:hAnsi="Gill Sans MT" w:cs="Gill Sans MT"/>
                <w:color w:val="000000"/>
              </w:rPr>
            </w:pPr>
            <w:r>
              <w:rPr>
                <w:rFonts w:ascii="Gill Sans MT" w:eastAsia="Helvetica" w:hAnsi="Gill Sans MT" w:cs="Gill Sans MT"/>
                <w:color w:val="000000"/>
                <w:lang w:eastAsia="zh-CN" w:bidi="ar"/>
              </w:rPr>
              <w:t>1. Mosquito nets (100 pieces)</w:t>
            </w:r>
          </w:p>
          <w:p w14:paraId="1EFA4ED6" w14:textId="77777777" w:rsidR="0062462A" w:rsidRDefault="00000000">
            <w:pPr>
              <w:spacing w:after="0"/>
              <w:rPr>
                <w:rFonts w:ascii="Gill Sans MT" w:eastAsia="Helvetica" w:hAnsi="Gill Sans MT" w:cs="Gill Sans MT"/>
                <w:color w:val="000000"/>
              </w:rPr>
            </w:pPr>
            <w:r>
              <w:rPr>
                <w:rFonts w:ascii="Gill Sans MT" w:eastAsia="Helvetica" w:hAnsi="Gill Sans MT" w:cs="Gill Sans MT"/>
                <w:color w:val="000000"/>
                <w:lang w:eastAsia="zh-CN" w:bidi="ar"/>
              </w:rPr>
              <w:t>2. Buckets (100 pieces)</w:t>
            </w:r>
          </w:p>
          <w:p w14:paraId="03AF1AD9" w14:textId="77777777" w:rsidR="0062462A" w:rsidRDefault="00000000">
            <w:pPr>
              <w:spacing w:after="0"/>
              <w:rPr>
                <w:rFonts w:ascii="Gill Sans MT" w:eastAsia="Helvetica" w:hAnsi="Gill Sans MT" w:cs="Gill Sans MT"/>
                <w:color w:val="000000"/>
              </w:rPr>
            </w:pPr>
            <w:r>
              <w:rPr>
                <w:rFonts w:ascii="Gill Sans MT" w:eastAsia="Helvetica" w:hAnsi="Gill Sans MT" w:cs="Gill Sans MT"/>
                <w:color w:val="000000"/>
                <w:lang w:eastAsia="zh-CN" w:bidi="ar"/>
              </w:rPr>
              <w:t>3. Soaps (100 Boxes)</w:t>
            </w:r>
          </w:p>
          <w:p w14:paraId="6FA5A5A9" w14:textId="77777777" w:rsidR="0062462A" w:rsidRDefault="00000000">
            <w:pPr>
              <w:spacing w:after="0"/>
              <w:rPr>
                <w:rFonts w:ascii="Gill Sans MT" w:hAnsi="Gill Sans MT" w:cs="Gill Sans MT"/>
                <w:b/>
                <w:bCs/>
                <w:color w:val="000000" w:themeColor="text1"/>
              </w:rPr>
            </w:pPr>
            <w:r>
              <w:rPr>
                <w:rFonts w:ascii="Gill Sans MT" w:eastAsia="Helvetica" w:hAnsi="Gill Sans MT" w:cs="Gill Sans MT"/>
                <w:color w:val="000000"/>
                <w:lang w:eastAsia="zh-CN" w:bidi="ar"/>
              </w:rPr>
              <w:t>4. Sanitary Pads Kits (100)</w:t>
            </w:r>
          </w:p>
        </w:tc>
      </w:tr>
    </w:tbl>
    <w:p w14:paraId="3486F2AE" w14:textId="77777777" w:rsidR="0062462A" w:rsidRDefault="0062462A">
      <w:pPr>
        <w:rPr>
          <w:rFonts w:ascii="Gill Sans MT" w:hAnsi="Gill Sans MT" w:cs="Gill Sans MT"/>
          <w:b/>
          <w:bCs/>
          <w:color w:val="000000" w:themeColor="text1"/>
        </w:rPr>
      </w:pPr>
    </w:p>
    <w:p w14:paraId="3818DA93" w14:textId="77777777" w:rsidR="0062462A" w:rsidRDefault="00000000">
      <w:pPr>
        <w:rPr>
          <w:rFonts w:ascii="Gill Sans MT" w:hAnsi="Gill Sans MT" w:cs="Gill Sans MT"/>
          <w:b/>
          <w:bCs/>
          <w:color w:val="000000" w:themeColor="text1"/>
        </w:rPr>
      </w:pPr>
      <w:r>
        <w:rPr>
          <w:rFonts w:ascii="Gill Sans MT" w:hAnsi="Gill Sans MT" w:cs="Gill Sans MT"/>
          <w:b/>
          <w:bCs/>
          <w:color w:val="000000" w:themeColor="text1"/>
        </w:rPr>
        <w:t xml:space="preserve">1.0: Project Summary </w:t>
      </w:r>
    </w:p>
    <w:p w14:paraId="2C85F951" w14:textId="16C960EF" w:rsidR="0062462A" w:rsidRDefault="00000000">
      <w:pPr>
        <w:pStyle w:val="NormalWeb"/>
        <w:spacing w:beforeAutospacing="0" w:afterAutospacing="0"/>
        <w:rPr>
          <w:rFonts w:ascii="Gill Sans MT" w:hAnsi="Gill Sans MT" w:cs="Gill Sans MT"/>
          <w:color w:val="000000"/>
          <w:sz w:val="22"/>
          <w:szCs w:val="22"/>
        </w:rPr>
      </w:pPr>
      <w:r>
        <w:rPr>
          <w:rFonts w:ascii="Gill Sans MT" w:hAnsi="Gill Sans MT" w:cs="Gill Sans MT"/>
          <w:sz w:val="22"/>
          <w:szCs w:val="22"/>
        </w:rPr>
        <w:t xml:space="preserve">In this intervention, NILECAPD sought to improve the lives of vulnerable refugees through access to safe, lifesaving and appropriate </w:t>
      </w:r>
      <w:r w:rsidR="002E5907">
        <w:rPr>
          <w:rFonts w:ascii="Gill Sans MT" w:hAnsi="Gill Sans MT" w:cs="Gill Sans MT"/>
          <w:sz w:val="22"/>
          <w:szCs w:val="22"/>
        </w:rPr>
        <w:t>Non-Food</w:t>
      </w:r>
      <w:r>
        <w:rPr>
          <w:rFonts w:ascii="Gill Sans MT" w:hAnsi="Gill Sans MT" w:cs="Gill Sans MT"/>
          <w:sz w:val="22"/>
          <w:szCs w:val="22"/>
        </w:rPr>
        <w:t xml:space="preserve"> Items (NFIs</w:t>
      </w:r>
      <w:r w:rsidR="002E5907">
        <w:rPr>
          <w:rFonts w:ascii="Gill Sans MT" w:hAnsi="Gill Sans MT" w:cs="Gill Sans MT"/>
          <w:sz w:val="22"/>
          <w:szCs w:val="22"/>
        </w:rPr>
        <w:t>).</w:t>
      </w:r>
      <w:r>
        <w:rPr>
          <w:rFonts w:ascii="Gill Sans MT" w:hAnsi="Gill Sans MT" w:cs="Gill Sans MT"/>
          <w:sz w:val="22"/>
          <w:szCs w:val="22"/>
        </w:rPr>
        <w:t xml:space="preserve"> The participants are</w:t>
      </w:r>
      <w:r w:rsidR="002E5907">
        <w:rPr>
          <w:rFonts w:ascii="Gill Sans MT" w:hAnsi="Gill Sans MT" w:cs="Gill Sans MT"/>
          <w:sz w:val="22"/>
          <w:szCs w:val="22"/>
        </w:rPr>
        <w:t xml:space="preserve"> Sudanese refugees and</w:t>
      </w:r>
      <w:r>
        <w:rPr>
          <w:rFonts w:ascii="Gill Sans MT" w:hAnsi="Gill Sans MT" w:cs="Gill Sans MT"/>
          <w:sz w:val="22"/>
          <w:szCs w:val="22"/>
        </w:rPr>
        <w:t xml:space="preserve"> South Sudanese</w:t>
      </w:r>
      <w:r w:rsidR="002E5907">
        <w:rPr>
          <w:rFonts w:ascii="Gill Sans MT" w:hAnsi="Gill Sans MT" w:cs="Gill Sans MT"/>
          <w:sz w:val="22"/>
          <w:szCs w:val="22"/>
        </w:rPr>
        <w:t xml:space="preserve"> returnees </w:t>
      </w:r>
      <w:r>
        <w:rPr>
          <w:rFonts w:ascii="Gill Sans MT" w:hAnsi="Gill Sans MT" w:cs="Gill Sans MT"/>
          <w:sz w:val="22"/>
          <w:szCs w:val="22"/>
        </w:rPr>
        <w:t>who are residing at Gorom Refugee Camp in Juba, Central Equatoria State, South Sudan</w:t>
      </w:r>
      <w:r>
        <w:rPr>
          <w:rFonts w:ascii="Gill Sans MT" w:hAnsi="Gill Sans MT" w:cs="Gill Sans MT"/>
          <w:color w:val="000000" w:themeColor="text1"/>
          <w:sz w:val="22"/>
          <w:szCs w:val="22"/>
        </w:rPr>
        <w:t xml:space="preserve">. </w:t>
      </w:r>
      <w:r>
        <w:rPr>
          <w:rFonts w:ascii="Gill Sans MT" w:hAnsi="Gill Sans MT" w:cs="Gill Sans MT"/>
          <w:color w:val="000000" w:themeColor="text1"/>
          <w:sz w:val="22"/>
          <w:szCs w:val="22"/>
          <w:lang w:eastAsia="en-GB"/>
        </w:rPr>
        <w:t xml:space="preserve">The assistance was in the form of blankets, water buckets, mosquito nets and menstrual management materials (sanitary pads). The items were distributed to one hundred young mothers among the refugees aged between 19 and 35 years. </w:t>
      </w:r>
      <w:r>
        <w:rPr>
          <w:rFonts w:ascii="Gill Sans MT" w:hAnsi="Gill Sans MT" w:cs="Gill Sans MT"/>
          <w:color w:val="000000"/>
          <w:sz w:val="22"/>
          <w:szCs w:val="22"/>
        </w:rPr>
        <w:t xml:space="preserve"> </w:t>
      </w:r>
    </w:p>
    <w:p w14:paraId="2ABA6FF2" w14:textId="77777777" w:rsidR="0062462A" w:rsidRDefault="0062462A">
      <w:pPr>
        <w:pStyle w:val="NormalWeb"/>
        <w:spacing w:beforeAutospacing="0" w:afterAutospacing="0"/>
        <w:rPr>
          <w:rFonts w:ascii="Gill Sans MT" w:hAnsi="Gill Sans MT" w:cs="Gill Sans MT"/>
          <w:color w:val="000000"/>
          <w:sz w:val="22"/>
          <w:szCs w:val="22"/>
        </w:rPr>
      </w:pPr>
    </w:p>
    <w:p w14:paraId="4D655062" w14:textId="09651119" w:rsidR="0062462A" w:rsidRDefault="00000000">
      <w:pPr>
        <w:rPr>
          <w:rFonts w:ascii="Gill Sans MT" w:hAnsi="Gill Sans MT" w:cs="Gill Sans MT"/>
          <w:b/>
          <w:bCs/>
          <w:color w:val="000000" w:themeColor="text1"/>
        </w:rPr>
      </w:pPr>
      <w:r>
        <w:rPr>
          <w:rFonts w:ascii="Gill Sans MT" w:hAnsi="Gill Sans MT" w:cs="Gill Sans MT"/>
        </w:rPr>
        <w:t xml:space="preserve">The intervention prioritized safety, dignity, inclusion, participation and encouraged a safe and easy to access complaints and feedback (CFM). The CFM was established upon contact with the affected community and during </w:t>
      </w:r>
      <w:r w:rsidR="002E5907">
        <w:rPr>
          <w:rFonts w:ascii="Gill Sans MT" w:hAnsi="Gill Sans MT" w:cs="Gill Sans MT"/>
        </w:rPr>
        <w:t>the distribution</w:t>
      </w:r>
      <w:r>
        <w:rPr>
          <w:rFonts w:ascii="Gill Sans MT" w:hAnsi="Gill Sans MT" w:cs="Gill Sans MT"/>
        </w:rPr>
        <w:t xml:space="preserve"> process to receive, acknowledge and address any complaints which </w:t>
      </w:r>
      <w:r w:rsidR="002E5907">
        <w:rPr>
          <w:rFonts w:ascii="Gill Sans MT" w:hAnsi="Gill Sans MT" w:cs="Gill Sans MT"/>
        </w:rPr>
        <w:t>arise</w:t>
      </w:r>
      <w:r>
        <w:rPr>
          <w:rFonts w:ascii="Gill Sans MT" w:hAnsi="Gill Sans MT" w:cs="Gill Sans MT"/>
        </w:rPr>
        <w:t xml:space="preserve"> during distribution. Protection was mainstreamed through sharing Gender Based Violence information and carrying out the activities in safe and accessible sites for participants. NILECAPD liaised with ACROSS, who are </w:t>
      </w:r>
      <w:r w:rsidR="002E5907">
        <w:rPr>
          <w:rFonts w:ascii="Gill Sans MT" w:hAnsi="Gill Sans MT" w:cs="Gill Sans MT"/>
        </w:rPr>
        <w:t>in charge</w:t>
      </w:r>
      <w:r>
        <w:rPr>
          <w:rFonts w:ascii="Gill Sans MT" w:hAnsi="Gill Sans MT" w:cs="Gill Sans MT"/>
        </w:rPr>
        <w:t xml:space="preserve"> of Gorom refugee camp, UNHCR and Commission Refugee Affairs to coordinate the response, share experiences and avoid duplication of assistance, </w:t>
      </w:r>
    </w:p>
    <w:p w14:paraId="42C9A5A7" w14:textId="77777777" w:rsidR="0062462A" w:rsidRDefault="0062462A">
      <w:pPr>
        <w:rPr>
          <w:rFonts w:ascii="Gill Sans MT" w:hAnsi="Gill Sans MT" w:cs="Gill Sans MT"/>
          <w:b/>
          <w:bCs/>
          <w:color w:val="000000" w:themeColor="text1"/>
          <w:lang w:eastAsia="en-GB"/>
        </w:rPr>
      </w:pPr>
    </w:p>
    <w:p w14:paraId="4CE4E0A4" w14:textId="77777777" w:rsidR="0062462A" w:rsidRDefault="0062462A">
      <w:pPr>
        <w:rPr>
          <w:rFonts w:ascii="Gill Sans MT" w:hAnsi="Gill Sans MT" w:cs="Gill Sans MT"/>
          <w:b/>
          <w:bCs/>
          <w:color w:val="000000" w:themeColor="text1"/>
          <w:lang w:eastAsia="en-GB"/>
        </w:rPr>
      </w:pPr>
    </w:p>
    <w:p w14:paraId="038ADFC7" w14:textId="77777777" w:rsidR="0062462A" w:rsidRDefault="00000000">
      <w:pPr>
        <w:rPr>
          <w:rFonts w:ascii="Gill Sans MT" w:hAnsi="Gill Sans MT" w:cs="Gill Sans MT"/>
          <w:b/>
          <w:bCs/>
          <w:color w:val="000000" w:themeColor="text1"/>
          <w:lang w:eastAsia="en-GB"/>
        </w:rPr>
      </w:pPr>
      <w:r>
        <w:rPr>
          <w:rFonts w:ascii="Gill Sans MT" w:hAnsi="Gill Sans MT" w:cs="Gill Sans MT"/>
          <w:b/>
          <w:bCs/>
          <w:color w:val="000000" w:themeColor="text1"/>
          <w:lang w:eastAsia="en-GB"/>
        </w:rPr>
        <w:lastRenderedPageBreak/>
        <w:t xml:space="preserve">2.0: Background information </w:t>
      </w:r>
    </w:p>
    <w:p w14:paraId="7AB02C18" w14:textId="3C947C63" w:rsidR="0062462A" w:rsidRDefault="00000000">
      <w:pPr>
        <w:rPr>
          <w:rFonts w:ascii="Gill Sans MT" w:hAnsi="Gill Sans MT" w:cs="Gill Sans MT"/>
          <w:color w:val="000000" w:themeColor="text1"/>
          <w:lang w:eastAsia="en-GB"/>
        </w:rPr>
      </w:pPr>
      <w:r>
        <w:rPr>
          <w:rFonts w:ascii="Gill Sans MT" w:hAnsi="Gill Sans MT" w:cs="Gill Sans MT"/>
          <w:color w:val="000000" w:themeColor="text1"/>
          <w:lang w:eastAsia="en-GB"/>
        </w:rPr>
        <w:t xml:space="preserve">The ongoing war in Sudan has continued to displace more people into South Sudan, adding to the 2 million protracted internally displaced people and the newly flood-displaced population. As of October 11, nearly 810,000 </w:t>
      </w:r>
      <w:r w:rsidR="00650B67">
        <w:rPr>
          <w:rFonts w:ascii="Gill Sans MT" w:hAnsi="Gill Sans MT" w:cs="Gill Sans MT"/>
          <w:color w:val="000000" w:themeColor="text1"/>
          <w:lang w:eastAsia="en-GB"/>
        </w:rPr>
        <w:t>refugees</w:t>
      </w:r>
      <w:r>
        <w:rPr>
          <w:rFonts w:ascii="Gill Sans MT" w:hAnsi="Gill Sans MT" w:cs="Gill Sans MT"/>
          <w:color w:val="000000" w:themeColor="text1"/>
          <w:lang w:eastAsia="en-GB"/>
        </w:rPr>
        <w:t xml:space="preserve"> had crossed into South Sudan from Sudan.   Of this, 76 percent are South Sudanese returnees, who were living as refugees in Sudan. </w:t>
      </w:r>
      <w:r w:rsidR="00592272">
        <w:rPr>
          <w:rFonts w:ascii="Gill Sans MT" w:hAnsi="Gill Sans MT"/>
          <w:color w:val="000000"/>
          <w:sz w:val="20"/>
          <w:szCs w:val="20"/>
          <w:shd w:val="clear" w:color="auto" w:fill="FFFFFF"/>
        </w:rPr>
        <w:t>The Gorom refugee camp in Juba is home to over 14,000 individuals, including South Sudanese returnees, Ethiopian refugees, Sudanese refugees, and internally displaced South Sudanese.</w:t>
      </w:r>
      <w:r w:rsidR="00592272">
        <w:rPr>
          <w:rFonts w:ascii="Gill Sans MT" w:hAnsi="Gill Sans MT" w:cs="Gill Sans MT"/>
          <w:color w:val="000000" w:themeColor="text1"/>
          <w:lang w:eastAsia="en-GB"/>
        </w:rPr>
        <w:t xml:space="preserve"> The</w:t>
      </w:r>
      <w:r>
        <w:rPr>
          <w:rFonts w:ascii="Gill Sans MT" w:hAnsi="Gill Sans MT" w:cs="Gill Sans MT"/>
          <w:color w:val="000000" w:themeColor="text1"/>
          <w:lang w:eastAsia="en-GB"/>
        </w:rPr>
        <w:t xml:space="preserve"> influx of returnees is occurring at a time South Sudan is experiencing severe economic </w:t>
      </w:r>
      <w:r w:rsidR="00650B67">
        <w:rPr>
          <w:rFonts w:ascii="Gill Sans MT" w:hAnsi="Gill Sans MT" w:cs="Gill Sans MT"/>
          <w:color w:val="000000" w:themeColor="text1"/>
          <w:lang w:eastAsia="en-GB"/>
        </w:rPr>
        <w:t>situation, with</w:t>
      </w:r>
      <w:r>
        <w:rPr>
          <w:rFonts w:ascii="Gill Sans MT" w:hAnsi="Gill Sans MT" w:cs="Gill Sans MT"/>
          <w:color w:val="000000" w:themeColor="text1"/>
          <w:lang w:eastAsia="en-GB"/>
        </w:rPr>
        <w:t xml:space="preserve"> rising cost of living and significant decline in household purchasing capacity. The South Sudanese Pound (SSP) depreciation has reached a record-high in October, trading at 4,500 SSP per USD, losing 383 percent of its value compared to same time in 2023 on the parallel markets and nearly 200 percent on the official market. As such the cost of living as expressed by cost of minimum expenditure basket (CMEB) in October 2024 were 173 percent higher than in February 2024. The CMEB comprises of basic items such as salt, cooking oil, flour and sorghum that can last a family of six members for one month. The situation is expected to worsen in the last quarter of 2024 due to prevailing floods that have affected supply routes, functionality of markets and disrupted economic activities such as trading and farming. As a result, the Integrated Phase Classification report for South Sudan has projected that most of the country will remain in crisis, emergency or catastrophe food insecure. In light of this, the humanitarian situation of returnees, refugees and internally displaced </w:t>
      </w:r>
      <w:r w:rsidR="00030753">
        <w:rPr>
          <w:rFonts w:ascii="Gill Sans MT" w:hAnsi="Gill Sans MT" w:cs="Gill Sans MT"/>
          <w:color w:val="000000" w:themeColor="text1"/>
          <w:lang w:eastAsia="en-GB"/>
        </w:rPr>
        <w:t>people</w:t>
      </w:r>
      <w:r>
        <w:rPr>
          <w:rFonts w:ascii="Gill Sans MT" w:hAnsi="Gill Sans MT" w:cs="Gill Sans MT"/>
          <w:color w:val="000000" w:themeColor="text1"/>
          <w:lang w:eastAsia="en-GB"/>
        </w:rPr>
        <w:t xml:space="preserve"> is not expected to improve in the near future. </w:t>
      </w:r>
    </w:p>
    <w:p w14:paraId="5398985F" w14:textId="31A8BCA7" w:rsidR="0062462A" w:rsidRDefault="00000000">
      <w:pPr>
        <w:spacing w:after="60" w:line="240" w:lineRule="auto"/>
        <w:jc w:val="both"/>
        <w:rPr>
          <w:rFonts w:ascii="Gill Sans MT" w:hAnsi="Gill Sans MT" w:cs="Gill Sans MT"/>
          <w:color w:val="000000" w:themeColor="text1"/>
          <w:lang w:eastAsia="en-GB"/>
        </w:rPr>
      </w:pPr>
      <w:r>
        <w:rPr>
          <w:rFonts w:ascii="Gill Sans MT" w:hAnsi="Gill Sans MT" w:cs="Gill Sans MT"/>
          <w:color w:val="000000" w:themeColor="text1"/>
          <w:lang w:eastAsia="en-GB"/>
        </w:rPr>
        <w:t xml:space="preserve">According to needs assessments conducted by NILECAPD in Gorom Refugee Camp in Juba, lactating and pregnant women, children and elderly persons among the refugees are sleeping in tents with no blankets and mosquito nets. As a result, incidences of malaria infections in the camp have been on the rise due to mosquito infestation. The refugees also lack basic items such as buckets they can use to carry water or wash. Since many of the refugees did not have time to salvage clothes, they are seen wearing </w:t>
      </w:r>
      <w:r w:rsidR="00030753">
        <w:rPr>
          <w:rFonts w:ascii="Gill Sans MT" w:hAnsi="Gill Sans MT" w:cs="Gill Sans MT"/>
          <w:color w:val="000000" w:themeColor="text1"/>
          <w:lang w:eastAsia="en-GB"/>
        </w:rPr>
        <w:t>the same</w:t>
      </w:r>
      <w:r>
        <w:rPr>
          <w:rFonts w:ascii="Gill Sans MT" w:hAnsi="Gill Sans MT" w:cs="Gill Sans MT"/>
          <w:color w:val="000000" w:themeColor="text1"/>
          <w:lang w:eastAsia="en-GB"/>
        </w:rPr>
        <w:t xml:space="preserve"> clothes. Some of the elderly women were seen wearing old and torn clothes. Also, they do not have boxes or bags in which they can put the few items they got. Women and girls in the camp</w:t>
      </w:r>
      <w:r>
        <w:rPr>
          <w:rFonts w:ascii="Gill Sans MT" w:hAnsi="Gill Sans MT" w:cs="Gill Sans MT"/>
          <w:color w:val="000000" w:themeColor="text1"/>
        </w:rPr>
        <w:t xml:space="preserve"> face numerous challenges in managing menses, which include limited access to commercial sanitary pads, prohibitively expensive sanitary pads, lack of sufficient soap and regular water for bathing and washing of menstrual materials, lack of privacy for changing menstrual materials, limited or lack of Menstrual management education and counselling and unsupportive attitudes of men in the community. </w:t>
      </w:r>
      <w:r>
        <w:rPr>
          <w:rFonts w:ascii="Gill Sans MT" w:hAnsi="Gill Sans MT" w:cs="Gill Sans MT"/>
          <w:color w:val="000000" w:themeColor="text1"/>
          <w:lang w:eastAsia="en-GB"/>
        </w:rPr>
        <w:t xml:space="preserve"> </w:t>
      </w:r>
    </w:p>
    <w:p w14:paraId="201A4476" w14:textId="77777777" w:rsidR="0062462A" w:rsidRDefault="0062462A">
      <w:pPr>
        <w:pStyle w:val="ListParagraph"/>
        <w:ind w:left="0"/>
        <w:rPr>
          <w:rFonts w:ascii="Gill Sans MT" w:hAnsi="Gill Sans MT" w:cs="Gill Sans MT"/>
          <w:b/>
          <w:bCs/>
          <w:color w:val="000000" w:themeColor="text1"/>
        </w:rPr>
      </w:pPr>
    </w:p>
    <w:p w14:paraId="2AC13571" w14:textId="77777777" w:rsidR="0062462A" w:rsidRDefault="00000000">
      <w:pPr>
        <w:pStyle w:val="ListParagraph"/>
        <w:ind w:left="0"/>
        <w:rPr>
          <w:rFonts w:ascii="Gill Sans MT" w:hAnsi="Gill Sans MT" w:cs="Gill Sans MT"/>
          <w:b/>
          <w:bCs/>
          <w:color w:val="000000" w:themeColor="text1"/>
        </w:rPr>
      </w:pPr>
      <w:r>
        <w:rPr>
          <w:rFonts w:ascii="Gill Sans MT" w:hAnsi="Gill Sans MT" w:cs="Gill Sans MT"/>
          <w:b/>
          <w:bCs/>
          <w:color w:val="000000" w:themeColor="text1"/>
        </w:rPr>
        <w:t>3.0: Management of the assistance process</w:t>
      </w:r>
    </w:p>
    <w:p w14:paraId="512BE9F8" w14:textId="6586CF8F" w:rsidR="0062462A" w:rsidRDefault="00000000">
      <w:pPr>
        <w:jc w:val="both"/>
        <w:rPr>
          <w:rFonts w:ascii="Gill Sans MT" w:hAnsi="Gill Sans MT" w:cs="Gill Sans MT"/>
        </w:rPr>
      </w:pPr>
      <w:r>
        <w:rPr>
          <w:rFonts w:ascii="Gill Sans MT" w:hAnsi="Gill Sans MT" w:cs="Gill Sans MT"/>
          <w:b/>
          <w:color w:val="000000" w:themeColor="text1"/>
          <w:lang w:eastAsia="en-GB"/>
        </w:rPr>
        <w:t>3.0.1: Inception and end of activity meetings.</w:t>
      </w:r>
      <w:r>
        <w:rPr>
          <w:rFonts w:ascii="Gill Sans MT" w:hAnsi="Gill Sans MT" w:cs="Gill Sans MT"/>
          <w:bCs/>
          <w:color w:val="000000" w:themeColor="text1"/>
          <w:lang w:eastAsia="en-GB"/>
        </w:rPr>
        <w:t xml:space="preserve"> Entry and exit meetings were conducted with the ACROSS, UNHCR, Commission for Refugees Affairs, Refugees representatives and Gorom Health Facility officials. </w:t>
      </w:r>
      <w:r w:rsidR="00510CBA">
        <w:rPr>
          <w:rFonts w:ascii="Gill Sans MT" w:hAnsi="Gill Sans MT" w:cs="Gill Sans MT"/>
          <w:bCs/>
          <w:color w:val="000000" w:themeColor="text1"/>
          <w:lang w:eastAsia="en-GB"/>
        </w:rPr>
        <w:t>The aim</w:t>
      </w:r>
      <w:r>
        <w:rPr>
          <w:rFonts w:ascii="Gill Sans MT" w:hAnsi="Gill Sans MT" w:cs="Gill Sans MT"/>
          <w:bCs/>
          <w:color w:val="000000" w:themeColor="text1"/>
          <w:lang w:eastAsia="en-GB"/>
        </w:rPr>
        <w:t xml:space="preserve"> of the entry meeting was to provide information about the intervention including the objective, type of assistance to be provided, source of the assistance, the role of the affected person in the implementation and to encourage community members, leaders and local authorities to support the activities. Thereafter, participants were able to develop a </w:t>
      </w:r>
      <w:r w:rsidR="00510CBA">
        <w:rPr>
          <w:rFonts w:ascii="Gill Sans MT" w:hAnsi="Gill Sans MT" w:cs="Gill Sans MT"/>
          <w:bCs/>
          <w:color w:val="000000" w:themeColor="text1"/>
          <w:lang w:eastAsia="en-GB"/>
        </w:rPr>
        <w:t>selection criterion of beneficiaries</w:t>
      </w:r>
      <w:r>
        <w:rPr>
          <w:rFonts w:ascii="Gill Sans MT" w:hAnsi="Gill Sans MT" w:cs="Gill Sans MT"/>
          <w:bCs/>
          <w:color w:val="000000" w:themeColor="text1"/>
          <w:lang w:eastAsia="en-GB"/>
        </w:rPr>
        <w:t xml:space="preserve"> based on </w:t>
      </w:r>
      <w:r w:rsidR="00510CBA">
        <w:rPr>
          <w:rFonts w:ascii="Gill Sans MT" w:hAnsi="Gill Sans MT" w:cs="Gill Sans MT"/>
          <w:bCs/>
          <w:color w:val="000000" w:themeColor="text1"/>
          <w:lang w:eastAsia="en-GB"/>
        </w:rPr>
        <w:t>the level</w:t>
      </w:r>
      <w:r>
        <w:rPr>
          <w:rFonts w:ascii="Gill Sans MT" w:hAnsi="Gill Sans MT" w:cs="Gill Sans MT"/>
          <w:bCs/>
          <w:color w:val="000000" w:themeColor="text1"/>
          <w:lang w:eastAsia="en-GB"/>
        </w:rPr>
        <w:t xml:space="preserve"> of needs and amount of assistance available. During the meeting, participants were informed by cam</w:t>
      </w:r>
      <w:r w:rsidR="007F7A4E">
        <w:rPr>
          <w:rFonts w:ascii="Gill Sans MT" w:hAnsi="Gill Sans MT" w:cs="Gill Sans MT"/>
          <w:bCs/>
          <w:color w:val="000000" w:themeColor="text1"/>
          <w:lang w:eastAsia="en-GB"/>
        </w:rPr>
        <w:t>p</w:t>
      </w:r>
      <w:r>
        <w:rPr>
          <w:rFonts w:ascii="Gill Sans MT" w:hAnsi="Gill Sans MT" w:cs="Gill Sans MT"/>
          <w:bCs/>
          <w:color w:val="000000" w:themeColor="text1"/>
          <w:lang w:eastAsia="en-GB"/>
        </w:rPr>
        <w:t xml:space="preserve"> managers and health officials present that pregnant and lactating women (PLWs) in the camp were facing extreme risks due to malaria infection,</w:t>
      </w:r>
      <w:r>
        <w:rPr>
          <w:rFonts w:ascii="Gill Sans MT" w:hAnsi="Gill Sans MT" w:cs="Gill Sans MT"/>
        </w:rPr>
        <w:t xml:space="preserve"> leading to </w:t>
      </w:r>
      <w:r w:rsidR="00510CBA">
        <w:rPr>
          <w:rFonts w:ascii="Gill Sans MT" w:hAnsi="Gill Sans MT" w:cs="Gill Sans MT"/>
        </w:rPr>
        <w:t>unfavorable</w:t>
      </w:r>
      <w:r>
        <w:rPr>
          <w:rFonts w:ascii="Gill Sans MT" w:hAnsi="Gill Sans MT" w:cs="Gill Sans MT"/>
        </w:rPr>
        <w:t xml:space="preserve"> impacts on the mother (maternal </w:t>
      </w:r>
      <w:r w:rsidR="00510CBA">
        <w:rPr>
          <w:rFonts w:ascii="Gill Sans MT" w:hAnsi="Gill Sans MT" w:cs="Gill Sans MT"/>
        </w:rPr>
        <w:t>anemia</w:t>
      </w:r>
      <w:r>
        <w:rPr>
          <w:rFonts w:ascii="Gill Sans MT" w:hAnsi="Gill Sans MT" w:cs="Gill Sans MT"/>
        </w:rPr>
        <w:t xml:space="preserve"> and death), </w:t>
      </w:r>
      <w:r w:rsidR="00030753">
        <w:rPr>
          <w:rFonts w:ascii="Gill Sans MT" w:hAnsi="Gill Sans MT" w:cs="Gill Sans MT"/>
        </w:rPr>
        <w:t>fetus</w:t>
      </w:r>
      <w:r>
        <w:rPr>
          <w:rFonts w:ascii="Gill Sans MT" w:hAnsi="Gill Sans MT" w:cs="Gill Sans MT"/>
        </w:rPr>
        <w:t xml:space="preserve"> (miscarriage, stillbirth and preterm birth).As such, a consensus was reached to distribute the </w:t>
      </w:r>
      <w:r w:rsidR="00510CBA">
        <w:rPr>
          <w:rFonts w:ascii="Gill Sans MT" w:hAnsi="Gill Sans MT" w:cs="Gill Sans MT"/>
        </w:rPr>
        <w:t>non-food</w:t>
      </w:r>
      <w:r>
        <w:rPr>
          <w:rFonts w:ascii="Gill Sans MT" w:hAnsi="Gill Sans MT" w:cs="Gill Sans MT"/>
        </w:rPr>
        <w:t xml:space="preserve"> items to one hundred (100) PLWs due to their level of vulnerability.</w:t>
      </w:r>
    </w:p>
    <w:p w14:paraId="1CBBB898" w14:textId="77777777" w:rsidR="0062462A" w:rsidRDefault="00000000">
      <w:pPr>
        <w:spacing w:line="254" w:lineRule="auto"/>
        <w:jc w:val="both"/>
        <w:rPr>
          <w:rFonts w:ascii="Gill Sans MT" w:eastAsia="Calibri" w:hAnsi="Gill Sans MT" w:cs="Gill Sans MT"/>
          <w:b/>
          <w:color w:val="000000" w:themeColor="text1"/>
          <w:lang w:eastAsia="en-GB"/>
        </w:rPr>
      </w:pPr>
      <w:r>
        <w:rPr>
          <w:rFonts w:ascii="Gill Sans MT" w:eastAsia="Calibri" w:hAnsi="Gill Sans MT" w:cs="Gill Sans MT"/>
          <w:b/>
          <w:color w:val="000000" w:themeColor="text1"/>
          <w:lang w:eastAsia="en-GB"/>
        </w:rPr>
        <w:t xml:space="preserve">3.0.2. Procuring and distribution of NFIs items </w:t>
      </w:r>
    </w:p>
    <w:p w14:paraId="68A56F77" w14:textId="3F24FC5C" w:rsidR="0062462A" w:rsidRDefault="00000000">
      <w:pPr>
        <w:jc w:val="both"/>
        <w:rPr>
          <w:rFonts w:ascii="Gill Sans MT" w:hAnsi="Gill Sans MT" w:cs="Gill Sans MT"/>
          <w:color w:val="000000" w:themeColor="text1"/>
        </w:rPr>
      </w:pPr>
      <w:r>
        <w:rPr>
          <w:rFonts w:ascii="Gill Sans MT" w:hAnsi="Gill Sans MT" w:cs="Gill Sans MT"/>
          <w:color w:val="000000" w:themeColor="text1"/>
        </w:rPr>
        <w:lastRenderedPageBreak/>
        <w:t xml:space="preserve">The NFIs were procured and prepositioned in Gorom Health Facility awaiting distribution. Items that were procured and prepositioned included mosquito nets, blankets, water buckets, soap and sanitary pads. Prior to conducting distribution, the NILECAPD staff conducted communication and sensitization on distribution days and location to ensure no one </w:t>
      </w:r>
      <w:r w:rsidR="00650B67">
        <w:rPr>
          <w:rFonts w:ascii="Gill Sans MT" w:hAnsi="Gill Sans MT" w:cs="Gill Sans MT"/>
          <w:color w:val="000000" w:themeColor="text1"/>
        </w:rPr>
        <w:t>misses</w:t>
      </w:r>
      <w:r>
        <w:rPr>
          <w:rFonts w:ascii="Gill Sans MT" w:hAnsi="Gill Sans MT" w:cs="Gill Sans MT"/>
          <w:color w:val="000000" w:themeColor="text1"/>
        </w:rPr>
        <w:t xml:space="preserve"> assistance. </w:t>
      </w:r>
    </w:p>
    <w:p w14:paraId="2DB216AD" w14:textId="32FE8B7A" w:rsidR="0062462A" w:rsidRDefault="00000000">
      <w:pPr>
        <w:jc w:val="both"/>
        <w:rPr>
          <w:rFonts w:ascii="Gill Sans MT" w:hAnsi="Gill Sans MT" w:cs="Gill Sans MT"/>
          <w:color w:val="000000" w:themeColor="text1"/>
        </w:rPr>
      </w:pPr>
      <w:r>
        <w:rPr>
          <w:rFonts w:ascii="Gill Sans MT" w:hAnsi="Gill Sans MT" w:cs="Gill Sans MT"/>
          <w:color w:val="000000" w:themeColor="text1"/>
        </w:rPr>
        <w:t xml:space="preserve">During distribution, NILECAPD staff will </w:t>
      </w:r>
      <w:r w:rsidR="00650B67">
        <w:rPr>
          <w:rFonts w:ascii="Gill Sans MT" w:hAnsi="Gill Sans MT" w:cs="Gill Sans MT"/>
          <w:color w:val="000000" w:themeColor="text1"/>
        </w:rPr>
        <w:t>prearrange</w:t>
      </w:r>
      <w:r>
        <w:rPr>
          <w:rFonts w:ascii="Gill Sans MT" w:hAnsi="Gill Sans MT" w:cs="Gill Sans MT"/>
          <w:color w:val="000000" w:themeColor="text1"/>
        </w:rPr>
        <w:t xml:space="preserve"> the items to ensure </w:t>
      </w:r>
      <w:r w:rsidR="00650B67">
        <w:rPr>
          <w:rFonts w:ascii="Gill Sans MT" w:hAnsi="Gill Sans MT" w:cs="Gill Sans MT"/>
          <w:color w:val="000000" w:themeColor="text1"/>
        </w:rPr>
        <w:t>the orderliness</w:t>
      </w:r>
      <w:r>
        <w:rPr>
          <w:rFonts w:ascii="Gill Sans MT" w:hAnsi="Gill Sans MT" w:cs="Gill Sans MT"/>
          <w:color w:val="000000" w:themeColor="text1"/>
        </w:rPr>
        <w:t xml:space="preserve"> of the process. A register developed during registration and selection of beneficiaries and tokens issued to selected beneficiaries were utilized to verify beneficiaries. Camp managers and officers working in the health facility assisted in mobilization of beneficiaries and maintained order during distribution. NILECAPD’s Safeguarding officer was present in all distribution points to manage protection related complaints. She ensured that distribution </w:t>
      </w:r>
      <w:r w:rsidR="00510CBA">
        <w:rPr>
          <w:rFonts w:ascii="Gill Sans MT" w:hAnsi="Gill Sans MT" w:cs="Gill Sans MT"/>
          <w:color w:val="000000" w:themeColor="text1"/>
        </w:rPr>
        <w:t>sites were</w:t>
      </w:r>
      <w:r>
        <w:rPr>
          <w:rFonts w:ascii="Gill Sans MT" w:hAnsi="Gill Sans MT" w:cs="Gill Sans MT"/>
          <w:color w:val="000000" w:themeColor="text1"/>
        </w:rPr>
        <w:t xml:space="preserve"> selected in consultation with </w:t>
      </w:r>
      <w:r w:rsidR="00510CBA">
        <w:rPr>
          <w:rFonts w:ascii="Gill Sans MT" w:hAnsi="Gill Sans MT" w:cs="Gill Sans MT"/>
          <w:color w:val="000000" w:themeColor="text1"/>
        </w:rPr>
        <w:t>refugees, camp</w:t>
      </w:r>
      <w:r>
        <w:rPr>
          <w:rFonts w:ascii="Gill Sans MT" w:hAnsi="Gill Sans MT" w:cs="Gill Sans MT"/>
          <w:color w:val="000000" w:themeColor="text1"/>
        </w:rPr>
        <w:t xml:space="preserve"> managers and women beneficiaries. Each of the 100 beneficiaries received a mosquito net, bucket, soap and a packet of sanitary pads.   </w:t>
      </w:r>
    </w:p>
    <w:p w14:paraId="241CBAA6" w14:textId="77777777" w:rsidR="0062462A" w:rsidRDefault="00000000">
      <w:pPr>
        <w:rPr>
          <w:rFonts w:ascii="Gill Sans MT" w:hAnsi="Gill Sans MT" w:cs="Gill Sans MT"/>
          <w:b/>
          <w:color w:val="000000" w:themeColor="text1"/>
        </w:rPr>
      </w:pPr>
      <w:r>
        <w:rPr>
          <w:rFonts w:ascii="Gill Sans MT" w:hAnsi="Gill Sans MT" w:cs="Gill Sans MT"/>
          <w:b/>
          <w:color w:val="000000" w:themeColor="text1"/>
        </w:rPr>
        <w:t>3.0.3: Conduct a Post Distribution Monitoring on S-NFIs distribution.</w:t>
      </w:r>
    </w:p>
    <w:p w14:paraId="7D3136F0" w14:textId="5A04FE37" w:rsidR="0062462A" w:rsidRDefault="00000000">
      <w:pPr>
        <w:jc w:val="both"/>
        <w:rPr>
          <w:rFonts w:ascii="Gill Sans MT" w:hAnsi="Gill Sans MT" w:cs="Gill Sans MT"/>
          <w:b/>
          <w:bCs/>
          <w:color w:val="000000" w:themeColor="text1"/>
        </w:rPr>
      </w:pPr>
      <w:r>
        <w:rPr>
          <w:rFonts w:ascii="Gill Sans MT" w:hAnsi="Gill Sans MT" w:cs="Gill Sans MT"/>
          <w:color w:val="000000" w:themeColor="text1"/>
        </w:rPr>
        <w:t xml:space="preserve">Once the distribution exercise was successfully completed, NILECAPD, Monitoring and Evaluation Officer, NFIs Officer and the Safeguarding officer conducted a rapid post distribution monitoring 3 days after distribution of the SNFIs. The PDM sought to obtain information on timeliness, quantity and quality control, appropriateness of items, effectiveness of items in addressing needs, selection control (methods, quality, coverage, fairness, participation of beneficiaries), dissemination of information, participation of beneficiaries, distribution (methods, quality, site, accessibility), Protection, accountability, and impact. Random sampling of HHs (20% of total targeted HHs) was employed. </w:t>
      </w:r>
      <w:r w:rsidR="00D80CC3">
        <w:rPr>
          <w:rFonts w:ascii="Gill Sans MT" w:hAnsi="Gill Sans MT" w:cs="Gill Sans MT"/>
          <w:color w:val="000000" w:themeColor="text1"/>
        </w:rPr>
        <w:t>Beneficiaries’</w:t>
      </w:r>
      <w:r>
        <w:rPr>
          <w:rFonts w:ascii="Gill Sans MT" w:hAnsi="Gill Sans MT" w:cs="Gill Sans MT"/>
          <w:color w:val="000000" w:themeColor="text1"/>
        </w:rPr>
        <w:t xml:space="preserve"> perception on accountability, distribution process, protection, safety and timeliness of assistance is illustrated in the </w:t>
      </w:r>
      <w:r w:rsidR="00D80CC3">
        <w:rPr>
          <w:rFonts w:ascii="Gill Sans MT" w:hAnsi="Gill Sans MT" w:cs="Gill Sans MT"/>
          <w:color w:val="000000" w:themeColor="text1"/>
        </w:rPr>
        <w:t>chart below</w:t>
      </w:r>
      <w:r>
        <w:rPr>
          <w:rFonts w:ascii="Gill Sans MT" w:hAnsi="Gill Sans MT" w:cs="Gill Sans MT"/>
          <w:color w:val="000000" w:themeColor="text1"/>
        </w:rPr>
        <w:t>.</w:t>
      </w:r>
    </w:p>
    <w:p w14:paraId="64157DB6" w14:textId="77777777" w:rsidR="0062462A" w:rsidRDefault="00000000">
      <w:pPr>
        <w:rPr>
          <w:rFonts w:ascii="Gill Sans MT" w:hAnsi="Gill Sans MT" w:cs="Gill Sans MT"/>
          <w:b/>
          <w:bCs/>
          <w:color w:val="000000" w:themeColor="text1"/>
        </w:rPr>
      </w:pPr>
      <w:r>
        <w:rPr>
          <w:rFonts w:ascii="Gill Sans MT" w:hAnsi="Gill Sans MT" w:cs="Gill Sans MT"/>
          <w:b/>
          <w:bCs/>
          <w:noProof/>
          <w:color w:val="000000" w:themeColor="text1"/>
        </w:rPr>
        <w:drawing>
          <wp:inline distT="0" distB="0" distL="114300" distR="114300" wp14:anchorId="3F228C01" wp14:editId="2B61DC0E">
            <wp:extent cx="5256530" cy="2988310"/>
            <wp:effectExtent l="5080" t="4445" r="15240" b="1714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78497F2" w14:textId="4C383345" w:rsidR="0062462A" w:rsidRDefault="00000000">
      <w:pPr>
        <w:rPr>
          <w:rFonts w:ascii="Gill Sans MT" w:hAnsi="Gill Sans MT" w:cs="Gill Sans MT"/>
          <w:color w:val="000000" w:themeColor="text1"/>
        </w:rPr>
      </w:pPr>
      <w:r>
        <w:rPr>
          <w:rFonts w:ascii="Gill Sans MT" w:hAnsi="Gill Sans MT" w:cs="Gill Sans MT"/>
          <w:b/>
          <w:bCs/>
          <w:color w:val="000000" w:themeColor="text1"/>
        </w:rPr>
        <w:t>On accountability</w:t>
      </w:r>
      <w:r>
        <w:rPr>
          <w:rFonts w:ascii="Gill Sans MT" w:hAnsi="Gill Sans MT" w:cs="Gill Sans MT"/>
          <w:color w:val="000000" w:themeColor="text1"/>
        </w:rPr>
        <w:t xml:space="preserve">, beneficiaries were asked how satisfied they were with the level of participation during planning, selection and implementation.  </w:t>
      </w:r>
      <w:r w:rsidR="00510CBA">
        <w:rPr>
          <w:rFonts w:ascii="Gill Sans MT" w:hAnsi="Gill Sans MT" w:cs="Gill Sans MT"/>
          <w:color w:val="000000" w:themeColor="text1"/>
        </w:rPr>
        <w:t>Ninety-seven</w:t>
      </w:r>
      <w:r>
        <w:rPr>
          <w:rFonts w:ascii="Gill Sans MT" w:hAnsi="Gill Sans MT" w:cs="Gill Sans MT"/>
          <w:color w:val="000000" w:themeColor="text1"/>
        </w:rPr>
        <w:t xml:space="preserve"> percent were satisfied with the participation. Three percent felt more needed to be done to increase participation of elderly </w:t>
      </w:r>
      <w:r w:rsidR="00510CBA">
        <w:rPr>
          <w:rFonts w:ascii="Gill Sans MT" w:hAnsi="Gill Sans MT" w:cs="Gill Sans MT"/>
          <w:color w:val="000000" w:themeColor="text1"/>
        </w:rPr>
        <w:t>people</w:t>
      </w:r>
      <w:r>
        <w:rPr>
          <w:rFonts w:ascii="Gill Sans MT" w:hAnsi="Gill Sans MT" w:cs="Gill Sans MT"/>
          <w:color w:val="000000" w:themeColor="text1"/>
        </w:rPr>
        <w:t xml:space="preserve"> or </w:t>
      </w:r>
      <w:r>
        <w:rPr>
          <w:rFonts w:ascii="Gill Sans MT" w:hAnsi="Gill Sans MT" w:cs="Gill Sans MT"/>
          <w:color w:val="000000" w:themeColor="text1"/>
        </w:rPr>
        <w:lastRenderedPageBreak/>
        <w:t xml:space="preserve">individuals living with disability. During the distribution, there were no </w:t>
      </w:r>
      <w:r w:rsidR="00650B67">
        <w:rPr>
          <w:rFonts w:ascii="Gill Sans MT" w:hAnsi="Gill Sans MT" w:cs="Gill Sans MT"/>
          <w:color w:val="000000" w:themeColor="text1"/>
        </w:rPr>
        <w:t>people</w:t>
      </w:r>
      <w:r>
        <w:rPr>
          <w:rFonts w:ascii="Gill Sans MT" w:hAnsi="Gill Sans MT" w:cs="Gill Sans MT"/>
          <w:color w:val="000000" w:themeColor="text1"/>
        </w:rPr>
        <w:t xml:space="preserve"> living with disability among targeted beneficiaries.</w:t>
      </w:r>
    </w:p>
    <w:p w14:paraId="24C5D6D0" w14:textId="77777777" w:rsidR="0062462A" w:rsidRDefault="00000000">
      <w:pPr>
        <w:rPr>
          <w:rFonts w:ascii="Gill Sans MT" w:hAnsi="Gill Sans MT" w:cs="Gill Sans MT"/>
          <w:color w:val="000000" w:themeColor="text1"/>
        </w:rPr>
      </w:pPr>
      <w:r>
        <w:rPr>
          <w:rFonts w:ascii="Gill Sans MT" w:hAnsi="Gill Sans MT" w:cs="Gill Sans MT"/>
          <w:b/>
          <w:bCs/>
          <w:color w:val="000000" w:themeColor="text1"/>
        </w:rPr>
        <w:t>On distribution process,</w:t>
      </w:r>
      <w:r>
        <w:rPr>
          <w:rFonts w:ascii="Gill Sans MT" w:hAnsi="Gill Sans MT" w:cs="Gill Sans MT"/>
          <w:color w:val="000000" w:themeColor="text1"/>
        </w:rPr>
        <w:t xml:space="preserve"> beneficiaries were asked how satisfied they were with the distribution process (from registration, selection, redemption of tokens, distribution sites, distribution days and distribution time). On average, 96% of those sampled were satisfied with the process. </w:t>
      </w:r>
    </w:p>
    <w:p w14:paraId="54CEB05E" w14:textId="77777777" w:rsidR="0062462A" w:rsidRDefault="00000000">
      <w:pPr>
        <w:rPr>
          <w:rFonts w:ascii="Gill Sans MT" w:hAnsi="Gill Sans MT" w:cs="Gill Sans MT"/>
          <w:color w:val="000000" w:themeColor="text1"/>
        </w:rPr>
      </w:pPr>
      <w:r>
        <w:rPr>
          <w:rFonts w:ascii="Gill Sans MT" w:hAnsi="Gill Sans MT" w:cs="Gill Sans MT"/>
          <w:color w:val="000000" w:themeColor="text1"/>
        </w:rPr>
        <w:t xml:space="preserve">Of the 4% who were not satisfied, they cited failure to replace tokens that were distributed but in one way or the other. It took more time to verify their details prior to receiving the items. </w:t>
      </w:r>
    </w:p>
    <w:p w14:paraId="1850F8F1" w14:textId="77777777" w:rsidR="0062462A" w:rsidRDefault="00000000">
      <w:pPr>
        <w:rPr>
          <w:rFonts w:ascii="Gill Sans MT" w:hAnsi="Gill Sans MT" w:cs="Gill Sans MT"/>
          <w:color w:val="000000" w:themeColor="text1"/>
        </w:rPr>
      </w:pPr>
      <w:r>
        <w:rPr>
          <w:rFonts w:ascii="Gill Sans MT" w:hAnsi="Gill Sans MT" w:cs="Gill Sans MT"/>
          <w:b/>
          <w:bCs/>
          <w:color w:val="000000" w:themeColor="text1"/>
        </w:rPr>
        <w:t>On protection and safety,</w:t>
      </w:r>
      <w:r>
        <w:rPr>
          <w:rFonts w:ascii="Gill Sans MT" w:hAnsi="Gill Sans MT" w:cs="Gill Sans MT"/>
          <w:color w:val="000000" w:themeColor="text1"/>
        </w:rPr>
        <w:t xml:space="preserve"> beneficiaries were asked how they perceived their safety and protection during the distribution process. Of those sampled, 98% indicated they felt safe when receiving their items, taking them home and using them when at home. Also, beneficiaries felt using the hospital facility as a distribution site made them feel safe and protected. </w:t>
      </w:r>
    </w:p>
    <w:p w14:paraId="756AF383" w14:textId="6C58DD60" w:rsidR="0062462A" w:rsidRDefault="00000000">
      <w:pPr>
        <w:rPr>
          <w:rFonts w:ascii="Gill Sans MT" w:hAnsi="Gill Sans MT" w:cs="Gill Sans MT"/>
          <w:b/>
          <w:bCs/>
          <w:color w:val="000000" w:themeColor="text1"/>
        </w:rPr>
      </w:pPr>
      <w:r>
        <w:rPr>
          <w:rFonts w:ascii="Gill Sans MT" w:hAnsi="Gill Sans MT" w:cs="Gill Sans MT"/>
          <w:b/>
          <w:bCs/>
          <w:color w:val="000000" w:themeColor="text1"/>
        </w:rPr>
        <w:t>On timeliness of assistance,</w:t>
      </w:r>
      <w:r>
        <w:rPr>
          <w:rFonts w:ascii="Gill Sans MT" w:hAnsi="Gill Sans MT" w:cs="Gill Sans MT"/>
          <w:color w:val="000000" w:themeColor="text1"/>
        </w:rPr>
        <w:t xml:space="preserve"> beneficiaries were asked whether the assistance provided was delivered on time as promised by NILECAPD. </w:t>
      </w:r>
      <w:r w:rsidR="00650B67">
        <w:rPr>
          <w:rFonts w:ascii="Gill Sans MT" w:hAnsi="Gill Sans MT" w:cs="Gill Sans MT"/>
          <w:color w:val="000000" w:themeColor="text1"/>
        </w:rPr>
        <w:t>Ninety-six</w:t>
      </w:r>
      <w:r>
        <w:rPr>
          <w:rFonts w:ascii="Gill Sans MT" w:hAnsi="Gill Sans MT" w:cs="Gill Sans MT"/>
          <w:color w:val="000000" w:themeColor="text1"/>
        </w:rPr>
        <w:t xml:space="preserve"> (96%) were of the view that </w:t>
      </w:r>
      <w:r w:rsidR="00650B67">
        <w:rPr>
          <w:rFonts w:ascii="Gill Sans MT" w:hAnsi="Gill Sans MT" w:cs="Gill Sans MT"/>
          <w:color w:val="000000" w:themeColor="text1"/>
        </w:rPr>
        <w:t>assistance</w:t>
      </w:r>
      <w:r>
        <w:rPr>
          <w:rFonts w:ascii="Gill Sans MT" w:hAnsi="Gill Sans MT" w:cs="Gill Sans MT"/>
          <w:color w:val="000000" w:themeColor="text1"/>
        </w:rPr>
        <w:t xml:space="preserve"> was provided on time.</w:t>
      </w:r>
    </w:p>
    <w:p w14:paraId="230CF11C" w14:textId="4491B1E1" w:rsidR="0062462A" w:rsidRDefault="00000000">
      <w:pPr>
        <w:rPr>
          <w:rFonts w:ascii="Gill Sans MT" w:hAnsi="Gill Sans MT" w:cs="Gill Sans MT"/>
          <w:b/>
          <w:bCs/>
          <w:color w:val="000000" w:themeColor="text1"/>
        </w:rPr>
      </w:pPr>
      <w:r>
        <w:rPr>
          <w:rFonts w:ascii="Gill Sans MT" w:hAnsi="Gill Sans MT" w:cs="Gill Sans MT"/>
          <w:b/>
          <w:bCs/>
          <w:color w:val="000000" w:themeColor="text1"/>
        </w:rPr>
        <w:t xml:space="preserve">Community Engagement Strategy: </w:t>
      </w:r>
      <w:r>
        <w:rPr>
          <w:rFonts w:ascii="Gill Sans MT" w:hAnsi="Gill Sans MT" w:cs="Gill Sans MT"/>
          <w:color w:val="000000" w:themeColor="text1"/>
        </w:rPr>
        <w:t xml:space="preserve">NILECAPD </w:t>
      </w:r>
      <w:r w:rsidR="00510CBA">
        <w:rPr>
          <w:rFonts w:ascii="Gill Sans MT" w:hAnsi="Gill Sans MT" w:cs="Gill Sans MT"/>
          <w:color w:val="000000" w:themeColor="text1"/>
        </w:rPr>
        <w:t>worked closely</w:t>
      </w:r>
      <w:r>
        <w:rPr>
          <w:rFonts w:ascii="Gill Sans MT" w:hAnsi="Gill Sans MT" w:cs="Gill Sans MT"/>
          <w:color w:val="000000" w:themeColor="text1"/>
        </w:rPr>
        <w:t xml:space="preserve"> </w:t>
      </w:r>
      <w:r w:rsidR="00650B67">
        <w:rPr>
          <w:rFonts w:ascii="Gill Sans MT" w:hAnsi="Gill Sans MT" w:cs="Gill Sans MT"/>
          <w:color w:val="000000" w:themeColor="text1"/>
        </w:rPr>
        <w:t>with</w:t>
      </w:r>
      <w:r w:rsidR="00650B67">
        <w:rPr>
          <w:rFonts w:ascii="Gill Sans MT" w:eastAsia="Calibri" w:hAnsi="Gill Sans MT" w:cs="Gill Sans MT"/>
          <w:color w:val="000000" w:themeColor="text1"/>
          <w:lang w:val="en-GB" w:eastAsia="en-GB"/>
        </w:rPr>
        <w:t xml:space="preserve"> </w:t>
      </w:r>
      <w:r w:rsidR="00650B67">
        <w:rPr>
          <w:rFonts w:ascii="Gill Sans MT" w:eastAsia="Calibri" w:hAnsi="Gill Sans MT" w:cs="Gill Sans MT"/>
          <w:color w:val="000000" w:themeColor="text1"/>
          <w:lang w:eastAsia="en-GB"/>
        </w:rPr>
        <w:t>local</w:t>
      </w:r>
      <w:r>
        <w:rPr>
          <w:rFonts w:ascii="Gill Sans MT" w:eastAsia="Calibri" w:hAnsi="Gill Sans MT" w:cs="Gill Sans MT"/>
          <w:color w:val="000000" w:themeColor="text1"/>
          <w:lang w:eastAsia="en-GB"/>
        </w:rPr>
        <w:t xml:space="preserve"> enumerators,</w:t>
      </w:r>
      <w:r>
        <w:rPr>
          <w:rFonts w:ascii="Gill Sans MT" w:eastAsia="Calibri" w:hAnsi="Gill Sans MT" w:cs="Gill Sans MT"/>
          <w:color w:val="000000" w:themeColor="text1"/>
          <w:lang w:val="en-GB" w:eastAsia="en-GB"/>
        </w:rPr>
        <w:t xml:space="preserve"> local </w:t>
      </w:r>
      <w:r>
        <w:rPr>
          <w:rFonts w:ascii="Gill Sans MT" w:eastAsia="Calibri" w:hAnsi="Gill Sans MT" w:cs="Gill Sans MT"/>
          <w:color w:val="000000" w:themeColor="text1"/>
          <w:lang w:eastAsia="en-GB"/>
        </w:rPr>
        <w:t>authorities</w:t>
      </w:r>
      <w:r w:rsidR="00650B67">
        <w:rPr>
          <w:rFonts w:ascii="Gill Sans MT" w:eastAsia="Calibri" w:hAnsi="Gill Sans MT" w:cs="Gill Sans MT"/>
          <w:color w:val="000000" w:themeColor="text1"/>
          <w:lang w:eastAsia="en-GB"/>
        </w:rPr>
        <w:t>, and refugees’</w:t>
      </w:r>
      <w:r>
        <w:rPr>
          <w:rFonts w:ascii="Gill Sans MT" w:eastAsia="Calibri" w:hAnsi="Gill Sans MT" w:cs="Gill Sans MT"/>
          <w:color w:val="000000" w:themeColor="text1"/>
          <w:lang w:eastAsia="en-GB"/>
        </w:rPr>
        <w:t xml:space="preserve"> representatives during implementation of the NFIs activities as part of community engagement. </w:t>
      </w:r>
      <w:r>
        <w:rPr>
          <w:rFonts w:ascii="Gill Sans MT" w:eastAsia="Calibri" w:hAnsi="Gill Sans MT" w:cs="Gill Sans MT"/>
          <w:color w:val="000000" w:themeColor="text1"/>
          <w:lang w:val="en-GB" w:eastAsia="en-GB"/>
        </w:rPr>
        <w:t xml:space="preserve">Throughout the length of the </w:t>
      </w:r>
      <w:r>
        <w:rPr>
          <w:rFonts w:ascii="Gill Sans MT" w:eastAsia="Calibri" w:hAnsi="Gill Sans MT" w:cs="Gill Sans MT"/>
          <w:color w:val="000000" w:themeColor="text1"/>
          <w:lang w:eastAsia="en-GB"/>
        </w:rPr>
        <w:t>activities</w:t>
      </w:r>
      <w:r>
        <w:rPr>
          <w:rFonts w:ascii="Gill Sans MT" w:eastAsia="Calibri" w:hAnsi="Gill Sans MT" w:cs="Gill Sans MT"/>
          <w:color w:val="000000" w:themeColor="text1"/>
          <w:lang w:val="en-GB" w:eastAsia="en-GB"/>
        </w:rPr>
        <w:t>, deliberate action w</w:t>
      </w:r>
      <w:r>
        <w:rPr>
          <w:rFonts w:ascii="Gill Sans MT" w:eastAsia="Calibri" w:hAnsi="Gill Sans MT" w:cs="Gill Sans MT"/>
          <w:color w:val="000000" w:themeColor="text1"/>
          <w:lang w:eastAsia="en-GB"/>
        </w:rPr>
        <w:t>as</w:t>
      </w:r>
      <w:r>
        <w:rPr>
          <w:rFonts w:ascii="Gill Sans MT" w:eastAsia="Calibri" w:hAnsi="Gill Sans MT" w:cs="Gill Sans MT"/>
          <w:color w:val="000000" w:themeColor="text1"/>
          <w:lang w:val="en-GB" w:eastAsia="en-GB"/>
        </w:rPr>
        <w:t xml:space="preserve"> taken to increase active and meaningful participation </w:t>
      </w:r>
      <w:r>
        <w:rPr>
          <w:rFonts w:ascii="Gill Sans MT" w:eastAsia="Calibri" w:hAnsi="Gill Sans MT" w:cs="Gill Sans MT"/>
          <w:color w:val="000000" w:themeColor="text1"/>
          <w:lang w:eastAsia="en-GB"/>
        </w:rPr>
        <w:t>of women in meetings and decision making</w:t>
      </w:r>
      <w:r>
        <w:rPr>
          <w:rFonts w:ascii="Gill Sans MT" w:eastAsia="Calibri" w:hAnsi="Gill Sans MT" w:cs="Gill Sans MT"/>
          <w:color w:val="000000" w:themeColor="text1"/>
          <w:lang w:val="en-GB" w:eastAsia="en-GB"/>
        </w:rPr>
        <w:t>. For example,</w:t>
      </w:r>
      <w:r>
        <w:rPr>
          <w:rFonts w:ascii="Gill Sans MT" w:eastAsia="Calibri" w:hAnsi="Gill Sans MT" w:cs="Gill Sans MT"/>
          <w:color w:val="000000" w:themeColor="text1"/>
          <w:lang w:eastAsia="en-GB"/>
        </w:rPr>
        <w:t xml:space="preserve"> women were engaged in selecting distribution location and time thus ensuring safe access and timely delivery of the assistance. </w:t>
      </w:r>
      <w:r>
        <w:rPr>
          <w:rFonts w:ascii="Gill Sans MT" w:eastAsia="Calibri" w:hAnsi="Gill Sans MT" w:cs="Gill Sans MT"/>
          <w:color w:val="000000" w:themeColor="text1"/>
          <w:lang w:val="en-GB" w:eastAsia="en-GB"/>
        </w:rPr>
        <w:t xml:space="preserve"> </w:t>
      </w:r>
    </w:p>
    <w:p w14:paraId="428A9736" w14:textId="77777777" w:rsidR="0062462A" w:rsidRDefault="00000000">
      <w:pPr>
        <w:rPr>
          <w:rFonts w:ascii="Gill Sans MT" w:hAnsi="Gill Sans MT" w:cs="Gill Sans MT"/>
          <w:b/>
          <w:bCs/>
          <w:color w:val="000000" w:themeColor="text1"/>
        </w:rPr>
      </w:pPr>
      <w:r>
        <w:rPr>
          <w:rFonts w:ascii="Gill Sans MT" w:hAnsi="Gill Sans MT" w:cs="Gill Sans MT"/>
          <w:b/>
          <w:bCs/>
          <w:color w:val="000000" w:themeColor="text1"/>
        </w:rPr>
        <w:t>4.0: How beneficiaries were provided with information about the activities, feedback mechanism and/or complaint mechanism</w:t>
      </w:r>
    </w:p>
    <w:p w14:paraId="59D7DCDD" w14:textId="1C8EE506" w:rsidR="0062462A" w:rsidRDefault="00000000">
      <w:pPr>
        <w:rPr>
          <w:rFonts w:ascii="Gill Sans MT" w:hAnsi="Gill Sans MT" w:cs="Gill Sans MT"/>
          <w:b/>
          <w:bCs/>
          <w:color w:val="000000" w:themeColor="text1"/>
        </w:rPr>
      </w:pPr>
      <w:r>
        <w:rPr>
          <w:rFonts w:ascii="Gill Sans MT" w:hAnsi="Gill Sans MT" w:cs="Gill Sans MT"/>
          <w:color w:val="000000" w:themeColor="text1"/>
        </w:rPr>
        <w:t xml:space="preserve">NILECAPD established a robust feedback and complaint mechanism to enable beneficiaries and </w:t>
      </w:r>
      <w:r w:rsidR="00510CBA">
        <w:rPr>
          <w:rFonts w:ascii="Gill Sans MT" w:hAnsi="Gill Sans MT" w:cs="Gill Sans MT"/>
          <w:color w:val="000000" w:themeColor="text1"/>
        </w:rPr>
        <w:t>non-beneficiaries</w:t>
      </w:r>
      <w:r>
        <w:rPr>
          <w:rFonts w:ascii="Gill Sans MT" w:hAnsi="Gill Sans MT" w:cs="Gill Sans MT"/>
          <w:color w:val="000000" w:themeColor="text1"/>
        </w:rPr>
        <w:t xml:space="preserve"> to safely submit complaints and receive feedback. A </w:t>
      </w:r>
      <w:r w:rsidR="00510CBA">
        <w:rPr>
          <w:rFonts w:ascii="Gill Sans MT" w:hAnsi="Gill Sans MT" w:cs="Gill Sans MT"/>
          <w:color w:val="000000" w:themeColor="text1"/>
        </w:rPr>
        <w:t>toll-free</w:t>
      </w:r>
      <w:r>
        <w:rPr>
          <w:rFonts w:ascii="Gill Sans MT" w:hAnsi="Gill Sans MT" w:cs="Gill Sans MT"/>
          <w:color w:val="000000" w:themeColor="text1"/>
        </w:rPr>
        <w:t xml:space="preserve"> mobile phone number was shared with the refugees to allow them to call directly and submit any complaint they had regarding implementation. The number was shared on a banner that was prominently </w:t>
      </w:r>
      <w:r w:rsidR="00510CBA">
        <w:rPr>
          <w:rFonts w:ascii="Gill Sans MT" w:hAnsi="Gill Sans MT" w:cs="Gill Sans MT"/>
          <w:color w:val="000000" w:themeColor="text1"/>
        </w:rPr>
        <w:t>displayed</w:t>
      </w:r>
      <w:r>
        <w:rPr>
          <w:rFonts w:ascii="Gill Sans MT" w:hAnsi="Gill Sans MT" w:cs="Gill Sans MT"/>
          <w:color w:val="000000" w:themeColor="text1"/>
        </w:rPr>
        <w:t xml:space="preserve"> during meetings, selection and distribution. A suggestion box was availed during registration and distribution to allow beneficiaries to physically submit any complaints on selection criteria, distribution modality, type and quality of assistance provided. A Complaint and feedback register was developed and updated by NILECAPD's safeguarding officer, clearly indicating the type of compliant, when the complaint was made, status of the complaint and decision made on the complaint. A report was developed and transmitted to the management and senior project staff on all complaints made and action taken to address the same.   </w:t>
      </w:r>
    </w:p>
    <w:p w14:paraId="4940F9DA" w14:textId="17AEA7B9" w:rsidR="0062462A" w:rsidRDefault="00000000">
      <w:pPr>
        <w:rPr>
          <w:rFonts w:ascii="Gill Sans MT" w:hAnsi="Gill Sans MT" w:cs="Gill Sans MT"/>
          <w:b/>
          <w:bCs/>
          <w:color w:val="000000" w:themeColor="text1"/>
          <w:shd w:val="clear" w:color="auto" w:fill="FFFFFF"/>
        </w:rPr>
      </w:pPr>
      <w:r>
        <w:rPr>
          <w:rFonts w:ascii="Gill Sans MT" w:hAnsi="Gill Sans MT" w:cs="Gill Sans MT"/>
          <w:b/>
          <w:bCs/>
          <w:color w:val="000000" w:themeColor="text1"/>
          <w:shd w:val="clear" w:color="auto" w:fill="FFFFFF"/>
        </w:rPr>
        <w:t xml:space="preserve">5.0: How </w:t>
      </w:r>
      <w:r w:rsidR="00650B67">
        <w:rPr>
          <w:rFonts w:ascii="Gill Sans MT" w:hAnsi="Gill Sans MT" w:cs="Gill Sans MT"/>
          <w:b/>
          <w:bCs/>
          <w:color w:val="000000" w:themeColor="text1"/>
          <w:shd w:val="clear" w:color="auto" w:fill="FFFFFF"/>
        </w:rPr>
        <w:t>do project</w:t>
      </w:r>
      <w:r>
        <w:rPr>
          <w:rFonts w:ascii="Gill Sans MT" w:hAnsi="Gill Sans MT" w:cs="Gill Sans MT"/>
          <w:b/>
          <w:bCs/>
          <w:color w:val="000000" w:themeColor="text1"/>
          <w:shd w:val="clear" w:color="auto" w:fill="FFFFFF"/>
        </w:rPr>
        <w:t xml:space="preserve"> staff </w:t>
      </w:r>
      <w:r w:rsidR="00650B67">
        <w:rPr>
          <w:rFonts w:ascii="Gill Sans MT" w:hAnsi="Gill Sans MT" w:cs="Gill Sans MT"/>
          <w:b/>
          <w:bCs/>
          <w:color w:val="000000" w:themeColor="text1"/>
          <w:shd w:val="clear" w:color="auto" w:fill="FFFFFF"/>
        </w:rPr>
        <w:t>provide</w:t>
      </w:r>
      <w:r>
        <w:rPr>
          <w:rFonts w:ascii="Gill Sans MT" w:hAnsi="Gill Sans MT" w:cs="Gill Sans MT"/>
          <w:b/>
          <w:bCs/>
          <w:color w:val="000000" w:themeColor="text1"/>
          <w:shd w:val="clear" w:color="auto" w:fill="FFFFFF"/>
        </w:rPr>
        <w:t xml:space="preserve"> beneficiaries with information about Protection against Sexual Exploitation and Abuse (PSEA)?   </w:t>
      </w:r>
    </w:p>
    <w:p w14:paraId="5CBE0BCA" w14:textId="5388C3C5" w:rsidR="0062462A" w:rsidRDefault="00510CBA">
      <w:pPr>
        <w:rPr>
          <w:rFonts w:ascii="Gill Sans MT" w:eastAsia="Calibri" w:hAnsi="Gill Sans MT" w:cs="Gill Sans MT"/>
          <w:color w:val="000000" w:themeColor="text1"/>
          <w:lang w:eastAsia="en-GB"/>
        </w:rPr>
      </w:pPr>
      <w:r>
        <w:rPr>
          <w:rFonts w:ascii="Gill Sans MT" w:eastAsia="Calibri" w:hAnsi="Gill Sans MT" w:cs="Gill Sans MT"/>
          <w:color w:val="000000" w:themeColor="text1"/>
          <w:lang w:eastAsia="en-GB"/>
        </w:rPr>
        <w:t>NILECAPD staff have been through SADI (Safe, Accessible, Dignified, and Inclusive) training. All staff adhere to NILECAPD's safeguarding policies including Physical Exploitation and Abuse (PSEA), Gender and Child Protection. NILECAPD management frequently reviews safeguarding as a risk area and associated mitigation. Participants were made aware of the expected level of staff behaviors and ways to raise concerns in a safe, accessible and appropriate formats (considering local language). In the case of a member of staff violating this code of behaviors, an appropriate, confidential, and safe feedback and compliant mechanism was available and accessible to the community.</w:t>
      </w:r>
    </w:p>
    <w:p w14:paraId="01D73E4C" w14:textId="77777777" w:rsidR="0062462A" w:rsidRDefault="0062462A">
      <w:pPr>
        <w:rPr>
          <w:rFonts w:ascii="Gill Sans MT" w:eastAsia="Calibri" w:hAnsi="Gill Sans MT" w:cs="Gill Sans MT"/>
          <w:color w:val="000000" w:themeColor="text1"/>
          <w:lang w:eastAsia="en-GB"/>
        </w:rPr>
      </w:pPr>
    </w:p>
    <w:p w14:paraId="397D8B07" w14:textId="1CB495F4" w:rsidR="0062462A" w:rsidRDefault="00000000">
      <w:pPr>
        <w:rPr>
          <w:rFonts w:ascii="Gill Sans MT" w:hAnsi="Gill Sans MT" w:cs="Gill Sans MT"/>
          <w:b/>
          <w:bCs/>
          <w:color w:val="000000" w:themeColor="text1"/>
          <w:shd w:val="clear" w:color="auto" w:fill="FFFFFF"/>
        </w:rPr>
      </w:pPr>
      <w:r>
        <w:rPr>
          <w:rFonts w:ascii="Gill Sans MT" w:hAnsi="Gill Sans MT" w:cs="Gill Sans MT"/>
          <w:b/>
          <w:bCs/>
          <w:color w:val="000000" w:themeColor="text1"/>
          <w:shd w:val="clear" w:color="auto" w:fill="FFFFFF"/>
        </w:rPr>
        <w:t xml:space="preserve">5.1: How beneficiaries’ feedback </w:t>
      </w:r>
      <w:r w:rsidR="00650B67">
        <w:rPr>
          <w:rFonts w:ascii="Gill Sans MT" w:hAnsi="Gill Sans MT" w:cs="Gill Sans MT"/>
          <w:b/>
          <w:bCs/>
          <w:color w:val="000000" w:themeColor="text1"/>
          <w:shd w:val="clear" w:color="auto" w:fill="FFFFFF"/>
        </w:rPr>
        <w:t>was</w:t>
      </w:r>
      <w:r>
        <w:rPr>
          <w:rFonts w:ascii="Gill Sans MT" w:hAnsi="Gill Sans MT" w:cs="Gill Sans MT"/>
          <w:b/>
          <w:bCs/>
          <w:color w:val="000000" w:themeColor="text1"/>
          <w:shd w:val="clear" w:color="auto" w:fill="FFFFFF"/>
        </w:rPr>
        <w:t xml:space="preserve"> utilized to adapt the assistance</w:t>
      </w:r>
    </w:p>
    <w:p w14:paraId="204B65D6" w14:textId="0177C9EE" w:rsidR="0062462A" w:rsidRDefault="00000000">
      <w:pPr>
        <w:rPr>
          <w:rFonts w:ascii="Gill Sans MT" w:hAnsi="Gill Sans MT" w:cs="Gill Sans MT"/>
          <w:color w:val="000000" w:themeColor="text1"/>
          <w:shd w:val="clear" w:color="auto" w:fill="FFFFFF"/>
        </w:rPr>
      </w:pPr>
      <w:r>
        <w:rPr>
          <w:rFonts w:ascii="Gill Sans MT" w:hAnsi="Gill Sans MT" w:cs="Gill Sans MT"/>
          <w:color w:val="000000" w:themeColor="text1"/>
          <w:shd w:val="clear" w:color="auto" w:fill="FFFFFF"/>
        </w:rPr>
        <w:t xml:space="preserve">Noting </w:t>
      </w:r>
      <w:r w:rsidR="00650B67">
        <w:rPr>
          <w:rFonts w:ascii="Gill Sans MT" w:hAnsi="Gill Sans MT" w:cs="Gill Sans MT"/>
          <w:color w:val="000000" w:themeColor="text1"/>
          <w:shd w:val="clear" w:color="auto" w:fill="FFFFFF"/>
        </w:rPr>
        <w:t>the majority</w:t>
      </w:r>
      <w:r>
        <w:rPr>
          <w:rFonts w:ascii="Gill Sans MT" w:hAnsi="Gill Sans MT" w:cs="Gill Sans MT"/>
          <w:color w:val="000000" w:themeColor="text1"/>
          <w:shd w:val="clear" w:color="auto" w:fill="FFFFFF"/>
        </w:rPr>
        <w:t xml:space="preserve"> of the refugees could not read or write, efforts were made to ensure complaint and feedback mechanism was </w:t>
      </w:r>
      <w:r w:rsidR="00650B67">
        <w:rPr>
          <w:rFonts w:ascii="Gill Sans MT" w:hAnsi="Gill Sans MT" w:cs="Gill Sans MT"/>
          <w:color w:val="000000" w:themeColor="text1"/>
          <w:shd w:val="clear" w:color="auto" w:fill="FFFFFF"/>
        </w:rPr>
        <w:t>simple, cost</w:t>
      </w:r>
      <w:r>
        <w:rPr>
          <w:rFonts w:ascii="Gill Sans MT" w:hAnsi="Gill Sans MT" w:cs="Gill Sans MT"/>
          <w:color w:val="000000" w:themeColor="text1"/>
          <w:shd w:val="clear" w:color="auto" w:fill="FFFFFF"/>
        </w:rPr>
        <w:t xml:space="preserve"> </w:t>
      </w:r>
      <w:r w:rsidR="00650B67">
        <w:rPr>
          <w:rFonts w:ascii="Gill Sans MT" w:hAnsi="Gill Sans MT" w:cs="Gill Sans MT"/>
          <w:color w:val="000000" w:themeColor="text1"/>
          <w:shd w:val="clear" w:color="auto" w:fill="FFFFFF"/>
        </w:rPr>
        <w:t>free, easy</w:t>
      </w:r>
      <w:r>
        <w:rPr>
          <w:rFonts w:ascii="Gill Sans MT" w:hAnsi="Gill Sans MT" w:cs="Gill Sans MT"/>
          <w:color w:val="000000" w:themeColor="text1"/>
          <w:shd w:val="clear" w:color="auto" w:fill="FFFFFF"/>
        </w:rPr>
        <w:t xml:space="preserve"> to access and safe. For example- during selection of beneficiaries and distribution of SNFIs, </w:t>
      </w:r>
      <w:r w:rsidR="00650B67">
        <w:rPr>
          <w:rFonts w:ascii="Gill Sans MT" w:hAnsi="Gill Sans MT" w:cs="Gill Sans MT"/>
          <w:color w:val="000000" w:themeColor="text1"/>
          <w:shd w:val="clear" w:color="auto" w:fill="FFFFFF"/>
        </w:rPr>
        <w:t>NILECAPD dedicated</w:t>
      </w:r>
      <w:r>
        <w:rPr>
          <w:rFonts w:ascii="Gill Sans MT" w:hAnsi="Gill Sans MT" w:cs="Gill Sans MT"/>
          <w:color w:val="000000" w:themeColor="text1"/>
          <w:shd w:val="clear" w:color="auto" w:fill="FFFFFF"/>
        </w:rPr>
        <w:t xml:space="preserve"> Complaint and Feedback Desk. Individuals with complaints only </w:t>
      </w:r>
      <w:r w:rsidR="00650B67">
        <w:rPr>
          <w:rFonts w:ascii="Gill Sans MT" w:hAnsi="Gill Sans MT" w:cs="Gill Sans MT"/>
          <w:color w:val="000000" w:themeColor="text1"/>
          <w:shd w:val="clear" w:color="auto" w:fill="FFFFFF"/>
        </w:rPr>
        <w:t>need</w:t>
      </w:r>
      <w:r>
        <w:rPr>
          <w:rFonts w:ascii="Gill Sans MT" w:hAnsi="Gill Sans MT" w:cs="Gill Sans MT"/>
          <w:color w:val="000000" w:themeColor="text1"/>
          <w:shd w:val="clear" w:color="auto" w:fill="FFFFFF"/>
        </w:rPr>
        <w:t xml:space="preserve"> to walk to the desk, submit </w:t>
      </w:r>
      <w:r w:rsidR="00650B67">
        <w:rPr>
          <w:rFonts w:ascii="Gill Sans MT" w:hAnsi="Gill Sans MT" w:cs="Gill Sans MT"/>
          <w:color w:val="000000" w:themeColor="text1"/>
          <w:shd w:val="clear" w:color="auto" w:fill="FFFFFF"/>
        </w:rPr>
        <w:t>complaints</w:t>
      </w:r>
      <w:r>
        <w:rPr>
          <w:rFonts w:ascii="Gill Sans MT" w:hAnsi="Gill Sans MT" w:cs="Gill Sans MT"/>
          <w:color w:val="000000" w:themeColor="text1"/>
          <w:shd w:val="clear" w:color="auto" w:fill="FFFFFF"/>
        </w:rPr>
        <w:t xml:space="preserve"> and receive feedback. </w:t>
      </w:r>
    </w:p>
    <w:p w14:paraId="078E8881" w14:textId="78EE4A1E" w:rsidR="0062462A" w:rsidRDefault="00000000">
      <w:pPr>
        <w:rPr>
          <w:rFonts w:ascii="Gill Sans MT" w:hAnsi="Gill Sans MT" w:cs="Gill Sans MT"/>
          <w:color w:val="000000" w:themeColor="text1"/>
          <w:shd w:val="clear" w:color="auto" w:fill="FFFFFF"/>
        </w:rPr>
      </w:pPr>
      <w:r>
        <w:rPr>
          <w:rFonts w:ascii="Gill Sans MT" w:hAnsi="Gill Sans MT" w:cs="Gill Sans MT"/>
          <w:color w:val="000000" w:themeColor="text1"/>
          <w:shd w:val="clear" w:color="auto" w:fill="FFFFFF"/>
        </w:rPr>
        <w:t xml:space="preserve">Suggestion boxes were also availed at all registration and distribution points to make it easier for beneficiaries and </w:t>
      </w:r>
      <w:r w:rsidR="00650B67">
        <w:rPr>
          <w:rFonts w:ascii="Gill Sans MT" w:hAnsi="Gill Sans MT" w:cs="Gill Sans MT"/>
          <w:color w:val="000000" w:themeColor="text1"/>
          <w:shd w:val="clear" w:color="auto" w:fill="FFFFFF"/>
        </w:rPr>
        <w:t>non-beneficiaries</w:t>
      </w:r>
      <w:r>
        <w:rPr>
          <w:rFonts w:ascii="Gill Sans MT" w:hAnsi="Gill Sans MT" w:cs="Gill Sans MT"/>
          <w:color w:val="000000" w:themeColor="text1"/>
          <w:shd w:val="clear" w:color="auto" w:fill="FFFFFF"/>
        </w:rPr>
        <w:t xml:space="preserve"> to submit complaints. Also, a </w:t>
      </w:r>
      <w:r w:rsidR="00650B67">
        <w:rPr>
          <w:rFonts w:ascii="Gill Sans MT" w:hAnsi="Gill Sans MT" w:cs="Gill Sans MT"/>
          <w:color w:val="000000" w:themeColor="text1"/>
          <w:shd w:val="clear" w:color="auto" w:fill="FFFFFF"/>
        </w:rPr>
        <w:t>toll-free</w:t>
      </w:r>
      <w:r>
        <w:rPr>
          <w:rFonts w:ascii="Gill Sans MT" w:hAnsi="Gill Sans MT" w:cs="Gill Sans MT"/>
          <w:color w:val="000000" w:themeColor="text1"/>
          <w:shd w:val="clear" w:color="auto" w:fill="FFFFFF"/>
        </w:rPr>
        <w:t xml:space="preserve"> number was shared with beneficiaries to enable them to submit </w:t>
      </w:r>
      <w:r w:rsidR="00650B67">
        <w:rPr>
          <w:rFonts w:ascii="Gill Sans MT" w:hAnsi="Gill Sans MT" w:cs="Gill Sans MT"/>
          <w:color w:val="000000" w:themeColor="text1"/>
          <w:shd w:val="clear" w:color="auto" w:fill="FFFFFF"/>
        </w:rPr>
        <w:t>complaints</w:t>
      </w:r>
      <w:r>
        <w:rPr>
          <w:rFonts w:ascii="Gill Sans MT" w:hAnsi="Gill Sans MT" w:cs="Gill Sans MT"/>
          <w:color w:val="000000" w:themeColor="text1"/>
          <w:shd w:val="clear" w:color="auto" w:fill="FFFFFF"/>
        </w:rPr>
        <w:t xml:space="preserve"> and receive feedback at no cost. </w:t>
      </w:r>
    </w:p>
    <w:p w14:paraId="02177477" w14:textId="77777777" w:rsidR="0062462A" w:rsidRDefault="00000000">
      <w:pPr>
        <w:rPr>
          <w:rFonts w:ascii="Gill Sans MT" w:hAnsi="Gill Sans MT" w:cs="Gill Sans MT"/>
          <w:b/>
          <w:bCs/>
          <w:color w:val="000000" w:themeColor="text1"/>
          <w:shd w:val="clear" w:color="auto" w:fill="FFFFFF"/>
        </w:rPr>
      </w:pPr>
      <w:r>
        <w:rPr>
          <w:rFonts w:ascii="Gill Sans MT" w:hAnsi="Gill Sans MT" w:cs="Gill Sans MT"/>
          <w:b/>
          <w:bCs/>
          <w:color w:val="000000" w:themeColor="text1"/>
          <w:shd w:val="clear" w:color="auto" w:fill="FFFFFF"/>
        </w:rPr>
        <w:t>5.2: Challenges</w:t>
      </w:r>
    </w:p>
    <w:p w14:paraId="58DBA42A" w14:textId="77777777" w:rsidR="0062462A" w:rsidRDefault="00000000">
      <w:pPr>
        <w:numPr>
          <w:ilvl w:val="0"/>
          <w:numId w:val="1"/>
        </w:numPr>
        <w:spacing w:after="0" w:line="240" w:lineRule="auto"/>
        <w:jc w:val="both"/>
        <w:rPr>
          <w:rFonts w:ascii="Gill Sans MT" w:eastAsia="Calibri" w:hAnsi="Gill Sans MT" w:cs="Gill Sans MT"/>
          <w:lang w:val="en-GB"/>
        </w:rPr>
      </w:pPr>
      <w:r>
        <w:rPr>
          <w:rFonts w:ascii="Gill Sans MT" w:eastAsia="Calibri" w:hAnsi="Gill Sans MT" w:cs="Gill Sans MT"/>
          <w:lang w:val="en-GB"/>
        </w:rPr>
        <w:t>The needs for NFIs were more than available items</w:t>
      </w:r>
      <w:r>
        <w:rPr>
          <w:rFonts w:ascii="Gill Sans MT" w:eastAsia="Calibri" w:hAnsi="Gill Sans MT" w:cs="Gill Sans MT"/>
        </w:rPr>
        <w:t>. Gorom Refugee Camp has more than 14,000 refugees. NILECAPD had to support the most vulnerable persons among the refugees. The</w:t>
      </w:r>
      <w:r>
        <w:rPr>
          <w:rFonts w:ascii="Gill Sans MT" w:eastAsia="Calibri" w:hAnsi="Gill Sans MT" w:cs="Gill Sans MT"/>
          <w:lang w:val="en-GB"/>
        </w:rPr>
        <w:t xml:space="preserve"> staff ensured sufficient communication and sensitization to moderate the expectations of the community members.</w:t>
      </w:r>
    </w:p>
    <w:p w14:paraId="7D35BC2B" w14:textId="77777777" w:rsidR="0062462A" w:rsidRDefault="0062462A">
      <w:pPr>
        <w:spacing w:after="0" w:line="240" w:lineRule="auto"/>
        <w:jc w:val="both"/>
        <w:rPr>
          <w:rFonts w:ascii="Gill Sans MT" w:eastAsia="Calibri" w:hAnsi="Gill Sans MT" w:cs="Gill Sans MT"/>
          <w:lang w:val="en-GB"/>
        </w:rPr>
      </w:pPr>
    </w:p>
    <w:p w14:paraId="1180B775" w14:textId="29FEE258" w:rsidR="0062462A" w:rsidRDefault="00000000">
      <w:pPr>
        <w:numPr>
          <w:ilvl w:val="0"/>
          <w:numId w:val="1"/>
        </w:numPr>
        <w:spacing w:after="0" w:line="240" w:lineRule="auto"/>
        <w:jc w:val="both"/>
        <w:rPr>
          <w:rFonts w:ascii="Gill Sans MT" w:eastAsia="Calibri" w:hAnsi="Gill Sans MT" w:cs="Gill Sans MT"/>
        </w:rPr>
      </w:pPr>
      <w:r>
        <w:rPr>
          <w:rFonts w:ascii="Gill Sans MT" w:eastAsia="Calibri" w:hAnsi="Gill Sans MT" w:cs="Gill Sans MT"/>
        </w:rPr>
        <w:t xml:space="preserve">Due to inflation, the cost of the </w:t>
      </w:r>
      <w:r w:rsidR="00650B67">
        <w:rPr>
          <w:rFonts w:ascii="Gill Sans MT" w:eastAsia="Calibri" w:hAnsi="Gill Sans MT" w:cs="Gill Sans MT"/>
        </w:rPr>
        <w:t>non-food</w:t>
      </w:r>
      <w:r>
        <w:rPr>
          <w:rFonts w:ascii="Gill Sans MT" w:eastAsia="Calibri" w:hAnsi="Gill Sans MT" w:cs="Gill Sans MT"/>
        </w:rPr>
        <w:t xml:space="preserve"> items was prohibitive. </w:t>
      </w:r>
    </w:p>
    <w:p w14:paraId="120AC478" w14:textId="77777777" w:rsidR="0062462A" w:rsidRDefault="0062462A">
      <w:pPr>
        <w:spacing w:after="0" w:line="240" w:lineRule="auto"/>
        <w:jc w:val="both"/>
        <w:rPr>
          <w:rFonts w:ascii="Gill Sans MT" w:eastAsia="Calibri" w:hAnsi="Gill Sans MT" w:cs="Gill Sans MT"/>
        </w:rPr>
      </w:pPr>
    </w:p>
    <w:p w14:paraId="421FF594" w14:textId="77777777" w:rsidR="0062462A" w:rsidRDefault="00000000">
      <w:pPr>
        <w:spacing w:after="0" w:line="240" w:lineRule="auto"/>
        <w:jc w:val="both"/>
        <w:rPr>
          <w:rFonts w:ascii="Gill Sans MT" w:eastAsia="Calibri" w:hAnsi="Gill Sans MT" w:cs="Gill Sans MT"/>
          <w:b/>
          <w:bCs/>
        </w:rPr>
      </w:pPr>
      <w:r>
        <w:rPr>
          <w:rFonts w:ascii="Gill Sans MT" w:eastAsia="Calibri" w:hAnsi="Gill Sans MT" w:cs="Gill Sans MT"/>
          <w:b/>
          <w:bCs/>
        </w:rPr>
        <w:t>5.3: Recommendations</w:t>
      </w:r>
    </w:p>
    <w:p w14:paraId="5F1CFB44" w14:textId="77777777" w:rsidR="0062462A" w:rsidRDefault="0062462A">
      <w:pPr>
        <w:spacing w:after="0" w:line="240" w:lineRule="auto"/>
        <w:jc w:val="both"/>
        <w:rPr>
          <w:rFonts w:ascii="Gill Sans MT" w:eastAsia="Calibri" w:hAnsi="Gill Sans MT" w:cs="Gill Sans MT"/>
          <w:b/>
          <w:bCs/>
        </w:rPr>
      </w:pPr>
    </w:p>
    <w:p w14:paraId="75E04AFF" w14:textId="2A16ECA1" w:rsidR="0062462A" w:rsidRDefault="00000000">
      <w:pPr>
        <w:numPr>
          <w:ilvl w:val="0"/>
          <w:numId w:val="1"/>
        </w:numPr>
        <w:spacing w:after="0" w:line="240" w:lineRule="auto"/>
        <w:jc w:val="both"/>
        <w:rPr>
          <w:rFonts w:ascii="Gill Sans MT" w:eastAsia="Calibri" w:hAnsi="Gill Sans MT" w:cs="Gill Sans MT"/>
        </w:rPr>
      </w:pPr>
      <w:r>
        <w:rPr>
          <w:rFonts w:ascii="Gill Sans MT" w:eastAsia="Calibri" w:hAnsi="Gill Sans MT" w:cs="Gill Sans MT"/>
        </w:rPr>
        <w:t xml:space="preserve">The refugee camp has huge numbers of elderly </w:t>
      </w:r>
      <w:r w:rsidR="00650B67">
        <w:rPr>
          <w:rFonts w:ascii="Gill Sans MT" w:eastAsia="Calibri" w:hAnsi="Gill Sans MT" w:cs="Gill Sans MT"/>
        </w:rPr>
        <w:t>people</w:t>
      </w:r>
      <w:r>
        <w:rPr>
          <w:rFonts w:ascii="Gill Sans MT" w:eastAsia="Calibri" w:hAnsi="Gill Sans MT" w:cs="Gill Sans MT"/>
        </w:rPr>
        <w:t xml:space="preserve">, </w:t>
      </w:r>
      <w:r w:rsidR="00650B67">
        <w:rPr>
          <w:rFonts w:ascii="Gill Sans MT" w:eastAsia="Calibri" w:hAnsi="Gill Sans MT" w:cs="Gill Sans MT"/>
        </w:rPr>
        <w:t>people</w:t>
      </w:r>
      <w:r>
        <w:rPr>
          <w:rFonts w:ascii="Gill Sans MT" w:eastAsia="Calibri" w:hAnsi="Gill Sans MT" w:cs="Gill Sans MT"/>
        </w:rPr>
        <w:t xml:space="preserve"> living with </w:t>
      </w:r>
      <w:r w:rsidR="00650B67">
        <w:rPr>
          <w:rFonts w:ascii="Gill Sans MT" w:eastAsia="Calibri" w:hAnsi="Gill Sans MT" w:cs="Gill Sans MT"/>
        </w:rPr>
        <w:t>disabilities</w:t>
      </w:r>
      <w:r>
        <w:rPr>
          <w:rFonts w:ascii="Gill Sans MT" w:eastAsia="Calibri" w:hAnsi="Gill Sans MT" w:cs="Gill Sans MT"/>
        </w:rPr>
        <w:t xml:space="preserve">, unaccompanied and separated children and orphans. The </w:t>
      </w:r>
      <w:r w:rsidR="00650B67">
        <w:rPr>
          <w:rFonts w:ascii="Gill Sans MT" w:eastAsia="Calibri" w:hAnsi="Gill Sans MT" w:cs="Gill Sans MT"/>
        </w:rPr>
        <w:t>nonfood</w:t>
      </w:r>
      <w:r>
        <w:rPr>
          <w:rFonts w:ascii="Gill Sans MT" w:eastAsia="Calibri" w:hAnsi="Gill Sans MT" w:cs="Gill Sans MT"/>
        </w:rPr>
        <w:t xml:space="preserve"> items need </w:t>
      </w:r>
      <w:r w:rsidR="00650B67">
        <w:rPr>
          <w:rFonts w:ascii="Gill Sans MT" w:eastAsia="Calibri" w:hAnsi="Gill Sans MT" w:cs="Gill Sans MT"/>
        </w:rPr>
        <w:t>is</w:t>
      </w:r>
      <w:r>
        <w:rPr>
          <w:rFonts w:ascii="Gill Sans MT" w:eastAsia="Calibri" w:hAnsi="Gill Sans MT" w:cs="Gill Sans MT"/>
        </w:rPr>
        <w:t xml:space="preserve"> huge, hence need to increase the level of support and scale up the response.</w:t>
      </w:r>
    </w:p>
    <w:p w14:paraId="38AA1D09" w14:textId="77777777" w:rsidR="0062462A" w:rsidRDefault="0062462A">
      <w:pPr>
        <w:spacing w:after="0" w:line="240" w:lineRule="auto"/>
        <w:jc w:val="both"/>
        <w:rPr>
          <w:rFonts w:ascii="Gill Sans MT" w:eastAsia="Calibri" w:hAnsi="Gill Sans MT" w:cs="Gill Sans MT"/>
        </w:rPr>
      </w:pPr>
    </w:p>
    <w:p w14:paraId="7128BA9B" w14:textId="7E25059C" w:rsidR="0062462A" w:rsidRDefault="00000000">
      <w:pPr>
        <w:numPr>
          <w:ilvl w:val="0"/>
          <w:numId w:val="1"/>
        </w:numPr>
        <w:spacing w:after="0" w:line="240" w:lineRule="auto"/>
        <w:jc w:val="both"/>
        <w:rPr>
          <w:rFonts w:ascii="Gill Sans MT" w:eastAsia="Calibri" w:hAnsi="Gill Sans MT" w:cs="Gill Sans MT"/>
        </w:rPr>
      </w:pPr>
      <w:r>
        <w:rPr>
          <w:rFonts w:ascii="Gill Sans MT" w:eastAsia="Calibri" w:hAnsi="Gill Sans MT" w:cs="Gill Sans MT"/>
        </w:rPr>
        <w:t xml:space="preserve">Apart from </w:t>
      </w:r>
      <w:r w:rsidR="00650B67">
        <w:rPr>
          <w:rFonts w:ascii="Gill Sans MT" w:eastAsia="Calibri" w:hAnsi="Gill Sans MT" w:cs="Gill Sans MT"/>
        </w:rPr>
        <w:t>non-food</w:t>
      </w:r>
      <w:r>
        <w:rPr>
          <w:rFonts w:ascii="Gill Sans MT" w:eastAsia="Calibri" w:hAnsi="Gill Sans MT" w:cs="Gill Sans MT"/>
        </w:rPr>
        <w:t xml:space="preserve"> items support, there is great need to provide vulnerable refugees with food items and recreation kits for children.</w:t>
      </w:r>
    </w:p>
    <w:p w14:paraId="428BD26E" w14:textId="77777777" w:rsidR="0062462A" w:rsidRDefault="0062462A">
      <w:pPr>
        <w:spacing w:after="0" w:line="240" w:lineRule="auto"/>
        <w:jc w:val="both"/>
        <w:rPr>
          <w:rFonts w:eastAsia="Calibri" w:cstheme="minorHAnsi"/>
        </w:rPr>
      </w:pPr>
    </w:p>
    <w:p w14:paraId="0914A533" w14:textId="77777777" w:rsidR="0062462A" w:rsidRDefault="0062462A">
      <w:pPr>
        <w:spacing w:after="0" w:line="240" w:lineRule="auto"/>
        <w:jc w:val="both"/>
        <w:rPr>
          <w:rFonts w:eastAsia="Calibri" w:cstheme="minorHAnsi"/>
          <w:b/>
          <w:bCs/>
        </w:rPr>
      </w:pPr>
    </w:p>
    <w:p w14:paraId="781243D4" w14:textId="77777777" w:rsidR="0062462A" w:rsidRDefault="0062462A">
      <w:pPr>
        <w:spacing w:after="0" w:line="240" w:lineRule="auto"/>
        <w:jc w:val="both"/>
        <w:rPr>
          <w:rFonts w:eastAsia="Calibri" w:cstheme="minorHAnsi"/>
          <w:b/>
          <w:bCs/>
        </w:rPr>
      </w:pPr>
    </w:p>
    <w:p w14:paraId="6FC125F5" w14:textId="77777777" w:rsidR="0062462A" w:rsidRDefault="0062462A">
      <w:pPr>
        <w:spacing w:after="0" w:line="240" w:lineRule="auto"/>
        <w:jc w:val="both"/>
        <w:rPr>
          <w:rFonts w:eastAsia="Calibri" w:cstheme="minorHAnsi"/>
          <w:b/>
          <w:bCs/>
        </w:rPr>
      </w:pPr>
    </w:p>
    <w:p w14:paraId="5FDA1147" w14:textId="77777777" w:rsidR="0062462A" w:rsidRDefault="0062462A">
      <w:pPr>
        <w:spacing w:after="0" w:line="240" w:lineRule="auto"/>
        <w:jc w:val="both"/>
        <w:rPr>
          <w:rFonts w:eastAsia="Calibri" w:cstheme="minorHAnsi"/>
          <w:b/>
          <w:bCs/>
        </w:rPr>
      </w:pPr>
    </w:p>
    <w:p w14:paraId="4BD5B293" w14:textId="77777777" w:rsidR="0062462A" w:rsidRDefault="0062462A">
      <w:pPr>
        <w:spacing w:after="0" w:line="240" w:lineRule="auto"/>
        <w:jc w:val="both"/>
        <w:rPr>
          <w:rFonts w:eastAsia="Calibri" w:cstheme="minorHAnsi"/>
          <w:b/>
          <w:bCs/>
        </w:rPr>
      </w:pPr>
    </w:p>
    <w:p w14:paraId="60308CD0" w14:textId="77777777" w:rsidR="0062462A" w:rsidRDefault="0062462A">
      <w:pPr>
        <w:spacing w:after="0" w:line="240" w:lineRule="auto"/>
        <w:jc w:val="both"/>
        <w:rPr>
          <w:rFonts w:eastAsia="Calibri" w:cstheme="minorHAnsi"/>
          <w:b/>
          <w:bCs/>
        </w:rPr>
      </w:pPr>
    </w:p>
    <w:p w14:paraId="4196F87B" w14:textId="77777777" w:rsidR="0062462A" w:rsidRDefault="0062462A">
      <w:pPr>
        <w:spacing w:after="0" w:line="240" w:lineRule="auto"/>
        <w:jc w:val="both"/>
        <w:rPr>
          <w:rFonts w:eastAsia="Calibri" w:cstheme="minorHAnsi"/>
          <w:b/>
          <w:bCs/>
        </w:rPr>
      </w:pPr>
    </w:p>
    <w:p w14:paraId="57C75642" w14:textId="77777777" w:rsidR="0062462A" w:rsidRDefault="0062462A">
      <w:pPr>
        <w:spacing w:after="0" w:line="240" w:lineRule="auto"/>
        <w:jc w:val="both"/>
        <w:rPr>
          <w:rFonts w:eastAsia="Calibri" w:cstheme="minorHAnsi"/>
          <w:b/>
          <w:bCs/>
        </w:rPr>
      </w:pPr>
    </w:p>
    <w:p w14:paraId="1544F812" w14:textId="77777777" w:rsidR="0062462A" w:rsidRDefault="0062462A">
      <w:pPr>
        <w:spacing w:after="0" w:line="240" w:lineRule="auto"/>
        <w:jc w:val="both"/>
        <w:rPr>
          <w:rFonts w:eastAsia="Calibri" w:cstheme="minorHAnsi"/>
          <w:b/>
          <w:bCs/>
        </w:rPr>
      </w:pPr>
    </w:p>
    <w:p w14:paraId="11ED9911" w14:textId="77777777" w:rsidR="0062462A" w:rsidRDefault="0062462A">
      <w:pPr>
        <w:spacing w:after="0" w:line="240" w:lineRule="auto"/>
        <w:jc w:val="both"/>
        <w:rPr>
          <w:rFonts w:eastAsia="Calibri" w:cstheme="minorHAnsi"/>
          <w:b/>
          <w:bCs/>
        </w:rPr>
      </w:pPr>
    </w:p>
    <w:p w14:paraId="6315E270" w14:textId="77777777" w:rsidR="0062462A" w:rsidRDefault="0062462A">
      <w:pPr>
        <w:spacing w:after="0" w:line="240" w:lineRule="auto"/>
        <w:jc w:val="both"/>
        <w:rPr>
          <w:rFonts w:eastAsia="Calibri" w:cstheme="minorHAnsi"/>
          <w:b/>
          <w:bCs/>
        </w:rPr>
      </w:pPr>
    </w:p>
    <w:p w14:paraId="599CC48B" w14:textId="77777777" w:rsidR="0062462A" w:rsidRDefault="0062462A">
      <w:pPr>
        <w:spacing w:after="0" w:line="240" w:lineRule="auto"/>
        <w:jc w:val="both"/>
        <w:rPr>
          <w:rFonts w:eastAsia="Calibri" w:cstheme="minorHAnsi"/>
          <w:b/>
          <w:bCs/>
        </w:rPr>
      </w:pPr>
    </w:p>
    <w:p w14:paraId="6E2CEAE0" w14:textId="77777777" w:rsidR="0062462A" w:rsidRDefault="0062462A">
      <w:pPr>
        <w:spacing w:after="0" w:line="240" w:lineRule="auto"/>
        <w:jc w:val="both"/>
        <w:rPr>
          <w:rFonts w:eastAsia="Calibri" w:cstheme="minorHAnsi"/>
          <w:b/>
          <w:bCs/>
        </w:rPr>
      </w:pPr>
    </w:p>
    <w:p w14:paraId="4C3B802C" w14:textId="77777777" w:rsidR="0062462A" w:rsidRDefault="0062462A">
      <w:pPr>
        <w:spacing w:after="0" w:line="240" w:lineRule="auto"/>
        <w:jc w:val="both"/>
        <w:rPr>
          <w:rFonts w:eastAsia="Calibri" w:cstheme="minorHAnsi"/>
          <w:b/>
          <w:bCs/>
        </w:rPr>
      </w:pPr>
    </w:p>
    <w:p w14:paraId="21B0E7EF" w14:textId="77777777" w:rsidR="0062462A" w:rsidRDefault="0062462A">
      <w:pPr>
        <w:spacing w:after="0" w:line="240" w:lineRule="auto"/>
        <w:jc w:val="both"/>
        <w:rPr>
          <w:rFonts w:eastAsia="Calibri" w:cstheme="minorHAnsi"/>
          <w:b/>
          <w:bCs/>
        </w:rPr>
      </w:pPr>
    </w:p>
    <w:p w14:paraId="1ABE8E66" w14:textId="77777777" w:rsidR="0062462A" w:rsidRDefault="0062462A">
      <w:pPr>
        <w:spacing w:after="0" w:line="240" w:lineRule="auto"/>
        <w:jc w:val="both"/>
        <w:rPr>
          <w:rFonts w:eastAsia="Calibri" w:cstheme="minorHAnsi"/>
          <w:b/>
          <w:bCs/>
        </w:rPr>
      </w:pPr>
    </w:p>
    <w:p w14:paraId="1B6998FA" w14:textId="77777777" w:rsidR="0062462A" w:rsidRDefault="0062462A">
      <w:pPr>
        <w:spacing w:after="0" w:line="240" w:lineRule="auto"/>
        <w:jc w:val="both"/>
        <w:rPr>
          <w:rFonts w:eastAsia="Calibri" w:cstheme="minorHAnsi"/>
          <w:b/>
          <w:bCs/>
        </w:rPr>
      </w:pPr>
    </w:p>
    <w:p w14:paraId="3D1E71F5" w14:textId="77777777" w:rsidR="0062462A" w:rsidRDefault="0062462A">
      <w:pPr>
        <w:spacing w:after="0" w:line="240" w:lineRule="auto"/>
        <w:jc w:val="both"/>
        <w:rPr>
          <w:rFonts w:eastAsia="Calibri" w:cstheme="minorHAnsi"/>
          <w:b/>
          <w:bCs/>
        </w:rPr>
      </w:pPr>
    </w:p>
    <w:p w14:paraId="54069440" w14:textId="77777777" w:rsidR="0062462A" w:rsidRDefault="0062462A">
      <w:pPr>
        <w:spacing w:after="0" w:line="240" w:lineRule="auto"/>
        <w:jc w:val="both"/>
        <w:rPr>
          <w:rFonts w:eastAsia="Calibri" w:cstheme="minorHAnsi"/>
          <w:b/>
          <w:bCs/>
        </w:rPr>
      </w:pPr>
    </w:p>
    <w:p w14:paraId="1B7249B2" w14:textId="77777777" w:rsidR="0062462A" w:rsidRDefault="0062462A">
      <w:pPr>
        <w:spacing w:after="0" w:line="240" w:lineRule="auto"/>
        <w:jc w:val="both"/>
        <w:rPr>
          <w:rFonts w:eastAsia="Calibri" w:cstheme="minorHAnsi"/>
          <w:b/>
          <w:bCs/>
        </w:rPr>
      </w:pPr>
    </w:p>
    <w:p w14:paraId="0A820177" w14:textId="77777777" w:rsidR="0062462A" w:rsidRDefault="0062462A">
      <w:pPr>
        <w:spacing w:after="0" w:line="240" w:lineRule="auto"/>
        <w:jc w:val="both"/>
        <w:rPr>
          <w:rFonts w:eastAsia="Calibri" w:cstheme="minorHAnsi"/>
          <w:b/>
          <w:bCs/>
        </w:rPr>
      </w:pPr>
    </w:p>
    <w:p w14:paraId="387EF6DE" w14:textId="77777777" w:rsidR="0062462A" w:rsidRDefault="00000000">
      <w:pPr>
        <w:spacing w:after="0" w:line="240" w:lineRule="auto"/>
        <w:jc w:val="both"/>
        <w:rPr>
          <w:rFonts w:eastAsia="Calibri" w:cstheme="minorHAnsi"/>
          <w:b/>
          <w:bCs/>
        </w:rPr>
      </w:pPr>
      <w:r>
        <w:rPr>
          <w:rFonts w:eastAsia="Calibri" w:cstheme="minorHAnsi"/>
          <w:b/>
          <w:bCs/>
        </w:rPr>
        <w:t>5.4: Photographs.</w:t>
      </w:r>
    </w:p>
    <w:p w14:paraId="79D164CF" w14:textId="77777777" w:rsidR="0062462A" w:rsidRDefault="0062462A">
      <w:pPr>
        <w:spacing w:after="0" w:line="240" w:lineRule="auto"/>
        <w:jc w:val="both"/>
        <w:rPr>
          <w:rFonts w:eastAsia="Calibri" w:cstheme="minorHAnsi"/>
        </w:rPr>
      </w:pPr>
    </w:p>
    <w:tbl>
      <w:tblPr>
        <w:tblStyle w:val="TableGrid"/>
        <w:tblW w:w="9851" w:type="dxa"/>
        <w:tblLook w:val="04A0" w:firstRow="1" w:lastRow="0" w:firstColumn="1" w:lastColumn="0" w:noHBand="0" w:noVBand="1"/>
      </w:tblPr>
      <w:tblGrid>
        <w:gridCol w:w="9851"/>
      </w:tblGrid>
      <w:tr w:rsidR="0062462A" w14:paraId="456011C9" w14:textId="77777777">
        <w:tc>
          <w:tcPr>
            <w:tcW w:w="9851" w:type="dxa"/>
          </w:tcPr>
          <w:p w14:paraId="711541F2" w14:textId="77777777" w:rsidR="0062462A" w:rsidRDefault="00000000">
            <w:pPr>
              <w:pStyle w:val="NormalWeb"/>
            </w:pPr>
            <w:r>
              <w:rPr>
                <w:rFonts w:ascii="SimSun" w:hAnsi="SimSun" w:cs="SimSun"/>
                <w:noProof/>
              </w:rPr>
              <w:drawing>
                <wp:inline distT="0" distB="0" distL="114300" distR="114300" wp14:anchorId="6443C8D2" wp14:editId="177C01EC">
                  <wp:extent cx="304800" cy="304800"/>
                  <wp:effectExtent l="0" t="0" r="0" b="0"/>
                  <wp:docPr id="7"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IMG_256"/>
                          <pic:cNvPicPr>
                            <a:picLocks noChangeAspect="1"/>
                          </pic:cNvPicPr>
                        </pic:nvPicPr>
                        <pic:blipFill>
                          <a:blip r:embed="rId10"/>
                          <a:stretch>
                            <a:fillRect/>
                          </a:stretch>
                        </pic:blipFill>
                        <pic:spPr>
                          <a:xfrm>
                            <a:off x="0" y="0"/>
                            <a:ext cx="304800" cy="304800"/>
                          </a:xfrm>
                          <a:prstGeom prst="rect">
                            <a:avLst/>
                          </a:prstGeom>
                          <a:noFill/>
                          <a:ln w="9525">
                            <a:noFill/>
                          </a:ln>
                        </pic:spPr>
                      </pic:pic>
                    </a:graphicData>
                  </a:graphic>
                </wp:inline>
              </w:drawing>
            </w:r>
            <w:r>
              <w:rPr>
                <w:noProof/>
              </w:rPr>
              <w:drawing>
                <wp:inline distT="0" distB="0" distL="114300" distR="114300" wp14:anchorId="0B628837" wp14:editId="5E105269">
                  <wp:extent cx="5841365" cy="3102610"/>
                  <wp:effectExtent l="0" t="0" r="6985" b="2540"/>
                  <wp:docPr id="8"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IMG_256"/>
                          <pic:cNvPicPr>
                            <a:picLocks noChangeAspect="1"/>
                          </pic:cNvPicPr>
                        </pic:nvPicPr>
                        <pic:blipFill>
                          <a:blip r:embed="rId11"/>
                          <a:stretch>
                            <a:fillRect/>
                          </a:stretch>
                        </pic:blipFill>
                        <pic:spPr>
                          <a:xfrm>
                            <a:off x="0" y="0"/>
                            <a:ext cx="5841365" cy="3102610"/>
                          </a:xfrm>
                          <a:prstGeom prst="rect">
                            <a:avLst/>
                          </a:prstGeom>
                          <a:noFill/>
                          <a:ln w="9525">
                            <a:noFill/>
                          </a:ln>
                        </pic:spPr>
                      </pic:pic>
                    </a:graphicData>
                  </a:graphic>
                </wp:inline>
              </w:drawing>
            </w:r>
          </w:p>
          <w:p w14:paraId="578FDEB8" w14:textId="77777777" w:rsidR="0062462A" w:rsidRDefault="00000000">
            <w:pPr>
              <w:pStyle w:val="NormalWeb"/>
              <w:rPr>
                <w:rFonts w:ascii="Palatino Linotype" w:hAnsi="Palatino Linotype" w:cs="Palatino Linotype"/>
                <w:bCs/>
                <w:sz w:val="21"/>
                <w:szCs w:val="21"/>
              </w:rPr>
            </w:pPr>
            <w:r>
              <w:rPr>
                <w:rFonts w:ascii="Palatino Linotype" w:hAnsi="Palatino Linotype" w:cs="Palatino Linotype"/>
                <w:b/>
                <w:sz w:val="21"/>
                <w:szCs w:val="21"/>
              </w:rPr>
              <w:t>Photo: 1</w:t>
            </w:r>
            <w:r>
              <w:rPr>
                <w:rFonts w:ascii="Palatino Linotype" w:hAnsi="Palatino Linotype" w:cs="Palatino Linotype"/>
                <w:bCs/>
                <w:sz w:val="21"/>
                <w:szCs w:val="21"/>
              </w:rPr>
              <w:t xml:space="preserve">   </w:t>
            </w:r>
            <w:r>
              <w:rPr>
                <w:rFonts w:ascii="Palatino Linotype" w:hAnsi="Palatino Linotype" w:cs="Palatino Linotype"/>
                <w:b/>
                <w:sz w:val="21"/>
                <w:szCs w:val="21"/>
              </w:rPr>
              <w:t xml:space="preserve">Date Taken: </w:t>
            </w:r>
            <w:r>
              <w:rPr>
                <w:rFonts w:ascii="Palatino Linotype" w:hAnsi="Palatino Linotype" w:cs="Palatino Linotype"/>
                <w:bCs/>
                <w:sz w:val="21"/>
                <w:szCs w:val="21"/>
              </w:rPr>
              <w:t xml:space="preserve">23/10/2024   </w:t>
            </w:r>
            <w:r>
              <w:rPr>
                <w:rFonts w:ascii="Palatino Linotype" w:hAnsi="Palatino Linotype" w:cs="Palatino Linotype"/>
                <w:b/>
                <w:sz w:val="21"/>
                <w:szCs w:val="21"/>
              </w:rPr>
              <w:t xml:space="preserve">Photographer: Desmond Tut       Description: </w:t>
            </w:r>
            <w:r>
              <w:rPr>
                <w:rFonts w:ascii="Palatino Linotype" w:hAnsi="Palatino Linotype" w:cs="Palatino Linotype"/>
                <w:bCs/>
                <w:sz w:val="21"/>
                <w:szCs w:val="21"/>
              </w:rPr>
              <w:t>Some of the refugees who received NFIs support at Gorom Refugee Camp</w:t>
            </w:r>
          </w:p>
        </w:tc>
      </w:tr>
      <w:tr w:rsidR="0062462A" w14:paraId="6C527496" w14:textId="77777777">
        <w:tc>
          <w:tcPr>
            <w:tcW w:w="9851" w:type="dxa"/>
          </w:tcPr>
          <w:p w14:paraId="119716CD" w14:textId="77777777" w:rsidR="0062462A" w:rsidRDefault="0062462A">
            <w:pPr>
              <w:rPr>
                <w:rFonts w:ascii="Palatino Linotype" w:hAnsi="Palatino Linotype" w:cs="Palatino Linotype"/>
                <w:bCs/>
                <w:sz w:val="21"/>
                <w:szCs w:val="21"/>
              </w:rPr>
            </w:pPr>
          </w:p>
        </w:tc>
      </w:tr>
      <w:tr w:rsidR="0062462A" w14:paraId="622CA223" w14:textId="77777777">
        <w:tc>
          <w:tcPr>
            <w:tcW w:w="9851" w:type="dxa"/>
          </w:tcPr>
          <w:p w14:paraId="324F8E96" w14:textId="77777777" w:rsidR="0062462A" w:rsidRDefault="00000000">
            <w:pPr>
              <w:pStyle w:val="NormalWeb"/>
            </w:pPr>
            <w:r>
              <w:rPr>
                <w:noProof/>
              </w:rPr>
              <w:drawing>
                <wp:inline distT="0" distB="0" distL="114300" distR="114300" wp14:anchorId="33367B55" wp14:editId="4C264904">
                  <wp:extent cx="5077460" cy="2693670"/>
                  <wp:effectExtent l="0" t="0" r="8890" b="11430"/>
                  <wp:docPr id="9"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IMG_256"/>
                          <pic:cNvPicPr>
                            <a:picLocks noChangeAspect="1"/>
                          </pic:cNvPicPr>
                        </pic:nvPicPr>
                        <pic:blipFill>
                          <a:blip r:embed="rId12"/>
                          <a:stretch>
                            <a:fillRect/>
                          </a:stretch>
                        </pic:blipFill>
                        <pic:spPr>
                          <a:xfrm>
                            <a:off x="0" y="0"/>
                            <a:ext cx="5077460" cy="2693670"/>
                          </a:xfrm>
                          <a:prstGeom prst="rect">
                            <a:avLst/>
                          </a:prstGeom>
                          <a:noFill/>
                          <a:ln w="9525">
                            <a:noFill/>
                          </a:ln>
                        </pic:spPr>
                      </pic:pic>
                    </a:graphicData>
                  </a:graphic>
                </wp:inline>
              </w:drawing>
            </w:r>
          </w:p>
          <w:p w14:paraId="311DE024" w14:textId="581F2B14" w:rsidR="0062462A" w:rsidRDefault="00000000">
            <w:pPr>
              <w:pStyle w:val="NormalWeb"/>
              <w:rPr>
                <w:rFonts w:cstheme="minorHAnsi"/>
              </w:rPr>
            </w:pPr>
            <w:r>
              <w:rPr>
                <w:rFonts w:ascii="Palatino Linotype" w:hAnsi="Palatino Linotype" w:cs="Palatino Linotype"/>
                <w:b/>
                <w:sz w:val="21"/>
                <w:szCs w:val="21"/>
              </w:rPr>
              <w:t xml:space="preserve">Photo: </w:t>
            </w:r>
            <w:r w:rsidR="00650B67">
              <w:rPr>
                <w:rFonts w:ascii="Palatino Linotype" w:hAnsi="Palatino Linotype" w:cs="Palatino Linotype"/>
                <w:b/>
                <w:sz w:val="21"/>
                <w:szCs w:val="21"/>
              </w:rPr>
              <w:t>3</w:t>
            </w:r>
            <w:r w:rsidR="00650B67">
              <w:rPr>
                <w:rFonts w:ascii="Palatino Linotype" w:hAnsi="Palatino Linotype" w:cs="Palatino Linotype"/>
                <w:bCs/>
                <w:sz w:val="21"/>
                <w:szCs w:val="21"/>
              </w:rPr>
              <w:t>:</w:t>
            </w:r>
            <w:r>
              <w:rPr>
                <w:rFonts w:ascii="Palatino Linotype" w:hAnsi="Palatino Linotype" w:cs="Palatino Linotype"/>
                <w:bCs/>
                <w:sz w:val="21"/>
                <w:szCs w:val="21"/>
              </w:rPr>
              <w:t xml:space="preserve"> </w:t>
            </w:r>
            <w:r>
              <w:rPr>
                <w:rFonts w:ascii="Palatino Linotype" w:hAnsi="Palatino Linotype" w:cs="Palatino Linotype"/>
                <w:b/>
                <w:sz w:val="21"/>
                <w:szCs w:val="21"/>
              </w:rPr>
              <w:t xml:space="preserve">Date Taken: </w:t>
            </w:r>
            <w:r>
              <w:rPr>
                <w:rFonts w:ascii="Palatino Linotype" w:hAnsi="Palatino Linotype" w:cs="Palatino Linotype"/>
                <w:bCs/>
                <w:sz w:val="21"/>
                <w:szCs w:val="21"/>
              </w:rPr>
              <w:t>23/10/2024  :</w:t>
            </w:r>
            <w:r>
              <w:rPr>
                <w:rFonts w:ascii="Palatino Linotype" w:hAnsi="Palatino Linotype" w:cs="Palatino Linotype"/>
                <w:b/>
                <w:sz w:val="21"/>
                <w:szCs w:val="21"/>
              </w:rPr>
              <w:t>Photographer</w:t>
            </w:r>
            <w:r w:rsidR="00650B67">
              <w:rPr>
                <w:rFonts w:ascii="Palatino Linotype" w:hAnsi="Palatino Linotype" w:cs="Palatino Linotype"/>
                <w:b/>
                <w:sz w:val="21"/>
                <w:szCs w:val="21"/>
              </w:rPr>
              <w:t>: Desmond</w:t>
            </w:r>
            <w:r>
              <w:rPr>
                <w:rFonts w:ascii="Palatino Linotype" w:hAnsi="Palatino Linotype" w:cs="Palatino Linotype"/>
                <w:bCs/>
                <w:sz w:val="21"/>
                <w:szCs w:val="21"/>
              </w:rPr>
              <w:t xml:space="preserve"> Tut   </w:t>
            </w:r>
            <w:r>
              <w:rPr>
                <w:rFonts w:ascii="Palatino Linotype" w:hAnsi="Palatino Linotype" w:cs="Palatino Linotype"/>
                <w:b/>
                <w:sz w:val="21"/>
                <w:szCs w:val="21"/>
              </w:rPr>
              <w:t xml:space="preserve">Location: </w:t>
            </w:r>
            <w:r>
              <w:rPr>
                <w:rFonts w:ascii="Palatino Linotype" w:hAnsi="Palatino Linotype" w:cs="Palatino Linotype"/>
                <w:bCs/>
                <w:sz w:val="21"/>
                <w:szCs w:val="21"/>
              </w:rPr>
              <w:t>Offloading the NFIs items for prepositioning at the Gorom Refugee Camp</w:t>
            </w:r>
          </w:p>
        </w:tc>
      </w:tr>
      <w:tr w:rsidR="0062462A" w14:paraId="3296C66C" w14:textId="77777777">
        <w:tc>
          <w:tcPr>
            <w:tcW w:w="9851" w:type="dxa"/>
          </w:tcPr>
          <w:p w14:paraId="6555097B" w14:textId="77777777" w:rsidR="0062462A" w:rsidRDefault="0062462A">
            <w:pPr>
              <w:spacing w:after="0" w:line="240" w:lineRule="auto"/>
              <w:jc w:val="both"/>
              <w:rPr>
                <w:rFonts w:eastAsia="Calibri" w:cstheme="minorHAnsi"/>
              </w:rPr>
            </w:pPr>
          </w:p>
          <w:p w14:paraId="0A599BB0" w14:textId="77777777" w:rsidR="0062462A" w:rsidRDefault="00000000">
            <w:pPr>
              <w:pStyle w:val="NormalWeb"/>
            </w:pPr>
            <w:r>
              <w:rPr>
                <w:noProof/>
              </w:rPr>
              <w:drawing>
                <wp:inline distT="0" distB="0" distL="114300" distR="114300" wp14:anchorId="73CBEFD3" wp14:editId="71BC5587">
                  <wp:extent cx="5631180" cy="2987675"/>
                  <wp:effectExtent l="0" t="0" r="7620" b="3175"/>
                  <wp:docPr id="10"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IMG_256"/>
                          <pic:cNvPicPr>
                            <a:picLocks noChangeAspect="1"/>
                          </pic:cNvPicPr>
                        </pic:nvPicPr>
                        <pic:blipFill>
                          <a:blip r:embed="rId13"/>
                          <a:stretch>
                            <a:fillRect/>
                          </a:stretch>
                        </pic:blipFill>
                        <pic:spPr>
                          <a:xfrm>
                            <a:off x="0" y="0"/>
                            <a:ext cx="5631180" cy="2987675"/>
                          </a:xfrm>
                          <a:prstGeom prst="rect">
                            <a:avLst/>
                          </a:prstGeom>
                          <a:noFill/>
                          <a:ln w="9525">
                            <a:noFill/>
                          </a:ln>
                        </pic:spPr>
                      </pic:pic>
                    </a:graphicData>
                  </a:graphic>
                </wp:inline>
              </w:drawing>
            </w:r>
          </w:p>
          <w:p w14:paraId="2AB666E9" w14:textId="2E93DBC5" w:rsidR="0062462A" w:rsidRDefault="00000000">
            <w:pPr>
              <w:pStyle w:val="NormalWeb"/>
              <w:rPr>
                <w:rFonts w:ascii="Palatino Linotype" w:hAnsi="Palatino Linotype" w:cs="Palatino Linotype"/>
                <w:bCs/>
                <w:sz w:val="21"/>
                <w:szCs w:val="21"/>
              </w:rPr>
            </w:pPr>
            <w:r>
              <w:rPr>
                <w:rFonts w:ascii="Palatino Linotype" w:hAnsi="Palatino Linotype" w:cs="Palatino Linotype"/>
                <w:b/>
                <w:sz w:val="21"/>
                <w:szCs w:val="21"/>
              </w:rPr>
              <w:t>Photo: 3</w:t>
            </w:r>
            <w:r>
              <w:rPr>
                <w:rFonts w:ascii="Palatino Linotype" w:hAnsi="Palatino Linotype" w:cs="Palatino Linotype"/>
                <w:bCs/>
                <w:sz w:val="21"/>
                <w:szCs w:val="21"/>
              </w:rPr>
              <w:t xml:space="preserve">   </w:t>
            </w:r>
            <w:r>
              <w:rPr>
                <w:rFonts w:ascii="Palatino Linotype" w:hAnsi="Palatino Linotype" w:cs="Palatino Linotype"/>
                <w:b/>
                <w:sz w:val="21"/>
                <w:szCs w:val="21"/>
              </w:rPr>
              <w:t xml:space="preserve">Date Taken: </w:t>
            </w:r>
            <w:r>
              <w:rPr>
                <w:rFonts w:ascii="Palatino Linotype" w:hAnsi="Palatino Linotype" w:cs="Palatino Linotype"/>
                <w:bCs/>
                <w:sz w:val="21"/>
                <w:szCs w:val="21"/>
              </w:rPr>
              <w:t xml:space="preserve">23/10/2024   </w:t>
            </w:r>
            <w:r>
              <w:rPr>
                <w:rFonts w:ascii="Palatino Linotype" w:hAnsi="Palatino Linotype" w:cs="Palatino Linotype"/>
                <w:b/>
                <w:sz w:val="21"/>
                <w:szCs w:val="21"/>
              </w:rPr>
              <w:t xml:space="preserve">Photographer: </w:t>
            </w:r>
            <w:r>
              <w:rPr>
                <w:rFonts w:ascii="Palatino Linotype" w:hAnsi="Palatino Linotype" w:cs="Palatino Linotype"/>
                <w:bCs/>
                <w:sz w:val="21"/>
                <w:szCs w:val="21"/>
              </w:rPr>
              <w:t xml:space="preserve">Desmond </w:t>
            </w:r>
            <w:r w:rsidR="00650B67">
              <w:rPr>
                <w:rFonts w:ascii="Palatino Linotype" w:hAnsi="Palatino Linotype" w:cs="Palatino Linotype"/>
                <w:bCs/>
                <w:sz w:val="21"/>
                <w:szCs w:val="21"/>
              </w:rPr>
              <w:t>Tut Description</w:t>
            </w:r>
            <w:r>
              <w:rPr>
                <w:rFonts w:ascii="Palatino Linotype" w:hAnsi="Palatino Linotype" w:cs="Palatino Linotype"/>
                <w:b/>
                <w:sz w:val="21"/>
                <w:szCs w:val="21"/>
              </w:rPr>
              <w:t xml:space="preserve">: </w:t>
            </w:r>
            <w:r>
              <w:rPr>
                <w:rFonts w:ascii="Palatino Linotype" w:hAnsi="Palatino Linotype" w:cs="Palatino Linotype"/>
                <w:bCs/>
                <w:sz w:val="21"/>
                <w:szCs w:val="21"/>
              </w:rPr>
              <w:t>Some of the beneficiaries pose with their items at the Gorom Refugee Camp</w:t>
            </w:r>
          </w:p>
        </w:tc>
      </w:tr>
    </w:tbl>
    <w:p w14:paraId="5D46E58A" w14:textId="77777777" w:rsidR="0062462A" w:rsidRDefault="0062462A">
      <w:pPr>
        <w:spacing w:after="0" w:line="240" w:lineRule="auto"/>
        <w:jc w:val="both"/>
        <w:rPr>
          <w:rFonts w:eastAsia="Calibri" w:cstheme="minorHAnsi"/>
        </w:rPr>
      </w:pPr>
    </w:p>
    <w:p w14:paraId="03E0C3D7" w14:textId="77777777" w:rsidR="0062462A" w:rsidRDefault="0062462A">
      <w:pPr>
        <w:spacing w:after="0" w:line="240" w:lineRule="auto"/>
        <w:jc w:val="both"/>
        <w:rPr>
          <w:rFonts w:eastAsia="Calibri" w:cstheme="minorHAnsi"/>
        </w:rPr>
      </w:pPr>
    </w:p>
    <w:p w14:paraId="60C5C760" w14:textId="77777777" w:rsidR="0062462A" w:rsidRDefault="0062462A">
      <w:pPr>
        <w:spacing w:after="0" w:line="240" w:lineRule="auto"/>
        <w:jc w:val="both"/>
        <w:rPr>
          <w:rFonts w:eastAsia="Calibri" w:cstheme="minorHAnsi"/>
          <w:b/>
          <w:bCs/>
        </w:rPr>
      </w:pPr>
    </w:p>
    <w:p w14:paraId="1E7E9787" w14:textId="77777777" w:rsidR="0062462A" w:rsidRDefault="0062462A">
      <w:pPr>
        <w:spacing w:after="0" w:line="240" w:lineRule="auto"/>
        <w:jc w:val="both"/>
        <w:rPr>
          <w:rFonts w:eastAsia="Calibri" w:cstheme="minorHAnsi"/>
          <w:b/>
          <w:bCs/>
        </w:rPr>
      </w:pPr>
    </w:p>
    <w:p w14:paraId="7987CDDD" w14:textId="77777777" w:rsidR="0062462A" w:rsidRDefault="0062462A">
      <w:pPr>
        <w:spacing w:after="0" w:line="240" w:lineRule="auto"/>
        <w:jc w:val="both"/>
        <w:rPr>
          <w:rFonts w:eastAsia="Calibri" w:cstheme="minorHAnsi"/>
        </w:rPr>
      </w:pPr>
    </w:p>
    <w:p w14:paraId="69F17D7C" w14:textId="77777777" w:rsidR="0062462A" w:rsidRDefault="0062462A">
      <w:pPr>
        <w:spacing w:after="0" w:line="240" w:lineRule="auto"/>
        <w:jc w:val="both"/>
        <w:rPr>
          <w:rFonts w:eastAsia="Calibri" w:cstheme="minorHAnsi"/>
        </w:rPr>
      </w:pPr>
    </w:p>
    <w:p w14:paraId="7067F4F5" w14:textId="77777777" w:rsidR="0062462A" w:rsidRDefault="0062462A">
      <w:pPr>
        <w:spacing w:after="0" w:line="240" w:lineRule="auto"/>
        <w:jc w:val="both"/>
        <w:rPr>
          <w:rFonts w:eastAsia="Calibri" w:cstheme="minorHAnsi"/>
        </w:rPr>
      </w:pPr>
    </w:p>
    <w:p w14:paraId="5F2D3EF5" w14:textId="77777777" w:rsidR="0062462A" w:rsidRDefault="0062462A">
      <w:pPr>
        <w:spacing w:after="0" w:line="240" w:lineRule="auto"/>
        <w:jc w:val="both"/>
        <w:rPr>
          <w:rFonts w:eastAsia="Calibri" w:cstheme="minorHAnsi"/>
        </w:rPr>
      </w:pPr>
    </w:p>
    <w:p w14:paraId="65D522D4" w14:textId="77777777" w:rsidR="0062462A" w:rsidRDefault="0062462A">
      <w:pPr>
        <w:spacing w:after="0" w:line="240" w:lineRule="auto"/>
        <w:jc w:val="both"/>
        <w:rPr>
          <w:rFonts w:eastAsia="Calibri" w:cstheme="minorHAnsi"/>
        </w:rPr>
      </w:pPr>
    </w:p>
    <w:p w14:paraId="3CA61973" w14:textId="77777777" w:rsidR="0062462A" w:rsidRDefault="0062462A">
      <w:pPr>
        <w:spacing w:after="0" w:line="240" w:lineRule="auto"/>
        <w:jc w:val="both"/>
        <w:rPr>
          <w:rFonts w:eastAsia="Calibri" w:cstheme="minorHAnsi"/>
          <w:lang w:val="en-GB"/>
        </w:rPr>
      </w:pPr>
    </w:p>
    <w:p w14:paraId="4B2B22F9" w14:textId="77777777" w:rsidR="0062462A" w:rsidRDefault="00000000">
      <w:pPr>
        <w:spacing w:after="0" w:line="240" w:lineRule="auto"/>
        <w:jc w:val="both"/>
        <w:rPr>
          <w:rFonts w:eastAsia="Calibri" w:cstheme="minorHAnsi"/>
          <w:lang w:val="en-GB"/>
        </w:rPr>
      </w:pPr>
      <w:r>
        <w:rPr>
          <w:rFonts w:eastAsia="Calibri" w:cstheme="minorHAnsi"/>
          <w:lang w:val="en-GB"/>
        </w:rPr>
        <w:t xml:space="preserve"> </w:t>
      </w:r>
    </w:p>
    <w:p w14:paraId="50E98E43" w14:textId="77777777" w:rsidR="0062462A" w:rsidRDefault="00000000">
      <w:pPr>
        <w:rPr>
          <w:rFonts w:ascii="Gill Sans MT" w:hAnsi="Gill Sans MT" w:cs="Gill Sans MT"/>
          <w:b/>
          <w:bCs/>
          <w:color w:val="000000" w:themeColor="text1"/>
          <w:shd w:val="clear" w:color="auto" w:fill="FFFFFF"/>
        </w:rPr>
      </w:pPr>
      <w:r>
        <w:rPr>
          <w:rFonts w:ascii="Gill Sans MT" w:hAnsi="Gill Sans MT" w:cs="Gill Sans MT"/>
          <w:color w:val="000000" w:themeColor="text1"/>
          <w:shd w:val="clear" w:color="auto" w:fill="FFFFFF"/>
        </w:rPr>
        <w:t xml:space="preserve">  </w:t>
      </w:r>
      <w:r>
        <w:rPr>
          <w:rFonts w:ascii="Gill Sans MT" w:hAnsi="Gill Sans MT" w:cs="Gill Sans MT"/>
          <w:b/>
          <w:bCs/>
          <w:color w:val="000000" w:themeColor="text1"/>
          <w:shd w:val="clear" w:color="auto" w:fill="FFFFFF"/>
        </w:rPr>
        <w:t xml:space="preserve">  </w:t>
      </w:r>
    </w:p>
    <w:p w14:paraId="2B037815" w14:textId="77777777" w:rsidR="0062462A" w:rsidRDefault="0062462A">
      <w:pPr>
        <w:rPr>
          <w:rFonts w:ascii="Gill Sans MT" w:hAnsi="Gill Sans MT" w:cs="Gill Sans MT"/>
          <w:b/>
          <w:bCs/>
          <w:color w:val="000000" w:themeColor="text1"/>
          <w:shd w:val="clear" w:color="auto" w:fill="FFFFFF"/>
        </w:rPr>
      </w:pPr>
    </w:p>
    <w:sectPr w:rsidR="006246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87812" w14:textId="77777777" w:rsidR="00433597" w:rsidRDefault="00433597">
      <w:pPr>
        <w:spacing w:line="240" w:lineRule="auto"/>
      </w:pPr>
      <w:r>
        <w:separator/>
      </w:r>
    </w:p>
  </w:endnote>
  <w:endnote w:type="continuationSeparator" w:id="0">
    <w:p w14:paraId="50591175" w14:textId="77777777" w:rsidR="00433597" w:rsidRDefault="004335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BBD30" w14:textId="77777777" w:rsidR="00433597" w:rsidRDefault="00433597">
      <w:pPr>
        <w:spacing w:after="0"/>
      </w:pPr>
      <w:r>
        <w:separator/>
      </w:r>
    </w:p>
  </w:footnote>
  <w:footnote w:type="continuationSeparator" w:id="0">
    <w:p w14:paraId="3D83D748" w14:textId="77777777" w:rsidR="00433597" w:rsidRDefault="004335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A3D248"/>
    <w:multiLevelType w:val="singleLevel"/>
    <w:tmpl w:val="85A3D248"/>
    <w:lvl w:ilvl="0">
      <w:start w:val="1"/>
      <w:numFmt w:val="bullet"/>
      <w:lvlText w:val=""/>
      <w:lvlJc w:val="left"/>
      <w:pPr>
        <w:tabs>
          <w:tab w:val="left" w:pos="420"/>
        </w:tabs>
        <w:ind w:left="420" w:hanging="420"/>
      </w:pPr>
      <w:rPr>
        <w:rFonts w:ascii="Wingdings" w:hAnsi="Wingdings" w:hint="default"/>
      </w:rPr>
    </w:lvl>
  </w:abstractNum>
  <w:num w:numId="1" w16cid:durableId="1860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A7D"/>
    <w:rsid w:val="00030753"/>
    <w:rsid w:val="00065270"/>
    <w:rsid w:val="001E0EC7"/>
    <w:rsid w:val="002A2191"/>
    <w:rsid w:val="002E5907"/>
    <w:rsid w:val="00396F85"/>
    <w:rsid w:val="00433597"/>
    <w:rsid w:val="00510CBA"/>
    <w:rsid w:val="00523257"/>
    <w:rsid w:val="00592272"/>
    <w:rsid w:val="0062462A"/>
    <w:rsid w:val="00650B67"/>
    <w:rsid w:val="006C5364"/>
    <w:rsid w:val="007F7A4E"/>
    <w:rsid w:val="0089190A"/>
    <w:rsid w:val="00943661"/>
    <w:rsid w:val="00972CFF"/>
    <w:rsid w:val="00AF1C9B"/>
    <w:rsid w:val="00C74A80"/>
    <w:rsid w:val="00CA3A7D"/>
    <w:rsid w:val="00D80CC3"/>
    <w:rsid w:val="00E24E9E"/>
    <w:rsid w:val="08254476"/>
    <w:rsid w:val="08313B80"/>
    <w:rsid w:val="094F1BCE"/>
    <w:rsid w:val="193B3A72"/>
    <w:rsid w:val="1AF1078A"/>
    <w:rsid w:val="1C7B464A"/>
    <w:rsid w:val="207238D7"/>
    <w:rsid w:val="2C580F62"/>
    <w:rsid w:val="364B26CF"/>
    <w:rsid w:val="3E84427E"/>
    <w:rsid w:val="3FF364BC"/>
    <w:rsid w:val="40053F18"/>
    <w:rsid w:val="406903B9"/>
    <w:rsid w:val="47C74657"/>
    <w:rsid w:val="49C16E0C"/>
    <w:rsid w:val="4A193E29"/>
    <w:rsid w:val="4EF90DB1"/>
    <w:rsid w:val="50312BD7"/>
    <w:rsid w:val="50971C6B"/>
    <w:rsid w:val="51FF62D0"/>
    <w:rsid w:val="57F731DF"/>
    <w:rsid w:val="5D4F0C7B"/>
    <w:rsid w:val="5E8575A0"/>
    <w:rsid w:val="651035BB"/>
    <w:rsid w:val="67E9310A"/>
    <w:rsid w:val="6DCF4226"/>
    <w:rsid w:val="75681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62254"/>
  <w15:docId w15:val="{65F7AE49-D6CD-4AC1-908E-73C590EFD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styleId="Hyperlink">
    <w:name w:val="Hyperlink"/>
    <w:basedOn w:val="DefaultParagraphFont"/>
    <w:uiPriority w:val="99"/>
    <w:unhideWhenUsed/>
    <w:rPr>
      <w:color w:val="0000FF"/>
      <w:u w:val="single"/>
    </w:rPr>
  </w:style>
  <w:style w:type="paragraph" w:styleId="NormalWeb">
    <w:name w:val="Normal (Web)"/>
    <w:uiPriority w:val="99"/>
    <w:semiHidden/>
    <w:unhideWhenUsed/>
    <w:pPr>
      <w:spacing w:beforeAutospacing="1" w:afterAutospacing="1"/>
    </w:pPr>
    <w:rPr>
      <w:sz w:val="24"/>
      <w:szCs w:val="24"/>
      <w:lang w:eastAsia="zh-CN"/>
    </w:rPr>
  </w:style>
  <w:style w:type="table" w:styleId="TableGrid">
    <w:name w:val="Table Grid"/>
    <w:basedOn w:val="TableNormal"/>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065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nilecapd.org"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info@nilecapd.org"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NUL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Yes</c:v>
                </c:pt>
              </c:strCache>
            </c:strRef>
          </c:tx>
          <c:spPr>
            <a:solidFill>
              <a:schemeClr val="accent1"/>
            </a:solidFill>
            <a:ln>
              <a:noFill/>
            </a:ln>
            <a:effectLst/>
          </c:spPr>
          <c:invertIfNegative val="0"/>
          <c:cat>
            <c:strRef>
              <c:f>Sheet1!$A$2:$A$5</c:f>
              <c:strCache>
                <c:ptCount val="4"/>
                <c:pt idx="0">
                  <c:v>Accountability</c:v>
                </c:pt>
                <c:pt idx="1">
                  <c:v>Distribution Process</c:v>
                </c:pt>
                <c:pt idx="2">
                  <c:v>Protection and safety</c:v>
                </c:pt>
                <c:pt idx="3">
                  <c:v>Timeliness of assistance</c:v>
                </c:pt>
              </c:strCache>
            </c:strRef>
          </c:cat>
          <c:val>
            <c:numRef>
              <c:f>Sheet1!$B$2:$B$5</c:f>
              <c:numCache>
                <c:formatCode>0%</c:formatCode>
                <c:ptCount val="4"/>
                <c:pt idx="0">
                  <c:v>0.97</c:v>
                </c:pt>
                <c:pt idx="1">
                  <c:v>0.96</c:v>
                </c:pt>
                <c:pt idx="2">
                  <c:v>0.98</c:v>
                </c:pt>
                <c:pt idx="3">
                  <c:v>0.96</c:v>
                </c:pt>
              </c:numCache>
            </c:numRef>
          </c:val>
          <c:extLst>
            <c:ext xmlns:c16="http://schemas.microsoft.com/office/drawing/2014/chart" uri="{C3380CC4-5D6E-409C-BE32-E72D297353CC}">
              <c16:uniqueId val="{00000000-0834-4B81-97C5-FE543F009618}"/>
            </c:ext>
          </c:extLst>
        </c:ser>
        <c:ser>
          <c:idx val="1"/>
          <c:order val="1"/>
          <c:tx>
            <c:strRef>
              <c:f>Sheet1!$C$1</c:f>
              <c:strCache>
                <c:ptCount val="1"/>
                <c:pt idx="0">
                  <c:v>No</c:v>
                </c:pt>
              </c:strCache>
            </c:strRef>
          </c:tx>
          <c:spPr>
            <a:solidFill>
              <a:schemeClr val="accent2"/>
            </a:solidFill>
            <a:ln>
              <a:noFill/>
            </a:ln>
            <a:effectLst/>
          </c:spPr>
          <c:invertIfNegative val="0"/>
          <c:cat>
            <c:strRef>
              <c:f>Sheet1!$A$2:$A$5</c:f>
              <c:strCache>
                <c:ptCount val="4"/>
                <c:pt idx="0">
                  <c:v>Accountability</c:v>
                </c:pt>
                <c:pt idx="1">
                  <c:v>Distribution Process</c:v>
                </c:pt>
                <c:pt idx="2">
                  <c:v>Protection and safety</c:v>
                </c:pt>
                <c:pt idx="3">
                  <c:v>Timeliness of assistance</c:v>
                </c:pt>
              </c:strCache>
            </c:strRef>
          </c:cat>
          <c:val>
            <c:numRef>
              <c:f>Sheet1!$C$2:$C$5</c:f>
              <c:numCache>
                <c:formatCode>0%</c:formatCode>
                <c:ptCount val="4"/>
                <c:pt idx="0">
                  <c:v>0.03</c:v>
                </c:pt>
                <c:pt idx="1">
                  <c:v>0.04</c:v>
                </c:pt>
                <c:pt idx="2">
                  <c:v>0.02</c:v>
                </c:pt>
                <c:pt idx="3">
                  <c:v>0.04</c:v>
                </c:pt>
              </c:numCache>
            </c:numRef>
          </c:val>
          <c:extLst>
            <c:ext xmlns:c16="http://schemas.microsoft.com/office/drawing/2014/chart" uri="{C3380CC4-5D6E-409C-BE32-E72D297353CC}">
              <c16:uniqueId val="{00000001-0834-4B81-97C5-FE543F009618}"/>
            </c:ext>
          </c:extLst>
        </c:ser>
        <c:dLbls>
          <c:showLegendKey val="0"/>
          <c:showVal val="0"/>
          <c:showCatName val="0"/>
          <c:showSerName val="0"/>
          <c:showPercent val="0"/>
          <c:showBubbleSize val="0"/>
        </c:dLbls>
        <c:gapWidth val="246"/>
        <c:overlap val="-28"/>
        <c:axId val="536556764"/>
        <c:axId val="729808739"/>
      </c:barChart>
      <c:catAx>
        <c:axId val="53655676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29808739"/>
        <c:crosses val="autoZero"/>
        <c:auto val="1"/>
        <c:lblAlgn val="ctr"/>
        <c:lblOffset val="100"/>
        <c:noMultiLvlLbl val="0"/>
      </c:catAx>
      <c:valAx>
        <c:axId val="729808739"/>
        <c:scaling>
          <c:orientation val="minMax"/>
        </c:scaling>
        <c:delete val="0"/>
        <c:axPos val="l"/>
        <c:majorGridlines>
          <c:spPr>
            <a:ln w="9525" cap="flat" cmpd="sng" algn="ctr">
              <a:solidFill>
                <a:schemeClr val="lt1">
                  <a:lumMod val="902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36556764"/>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78d35cda-f406-4ead-870e-049610874583}"/>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7</Pages>
  <Words>2113</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Mwangi</dc:creator>
  <cp:lastModifiedBy>Nile Care</cp:lastModifiedBy>
  <cp:revision>15</cp:revision>
  <dcterms:created xsi:type="dcterms:W3CDTF">2024-10-13T06:45:00Z</dcterms:created>
  <dcterms:modified xsi:type="dcterms:W3CDTF">2024-11-15T23:10:00Z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3F44D7095AD3477FBC4C30B0AF596E4D_13</vt:lpwstr>
  </property>
</Properties>
</file>