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120" w:rsidRDefault="00FA1F4A">
      <w:pPr>
        <w:pBdr>
          <w:top w:val="nil"/>
          <w:left w:val="nil"/>
          <w:bottom w:val="nil"/>
          <w:right w:val="nil"/>
          <w:between w:val="nil"/>
        </w:pBdr>
        <w:spacing w:after="150" w:line="275" w:lineRule="auto"/>
        <w:rPr>
          <w:rFonts w:ascii="Google Sans" w:eastAsia="Google Sans" w:hAnsi="Google Sans" w:cs="Google Sans"/>
          <w:color w:val="1F1F1F"/>
        </w:rPr>
      </w:pPr>
      <w:r>
        <w:rPr>
          <w:rFonts w:ascii="Google Sans" w:eastAsia="Google Sans" w:hAnsi="Google Sans" w:cs="Google Sans"/>
          <w:color w:val="1F1F1F"/>
        </w:rPr>
        <w:t xml:space="preserve">This forward-looking plan strengthens the foundation of the </w:t>
      </w:r>
      <w:r>
        <w:rPr>
          <w:rFonts w:ascii="Google Sans" w:eastAsia="Google Sans" w:hAnsi="Google Sans" w:cs="Google Sans"/>
          <w:b/>
          <w:bCs/>
          <w:color w:val="1F1F1F"/>
        </w:rPr>
        <w:t>Preventive Initiative</w:t>
      </w:r>
      <w:r>
        <w:rPr>
          <w:rFonts w:ascii="Google Sans" w:eastAsia="Google Sans" w:hAnsi="Google Sans" w:cs="Google Sans"/>
          <w:color w:val="1F1F1F"/>
        </w:rPr>
        <w:t xml:space="preserve"> by leveraging existing community structures to ensure long-term protection for children across South </w:t>
      </w:r>
      <w:proofErr w:type="spellStart"/>
      <w:r>
        <w:rPr>
          <w:rFonts w:ascii="Google Sans" w:eastAsia="Google Sans" w:hAnsi="Google Sans" w:cs="Google Sans"/>
          <w:color w:val="1F1F1F"/>
        </w:rPr>
        <w:t>Lalitpur</w:t>
      </w:r>
      <w:proofErr w:type="spellEnd"/>
      <w:r>
        <w:rPr>
          <w:rFonts w:ascii="Google Sans" w:eastAsia="Google Sans" w:hAnsi="Google Sans" w:cs="Google Sans"/>
          <w:color w:val="1F1F1F"/>
        </w:rPr>
        <w:t>.</w:t>
      </w:r>
    </w:p>
    <w:p w:rsidR="00877120" w:rsidRDefault="006652AF">
      <w:pPr>
        <w:pStyle w:val="Heading2"/>
        <w:spacing w:before="120" w:after="120" w:line="275" w:lineRule="auto"/>
        <w:rPr>
          <w:rFonts w:ascii="Google Sans" w:eastAsia="Google Sans" w:hAnsi="Google Sans" w:cs="Google Sans"/>
          <w:color w:val="1F1F1F"/>
        </w:rPr>
      </w:pPr>
      <w:r>
        <w:pict w14:anchorId="4C29F1C9">
          <v:rect id="_x0000_i1025" style="width:0;height:1.5pt" o:hralign="center" o:hrstd="t" o:hr="t" fillcolor="#a0a0a0" stroked="f"/>
        </w:pict>
      </w:r>
      <w:r w:rsidR="00FA1F4A">
        <w:rPr>
          <w:rFonts w:ascii="Google Sans" w:eastAsia="Google Sans" w:hAnsi="Google Sans" w:cs="Google Sans"/>
          <w:color w:val="1F1F1F"/>
        </w:rPr>
        <w:t>Strategic Plan: May – August 2026</w:t>
      </w:r>
    </w:p>
    <w:p w:rsidR="00877120" w:rsidRDefault="00FA1F4A">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1. Expansion to 21 Villages</w:t>
      </w:r>
    </w:p>
    <w:p w:rsidR="00877120" w:rsidRDefault="00FA1F4A">
      <w:pPr>
        <w:pBdr>
          <w:top w:val="nil"/>
          <w:left w:val="nil"/>
          <w:bottom w:val="nil"/>
          <w:right w:val="nil"/>
          <w:between w:val="nil"/>
        </w:pBdr>
        <w:spacing w:after="150" w:line="275" w:lineRule="auto"/>
        <w:rPr>
          <w:rFonts w:ascii="Google Sans" w:eastAsia="Google Sans" w:hAnsi="Google Sans" w:cs="Google Sans"/>
          <w:color w:val="1F1F1F"/>
        </w:rPr>
      </w:pPr>
      <w:r>
        <w:rPr>
          <w:rFonts w:ascii="Google Sans" w:eastAsia="Google Sans" w:hAnsi="Google Sans" w:cs="Google Sans"/>
          <w:color w:val="1F1F1F"/>
        </w:rPr>
        <w:t xml:space="preserve">The primary goal is to scale the "Ghurdum Model" to reach all </w:t>
      </w:r>
      <w:r>
        <w:rPr>
          <w:rFonts w:ascii="Google Sans" w:eastAsia="Google Sans" w:hAnsi="Google Sans" w:cs="Google Sans"/>
          <w:b/>
          <w:bCs/>
          <w:color w:val="1F1F1F"/>
        </w:rPr>
        <w:t>21 villages</w:t>
      </w:r>
      <w:r>
        <w:rPr>
          <w:rFonts w:ascii="Google Sans" w:eastAsia="Google Sans" w:hAnsi="Google Sans" w:cs="Google Sans"/>
          <w:color w:val="1F1F1F"/>
        </w:rPr>
        <w:t xml:space="preserve"> in the target rural municipalities. By moving beyond the initial foothold, Console Mission aims to create a district-wide safety net against social vulnerabilities like human trafficking, child labor, and domestic servitude.</w:t>
      </w:r>
    </w:p>
    <w:p w:rsidR="00877120" w:rsidRDefault="00FA1F4A">
      <w:pPr>
        <w:pStyle w:val="Heading3"/>
        <w:spacing w:before="0" w:after="120" w:line="275" w:lineRule="auto"/>
        <w:rPr>
          <w:rFonts w:ascii="Google Sans" w:eastAsia="Google Sans" w:hAnsi="Google Sans" w:cs="Google Sans"/>
          <w:color w:val="1F1F1F"/>
        </w:rPr>
      </w:pPr>
      <w:r>
        <w:rPr>
          <w:rFonts w:ascii="Google Sans" w:eastAsia="Google Sans" w:hAnsi="Google Sans" w:cs="Google Sans"/>
          <w:color w:val="1F1F1F"/>
        </w:rPr>
        <w:t>2. Establishing the Community Learning Centre (CLC) Network</w:t>
      </w:r>
    </w:p>
    <w:p w:rsidR="00877120" w:rsidRDefault="00FA1F4A">
      <w:pPr>
        <w:pBdr>
          <w:top w:val="nil"/>
          <w:left w:val="nil"/>
          <w:bottom w:val="nil"/>
          <w:right w:val="nil"/>
          <w:between w:val="nil"/>
        </w:pBdr>
        <w:spacing w:after="150" w:line="275" w:lineRule="auto"/>
        <w:rPr>
          <w:rFonts w:ascii="Google Sans" w:eastAsia="Google Sans" w:hAnsi="Google Sans" w:cs="Google Sans"/>
          <w:color w:val="1F1F1F"/>
        </w:rPr>
      </w:pPr>
      <w:r>
        <w:rPr>
          <w:rFonts w:ascii="Google Sans" w:eastAsia="Google Sans" w:hAnsi="Google Sans" w:cs="Google Sans"/>
          <w:color w:val="1F1F1F"/>
        </w:rPr>
        <w:t xml:space="preserve">To provide consistent "Consoling" and academic support, the plan involves establishing </w:t>
      </w:r>
      <w:r>
        <w:rPr>
          <w:rFonts w:ascii="Google Sans" w:eastAsia="Google Sans" w:hAnsi="Google Sans" w:cs="Google Sans"/>
          <w:b/>
          <w:bCs/>
          <w:color w:val="1F1F1F"/>
        </w:rPr>
        <w:t>seven Community Learning Centres</w:t>
      </w:r>
      <w:r>
        <w:rPr>
          <w:rFonts w:ascii="Google Sans" w:eastAsia="Google Sans" w:hAnsi="Google Sans" w:cs="Google Sans"/>
          <w:color w:val="1F1F1F"/>
        </w:rPr>
        <w:t>.</w:t>
      </w:r>
    </w:p>
    <w:p w:rsidR="00877120" w:rsidRDefault="00FA1F4A">
      <w:pPr>
        <w:numPr>
          <w:ilvl w:val="0"/>
          <w:numId w:val="1"/>
        </w:numPr>
        <w:pBdr>
          <w:top w:val="nil"/>
          <w:left w:val="nil"/>
          <w:bottom w:val="nil"/>
          <w:right w:val="nil"/>
          <w:between w:val="nil"/>
        </w:pBdr>
        <w:spacing w:line="275" w:lineRule="auto"/>
      </w:pPr>
      <w:r>
        <w:rPr>
          <w:rFonts w:ascii="Google Sans" w:eastAsia="Google Sans" w:hAnsi="Google Sans" w:cs="Google Sans"/>
          <w:b/>
          <w:bCs/>
          <w:color w:val="1F1F1F"/>
        </w:rPr>
        <w:t>The "1 for 3" Model:</w:t>
      </w:r>
      <w:r>
        <w:rPr>
          <w:rFonts w:ascii="Google Sans" w:eastAsia="Google Sans" w:hAnsi="Google Sans" w:cs="Google Sans"/>
          <w:color w:val="1F1F1F"/>
        </w:rPr>
        <w:t xml:space="preserve"> Each centre will serve a cluster of three villages, ensuring geographic accessibility for all children.</w:t>
      </w:r>
    </w:p>
    <w:p w:rsidR="00877120" w:rsidRDefault="00FA1F4A">
      <w:pPr>
        <w:numPr>
          <w:ilvl w:val="0"/>
          <w:numId w:val="1"/>
        </w:numPr>
        <w:pBdr>
          <w:top w:val="nil"/>
          <w:left w:val="nil"/>
          <w:bottom w:val="nil"/>
          <w:right w:val="nil"/>
          <w:between w:val="nil"/>
        </w:pBdr>
        <w:spacing w:after="120" w:line="275" w:lineRule="auto"/>
      </w:pPr>
      <w:r>
        <w:rPr>
          <w:rFonts w:ascii="Google Sans" w:eastAsia="Google Sans" w:hAnsi="Google Sans" w:cs="Google Sans"/>
          <w:b/>
          <w:bCs/>
          <w:color w:val="1F1F1F"/>
        </w:rPr>
        <w:t>Resource Sharing:</w:t>
      </w:r>
      <w:r>
        <w:rPr>
          <w:rFonts w:ascii="Google Sans" w:eastAsia="Google Sans" w:hAnsi="Google Sans" w:cs="Google Sans"/>
          <w:color w:val="1F1F1F"/>
        </w:rPr>
        <w:t xml:space="preserve"> These centres will act as hubs for the "Our Study Place" initiative, providing a physical symbol of hope and safety.</w:t>
      </w:r>
    </w:p>
    <w:p w:rsidR="00877120" w:rsidRDefault="00FA1F4A">
      <w:pPr>
        <w:pStyle w:val="Heading3"/>
        <w:spacing w:after="120" w:line="275" w:lineRule="auto"/>
        <w:rPr>
          <w:rFonts w:ascii="Google Sans" w:eastAsia="Google Sans" w:hAnsi="Google Sans" w:cs="Google Sans"/>
          <w:color w:val="1F1F1F"/>
        </w:rPr>
      </w:pPr>
      <w:r>
        <w:rPr>
          <w:rFonts w:ascii="Google Sans" w:eastAsia="Google Sans" w:hAnsi="Google Sans" w:cs="Google Sans"/>
          <w:color w:val="1F1F1F"/>
        </w:rPr>
        <w:t>3. Forming People’s Committees</w:t>
      </w:r>
    </w:p>
    <w:p w:rsidR="00877120" w:rsidRDefault="00FA1F4A">
      <w:pPr>
        <w:pBdr>
          <w:top w:val="nil"/>
          <w:left w:val="nil"/>
          <w:bottom w:val="nil"/>
          <w:right w:val="nil"/>
          <w:between w:val="nil"/>
        </w:pBdr>
        <w:spacing w:after="150" w:line="275" w:lineRule="auto"/>
        <w:rPr>
          <w:rFonts w:ascii="Google Sans" w:eastAsia="Google Sans" w:hAnsi="Google Sans" w:cs="Google Sans"/>
          <w:color w:val="1F1F1F"/>
        </w:rPr>
      </w:pPr>
      <w:r>
        <w:rPr>
          <w:rFonts w:ascii="Google Sans" w:eastAsia="Google Sans" w:hAnsi="Google Sans" w:cs="Google Sans"/>
          <w:color w:val="1F1F1F"/>
        </w:rPr>
        <w:t>Sustainability is driven by local participation rather than massive outside investment.</w:t>
      </w:r>
    </w:p>
    <w:p w:rsidR="00877120" w:rsidRDefault="00FA1F4A">
      <w:pPr>
        <w:numPr>
          <w:ilvl w:val="0"/>
          <w:numId w:val="2"/>
        </w:numPr>
        <w:pBdr>
          <w:top w:val="nil"/>
          <w:left w:val="nil"/>
          <w:bottom w:val="nil"/>
          <w:right w:val="nil"/>
          <w:between w:val="nil"/>
        </w:pBdr>
        <w:spacing w:line="275" w:lineRule="auto"/>
      </w:pPr>
      <w:r>
        <w:rPr>
          <w:rFonts w:ascii="Google Sans" w:eastAsia="Google Sans" w:hAnsi="Google Sans" w:cs="Google Sans"/>
          <w:b/>
          <w:bCs/>
          <w:color w:val="1F1F1F"/>
        </w:rPr>
        <w:t>Governance:</w:t>
      </w:r>
      <w:r>
        <w:rPr>
          <w:rFonts w:ascii="Google Sans" w:eastAsia="Google Sans" w:hAnsi="Google Sans" w:cs="Google Sans"/>
          <w:color w:val="1F1F1F"/>
        </w:rPr>
        <w:t xml:space="preserve"> A </w:t>
      </w:r>
      <w:r>
        <w:rPr>
          <w:rFonts w:ascii="Google Sans" w:eastAsia="Google Sans" w:hAnsi="Google Sans" w:cs="Google Sans"/>
          <w:b/>
          <w:bCs/>
          <w:color w:val="1F1F1F"/>
        </w:rPr>
        <w:t>People’s Committee</w:t>
      </w:r>
      <w:r>
        <w:rPr>
          <w:rFonts w:ascii="Google Sans" w:eastAsia="Google Sans" w:hAnsi="Google Sans" w:cs="Google Sans"/>
          <w:color w:val="1F1F1F"/>
        </w:rPr>
        <w:t xml:space="preserve"> will be formed for each cluster to oversee the CLC and monitor at-risk children.</w:t>
      </w:r>
    </w:p>
    <w:p w:rsidR="00877120" w:rsidRDefault="00FA1F4A">
      <w:pPr>
        <w:numPr>
          <w:ilvl w:val="0"/>
          <w:numId w:val="2"/>
        </w:numPr>
        <w:pBdr>
          <w:top w:val="nil"/>
          <w:left w:val="nil"/>
          <w:bottom w:val="nil"/>
          <w:right w:val="nil"/>
          <w:between w:val="nil"/>
        </w:pBdr>
        <w:spacing w:after="120" w:line="275" w:lineRule="auto"/>
      </w:pPr>
      <w:r>
        <w:rPr>
          <w:rFonts w:ascii="Google Sans" w:eastAsia="Google Sans" w:hAnsi="Google Sans" w:cs="Google Sans"/>
          <w:b/>
          <w:bCs/>
          <w:color w:val="1F1F1F"/>
        </w:rPr>
        <w:t>Local Leadership:</w:t>
      </w:r>
      <w:r>
        <w:rPr>
          <w:rFonts w:ascii="Google Sans" w:eastAsia="Google Sans" w:hAnsi="Google Sans" w:cs="Google Sans"/>
          <w:color w:val="1F1F1F"/>
        </w:rPr>
        <w:t xml:space="preserve"> Following the example in Ghurdum, these committees will prioritize the participation of local women and parents who understand the specific risks of the area, such as the pressure for youth migration.</w:t>
      </w:r>
    </w:p>
    <w:p w:rsidR="00877120" w:rsidRDefault="00FA1F4A">
      <w:pPr>
        <w:pStyle w:val="Heading3"/>
        <w:spacing w:after="120" w:line="275" w:lineRule="auto"/>
        <w:rPr>
          <w:rFonts w:ascii="Google Sans" w:eastAsia="Google Sans" w:hAnsi="Google Sans" w:cs="Google Sans"/>
          <w:color w:val="1F1F1F"/>
        </w:rPr>
      </w:pPr>
      <w:r>
        <w:rPr>
          <w:rFonts w:ascii="Google Sans" w:eastAsia="Google Sans" w:hAnsi="Google Sans" w:cs="Google Sans"/>
          <w:color w:val="1F1F1F"/>
        </w:rPr>
        <w:t>4. Engaging Female Community Health Volunteers (FCHVs)</w:t>
      </w:r>
    </w:p>
    <w:p w:rsidR="00877120" w:rsidRDefault="00FA1F4A">
      <w:pPr>
        <w:pBdr>
          <w:top w:val="nil"/>
          <w:left w:val="nil"/>
          <w:bottom w:val="nil"/>
          <w:right w:val="nil"/>
          <w:between w:val="nil"/>
        </w:pBdr>
        <w:spacing w:after="150" w:line="275" w:lineRule="auto"/>
        <w:rPr>
          <w:rFonts w:ascii="Google Sans" w:eastAsia="Google Sans" w:hAnsi="Google Sans" w:cs="Google Sans"/>
          <w:color w:val="1F1F1F"/>
        </w:rPr>
      </w:pPr>
      <w:r>
        <w:rPr>
          <w:rFonts w:ascii="Google Sans" w:eastAsia="Google Sans" w:hAnsi="Google Sans" w:cs="Google Sans"/>
          <w:color w:val="1F1F1F"/>
        </w:rPr>
        <w:t xml:space="preserve">Console Mission recognizes that </w:t>
      </w:r>
      <w:r>
        <w:rPr>
          <w:rFonts w:ascii="Google Sans" w:eastAsia="Google Sans" w:hAnsi="Google Sans" w:cs="Google Sans"/>
          <w:b/>
          <w:bCs/>
          <w:color w:val="1F1F1F"/>
        </w:rPr>
        <w:t>Female Community Health Volunteers (FCHVs)</w:t>
      </w:r>
      <w:r>
        <w:rPr>
          <w:rFonts w:ascii="Google Sans" w:eastAsia="Google Sans" w:hAnsi="Google Sans" w:cs="Google Sans"/>
          <w:color w:val="1F1F1F"/>
        </w:rPr>
        <w:t xml:space="preserve"> are the most effective agents for change due to their deep community roots and existing trust.</w:t>
      </w:r>
    </w:p>
    <w:p w:rsidR="00877120" w:rsidRDefault="00FA1F4A">
      <w:pPr>
        <w:numPr>
          <w:ilvl w:val="0"/>
          <w:numId w:val="3"/>
        </w:numPr>
        <w:pBdr>
          <w:top w:val="nil"/>
          <w:left w:val="nil"/>
          <w:bottom w:val="nil"/>
          <w:right w:val="nil"/>
          <w:between w:val="nil"/>
        </w:pBdr>
        <w:spacing w:line="275" w:lineRule="auto"/>
      </w:pPr>
      <w:r>
        <w:rPr>
          <w:rFonts w:ascii="Google Sans" w:eastAsia="Google Sans" w:hAnsi="Google Sans" w:cs="Google Sans"/>
          <w:b/>
          <w:bCs/>
          <w:color w:val="1F1F1F"/>
        </w:rPr>
        <w:t>Strategic Partnership:</w:t>
      </w:r>
      <w:r>
        <w:rPr>
          <w:rFonts w:ascii="Google Sans" w:eastAsia="Google Sans" w:hAnsi="Google Sans" w:cs="Google Sans"/>
          <w:color w:val="1F1F1F"/>
        </w:rPr>
        <w:t xml:space="preserve"> Interacting with local </w:t>
      </w:r>
      <w:r>
        <w:rPr>
          <w:rFonts w:ascii="Google Sans" w:eastAsia="Google Sans" w:hAnsi="Google Sans" w:cs="Google Sans"/>
          <w:b/>
          <w:bCs/>
          <w:color w:val="1F1F1F"/>
        </w:rPr>
        <w:t>Health Posts</w:t>
      </w:r>
      <w:r>
        <w:rPr>
          <w:rFonts w:ascii="Google Sans" w:eastAsia="Google Sans" w:hAnsi="Google Sans" w:cs="Google Sans"/>
          <w:color w:val="1F1F1F"/>
        </w:rPr>
        <w:t xml:space="preserve"> is essential to integrate child protection with community health.</w:t>
      </w:r>
    </w:p>
    <w:p w:rsidR="00877120" w:rsidRDefault="00FA1F4A">
      <w:pPr>
        <w:numPr>
          <w:ilvl w:val="0"/>
          <w:numId w:val="3"/>
        </w:numPr>
        <w:pBdr>
          <w:top w:val="nil"/>
          <w:left w:val="nil"/>
          <w:bottom w:val="nil"/>
          <w:right w:val="nil"/>
          <w:between w:val="nil"/>
        </w:pBdr>
        <w:spacing w:after="120" w:line="275" w:lineRule="auto"/>
      </w:pPr>
      <w:r>
        <w:rPr>
          <w:rFonts w:ascii="Google Sans" w:eastAsia="Google Sans" w:hAnsi="Google Sans" w:cs="Google Sans"/>
          <w:b/>
          <w:bCs/>
          <w:color w:val="1F1F1F"/>
        </w:rPr>
        <w:t>Agents of Prevention:</w:t>
      </w:r>
      <w:r>
        <w:rPr>
          <w:rFonts w:ascii="Google Sans" w:eastAsia="Google Sans" w:hAnsi="Google Sans" w:cs="Google Sans"/>
          <w:color w:val="1F1F1F"/>
        </w:rPr>
        <w:t xml:space="preserve"> FCHVs will be trained to identify not just health issues, but social risks—acting as an "early warning system" for families facing the kind of economic despair that often leads to child labor or early marriage.</w:t>
      </w:r>
    </w:p>
    <w:p w:rsidR="00877120" w:rsidRDefault="006652AF">
      <w:pPr>
        <w:pStyle w:val="Heading3"/>
        <w:spacing w:before="120" w:after="120" w:line="275" w:lineRule="auto"/>
        <w:rPr>
          <w:rFonts w:ascii="Google Sans" w:eastAsia="Google Sans" w:hAnsi="Google Sans" w:cs="Google Sans"/>
          <w:color w:val="1F1F1F"/>
        </w:rPr>
      </w:pPr>
      <w:r>
        <w:lastRenderedPageBreak/>
        <w:pict w14:anchorId="6F41137F">
          <v:rect id="_x0000_i1026" style="width:0;height:1.5pt" o:hralign="center" o:hrstd="t" o:hr="t" fillcolor="#a0a0a0" stroked="f"/>
        </w:pict>
      </w:r>
      <w:r w:rsidR="00FA1F4A">
        <w:rPr>
          <w:rFonts w:ascii="Google Sans" w:eastAsia="Google Sans" w:hAnsi="Google Sans" w:cs="Google Sans"/>
          <w:color w:val="1F1F1F"/>
        </w:rPr>
        <w:t>Summary of Objectives for the Next Period</w:t>
      </w:r>
    </w:p>
    <w:tbl>
      <w:tblPr>
        <w:tblStyle w:val="TableGrid"/>
        <w:tblW w:w="9360" w:type="dxa"/>
        <w:tblLayout w:type="fixed"/>
        <w:tblLook w:val="0600" w:firstRow="0" w:lastRow="0" w:firstColumn="0" w:lastColumn="0" w:noHBand="1" w:noVBand="1"/>
      </w:tblPr>
      <w:tblGrid>
        <w:gridCol w:w="4680"/>
        <w:gridCol w:w="4680"/>
      </w:tblGrid>
      <w:tr w:rsidR="00877120" w:rsidTr="00336498">
        <w:tc>
          <w:tcPr>
            <w:tcW w:w="4680" w:type="dxa"/>
          </w:tcPr>
          <w:p w:rsidR="00877120" w:rsidRDefault="00FA1F4A" w:rsidP="00336498">
            <w:pPr>
              <w:pBdr>
                <w:top w:val="nil"/>
                <w:left w:val="nil"/>
                <w:bottom w:val="nil"/>
                <w:right w:val="nil"/>
                <w:between w:val="nil"/>
              </w:pBdr>
              <w:spacing w:before="240" w:line="275" w:lineRule="auto"/>
              <w:rPr>
                <w:rFonts w:ascii="Google Sans" w:eastAsia="Google Sans" w:hAnsi="Google Sans" w:cs="Google Sans"/>
                <w:b/>
                <w:bCs/>
                <w:color w:val="1F1F1F"/>
              </w:rPr>
            </w:pPr>
            <w:r>
              <w:rPr>
                <w:rFonts w:ascii="Google Sans" w:eastAsia="Google Sans" w:hAnsi="Google Sans" w:cs="Google Sans"/>
                <w:b/>
                <w:bCs/>
                <w:color w:val="1F1F1F"/>
              </w:rPr>
              <w:t>Goal</w:t>
            </w:r>
          </w:p>
        </w:tc>
        <w:tc>
          <w:tcPr>
            <w:tcW w:w="4680" w:type="dxa"/>
          </w:tcPr>
          <w:p w:rsidR="00877120" w:rsidRDefault="00FA1F4A" w:rsidP="00336498">
            <w:pPr>
              <w:pBdr>
                <w:top w:val="nil"/>
                <w:left w:val="nil"/>
                <w:bottom w:val="nil"/>
                <w:right w:val="nil"/>
                <w:between w:val="nil"/>
              </w:pBdr>
              <w:spacing w:before="240" w:line="275" w:lineRule="auto"/>
              <w:rPr>
                <w:rFonts w:ascii="Google Sans" w:eastAsia="Google Sans" w:hAnsi="Google Sans" w:cs="Google Sans"/>
                <w:b/>
                <w:bCs/>
                <w:color w:val="1F1F1F"/>
              </w:rPr>
            </w:pPr>
            <w:r>
              <w:rPr>
                <w:rFonts w:ascii="Google Sans" w:eastAsia="Google Sans" w:hAnsi="Google Sans" w:cs="Google Sans"/>
                <w:b/>
                <w:bCs/>
                <w:color w:val="1F1F1F"/>
              </w:rPr>
              <w:t>Action Item</w:t>
            </w:r>
          </w:p>
        </w:tc>
      </w:tr>
      <w:tr w:rsidR="00877120" w:rsidTr="00336498">
        <w:tc>
          <w:tcPr>
            <w:tcW w:w="4680" w:type="dxa"/>
          </w:tcPr>
          <w:p w:rsidR="00877120" w:rsidRDefault="00FA1F4A" w:rsidP="00336498">
            <w:pPr>
              <w:pBdr>
                <w:top w:val="nil"/>
                <w:left w:val="nil"/>
                <w:bottom w:val="nil"/>
                <w:right w:val="nil"/>
                <w:between w:val="nil"/>
              </w:pBdr>
              <w:spacing w:before="240" w:line="275" w:lineRule="auto"/>
              <w:rPr>
                <w:rFonts w:ascii="Google Sans" w:eastAsia="Google Sans" w:hAnsi="Google Sans" w:cs="Google Sans"/>
                <w:b/>
                <w:bCs/>
                <w:color w:val="1F1F1F"/>
              </w:rPr>
            </w:pPr>
            <w:r>
              <w:rPr>
                <w:rFonts w:ascii="Google Sans" w:eastAsia="Google Sans" w:hAnsi="Google Sans" w:cs="Google Sans"/>
                <w:b/>
                <w:bCs/>
                <w:color w:val="1F1F1F"/>
              </w:rPr>
              <w:t>Reach</w:t>
            </w:r>
          </w:p>
        </w:tc>
        <w:tc>
          <w:tcPr>
            <w:tcW w:w="4680" w:type="dxa"/>
          </w:tcPr>
          <w:p w:rsidR="00877120" w:rsidRDefault="00FA1F4A" w:rsidP="00336498">
            <w:pPr>
              <w:pBdr>
                <w:top w:val="nil"/>
                <w:left w:val="nil"/>
                <w:bottom w:val="nil"/>
                <w:right w:val="nil"/>
                <w:between w:val="nil"/>
              </w:pBdr>
              <w:spacing w:before="240" w:line="275" w:lineRule="auto"/>
              <w:rPr>
                <w:rFonts w:ascii="Google Sans" w:eastAsia="Google Sans" w:hAnsi="Google Sans" w:cs="Google Sans"/>
                <w:color w:val="1F1F1F"/>
              </w:rPr>
            </w:pPr>
            <w:r>
              <w:rPr>
                <w:rFonts w:ascii="Google Sans" w:eastAsia="Google Sans" w:hAnsi="Google Sans" w:cs="Google Sans"/>
                <w:color w:val="1F1F1F"/>
              </w:rPr>
              <w:t>Expand from 1 village (Ghurdum) to all 21 villages.</w:t>
            </w:r>
          </w:p>
        </w:tc>
      </w:tr>
      <w:tr w:rsidR="00877120" w:rsidTr="00336498">
        <w:tc>
          <w:tcPr>
            <w:tcW w:w="4680" w:type="dxa"/>
          </w:tcPr>
          <w:p w:rsidR="00877120" w:rsidRDefault="00FA1F4A" w:rsidP="00336498">
            <w:pPr>
              <w:pBdr>
                <w:top w:val="nil"/>
                <w:left w:val="nil"/>
                <w:bottom w:val="nil"/>
                <w:right w:val="nil"/>
                <w:between w:val="nil"/>
              </w:pBdr>
              <w:spacing w:before="240" w:line="275" w:lineRule="auto"/>
              <w:rPr>
                <w:rFonts w:ascii="Google Sans" w:eastAsia="Google Sans" w:hAnsi="Google Sans" w:cs="Google Sans"/>
                <w:b/>
                <w:bCs/>
                <w:color w:val="1F1F1F"/>
              </w:rPr>
            </w:pPr>
            <w:r>
              <w:rPr>
                <w:rFonts w:ascii="Google Sans" w:eastAsia="Google Sans" w:hAnsi="Google Sans" w:cs="Google Sans"/>
                <w:b/>
                <w:bCs/>
                <w:color w:val="1F1F1F"/>
              </w:rPr>
              <w:t>Infrastructure</w:t>
            </w:r>
          </w:p>
        </w:tc>
        <w:tc>
          <w:tcPr>
            <w:tcW w:w="4680" w:type="dxa"/>
          </w:tcPr>
          <w:p w:rsidR="00877120" w:rsidRDefault="00FA1F4A" w:rsidP="00336498">
            <w:pPr>
              <w:pBdr>
                <w:top w:val="nil"/>
                <w:left w:val="nil"/>
                <w:bottom w:val="nil"/>
                <w:right w:val="nil"/>
                <w:between w:val="nil"/>
              </w:pBdr>
              <w:spacing w:before="240" w:line="275" w:lineRule="auto"/>
              <w:rPr>
                <w:rFonts w:ascii="Google Sans" w:eastAsia="Google Sans" w:hAnsi="Google Sans" w:cs="Google Sans"/>
                <w:color w:val="1F1F1F"/>
              </w:rPr>
            </w:pPr>
            <w:r>
              <w:rPr>
                <w:rFonts w:ascii="Google Sans" w:eastAsia="Google Sans" w:hAnsi="Google Sans" w:cs="Google Sans"/>
                <w:color w:val="1F1F1F"/>
              </w:rPr>
              <w:t>Launch at least 7 Community Learning Centres (1 per 3 villages).</w:t>
            </w:r>
          </w:p>
        </w:tc>
      </w:tr>
      <w:tr w:rsidR="00877120" w:rsidTr="00336498">
        <w:tc>
          <w:tcPr>
            <w:tcW w:w="4680" w:type="dxa"/>
          </w:tcPr>
          <w:p w:rsidR="00877120" w:rsidRDefault="00FA1F4A" w:rsidP="00336498">
            <w:pPr>
              <w:pBdr>
                <w:top w:val="nil"/>
                <w:left w:val="nil"/>
                <w:bottom w:val="nil"/>
                <w:right w:val="nil"/>
                <w:between w:val="nil"/>
              </w:pBdr>
              <w:spacing w:before="240" w:line="275" w:lineRule="auto"/>
              <w:rPr>
                <w:rFonts w:ascii="Google Sans" w:eastAsia="Google Sans" w:hAnsi="Google Sans" w:cs="Google Sans"/>
                <w:b/>
                <w:bCs/>
                <w:color w:val="1F1F1F"/>
              </w:rPr>
            </w:pPr>
            <w:r>
              <w:rPr>
                <w:rFonts w:ascii="Google Sans" w:eastAsia="Google Sans" w:hAnsi="Google Sans" w:cs="Google Sans"/>
                <w:b/>
                <w:bCs/>
                <w:color w:val="1F1F1F"/>
              </w:rPr>
              <w:t>Collaboration</w:t>
            </w:r>
          </w:p>
        </w:tc>
        <w:tc>
          <w:tcPr>
            <w:tcW w:w="4680" w:type="dxa"/>
          </w:tcPr>
          <w:p w:rsidR="00877120" w:rsidRDefault="00FA1F4A" w:rsidP="00336498">
            <w:pPr>
              <w:pBdr>
                <w:top w:val="nil"/>
                <w:left w:val="nil"/>
                <w:bottom w:val="nil"/>
                <w:right w:val="nil"/>
                <w:between w:val="nil"/>
              </w:pBdr>
              <w:spacing w:before="240" w:line="275" w:lineRule="auto"/>
              <w:rPr>
                <w:rFonts w:ascii="Google Sans" w:eastAsia="Google Sans" w:hAnsi="Google Sans" w:cs="Google Sans"/>
                <w:color w:val="1F1F1F"/>
              </w:rPr>
            </w:pPr>
            <w:r>
              <w:rPr>
                <w:rFonts w:ascii="Google Sans" w:eastAsia="Google Sans" w:hAnsi="Google Sans" w:cs="Google Sans"/>
                <w:color w:val="1F1F1F"/>
              </w:rPr>
              <w:t>Formalize partnerships with local Health Posts and FCHV networks.</w:t>
            </w:r>
          </w:p>
        </w:tc>
      </w:tr>
      <w:tr w:rsidR="00877120" w:rsidTr="00336498">
        <w:tc>
          <w:tcPr>
            <w:tcW w:w="4680" w:type="dxa"/>
          </w:tcPr>
          <w:p w:rsidR="00877120" w:rsidRDefault="00FA1F4A" w:rsidP="00336498">
            <w:pPr>
              <w:pBdr>
                <w:top w:val="nil"/>
                <w:left w:val="nil"/>
                <w:bottom w:val="nil"/>
                <w:right w:val="nil"/>
                <w:between w:val="nil"/>
              </w:pBdr>
              <w:spacing w:before="240" w:line="275" w:lineRule="auto"/>
              <w:rPr>
                <w:rFonts w:ascii="Google Sans" w:eastAsia="Google Sans" w:hAnsi="Google Sans" w:cs="Google Sans"/>
                <w:b/>
                <w:bCs/>
                <w:color w:val="1F1F1F"/>
              </w:rPr>
            </w:pPr>
            <w:r>
              <w:rPr>
                <w:rFonts w:ascii="Google Sans" w:eastAsia="Google Sans" w:hAnsi="Google Sans" w:cs="Google Sans"/>
                <w:b/>
                <w:bCs/>
                <w:color w:val="1F1F1F"/>
              </w:rPr>
              <w:t>Governance</w:t>
            </w:r>
          </w:p>
        </w:tc>
        <w:tc>
          <w:tcPr>
            <w:tcW w:w="4680" w:type="dxa"/>
          </w:tcPr>
          <w:p w:rsidR="00877120" w:rsidRDefault="00FA1F4A" w:rsidP="00336498">
            <w:pPr>
              <w:pBdr>
                <w:top w:val="nil"/>
                <w:left w:val="nil"/>
                <w:bottom w:val="nil"/>
                <w:right w:val="nil"/>
                <w:between w:val="nil"/>
              </w:pBdr>
              <w:spacing w:before="240" w:line="275" w:lineRule="auto"/>
              <w:rPr>
                <w:rFonts w:ascii="Google Sans" w:eastAsia="Google Sans" w:hAnsi="Google Sans" w:cs="Google Sans"/>
                <w:color w:val="1F1F1F"/>
              </w:rPr>
            </w:pPr>
            <w:r>
              <w:rPr>
                <w:rFonts w:ascii="Google Sans" w:eastAsia="Google Sans" w:hAnsi="Google Sans" w:cs="Google Sans"/>
                <w:color w:val="1F1F1F"/>
              </w:rPr>
              <w:t>Establish People’s Committees to ensure local ownership and sustainability.</w:t>
            </w:r>
          </w:p>
        </w:tc>
      </w:tr>
    </w:tbl>
    <w:p w:rsidR="00877120" w:rsidRDefault="00FA1F4A">
      <w:pPr>
        <w:pBdr>
          <w:top w:val="nil"/>
          <w:left w:val="nil"/>
          <w:bottom w:val="nil"/>
          <w:right w:val="nil"/>
          <w:between w:val="nil"/>
        </w:pBdr>
        <w:spacing w:after="150" w:line="275" w:lineRule="auto"/>
        <w:ind w:left="600" w:right="600"/>
        <w:rPr>
          <w:rFonts w:ascii="Google Sans" w:eastAsia="Google Sans" w:hAnsi="Google Sans" w:cs="Google Sans"/>
          <w:color w:val="1F1F1F"/>
        </w:rPr>
      </w:pPr>
      <w:r>
        <w:rPr>
          <w:rFonts w:ascii="Google Sans" w:eastAsia="Google Sans" w:hAnsi="Google Sans" w:cs="Google Sans"/>
          <w:b/>
          <w:bCs/>
          <w:color w:val="1F1F1F"/>
        </w:rPr>
        <w:t>Note to Donors:</w:t>
      </w:r>
      <w:r>
        <w:rPr>
          <w:rFonts w:ascii="Google Sans" w:eastAsia="Google Sans" w:hAnsi="Google Sans" w:cs="Google Sans"/>
          <w:color w:val="1F1F1F"/>
        </w:rPr>
        <w:t xml:space="preserve"> This expansion is not just about growth; it is about building a sustainable, locally-led defense system for the children of South Lalitpur. Your support helps us move from one rented room to a network of hope across 21 villages.</w:t>
      </w:r>
    </w:p>
    <w:p w:rsidR="00336498" w:rsidRDefault="00336498">
      <w:pPr>
        <w:pBdr>
          <w:top w:val="nil"/>
          <w:left w:val="nil"/>
          <w:bottom w:val="nil"/>
          <w:right w:val="nil"/>
          <w:between w:val="nil"/>
        </w:pBdr>
        <w:spacing w:after="150" w:line="275" w:lineRule="auto"/>
        <w:ind w:left="600" w:right="600"/>
        <w:rPr>
          <w:rFonts w:ascii="Google Sans" w:eastAsia="Google Sans" w:hAnsi="Google Sans" w:cs="Google Sans"/>
        </w:rPr>
      </w:pPr>
    </w:p>
    <w:p w:rsidR="00673494" w:rsidRDefault="00673494">
      <w:pPr>
        <w:pBdr>
          <w:top w:val="nil"/>
          <w:left w:val="nil"/>
          <w:bottom w:val="nil"/>
          <w:right w:val="nil"/>
          <w:between w:val="nil"/>
        </w:pBdr>
        <w:spacing w:after="150" w:line="275" w:lineRule="auto"/>
        <w:ind w:left="600" w:right="600"/>
        <w:rPr>
          <w:rFonts w:ascii="Google Sans" w:eastAsia="Google Sans" w:hAnsi="Google Sans" w:cs="Google Sans"/>
          <w:color w:val="1F1F1F"/>
        </w:rPr>
        <w:sectPr w:rsidR="00673494">
          <w:pgSz w:w="12240" w:h="15840"/>
          <w:pgMar w:top="1440" w:right="1440" w:bottom="1440" w:left="1440" w:header="0" w:footer="720" w:gutter="0"/>
          <w:pgNumType w:start="1"/>
          <w:cols w:space="720"/>
        </w:sectPr>
      </w:pPr>
    </w:p>
    <w:p w:rsidR="00673494" w:rsidRDefault="00673494" w:rsidP="00673494">
      <w:pPr>
        <w:keepNext/>
        <w:pBdr>
          <w:top w:val="nil"/>
          <w:left w:val="nil"/>
          <w:bottom w:val="nil"/>
          <w:right w:val="nil"/>
          <w:between w:val="nil"/>
        </w:pBdr>
        <w:spacing w:after="150" w:line="275" w:lineRule="auto"/>
        <w:ind w:left="600" w:right="600"/>
      </w:pPr>
      <w:r>
        <w:rPr>
          <w:noProof/>
        </w:rPr>
        <w:lastRenderedPageBreak/>
        <w:drawing>
          <wp:inline distT="0" distB="0" distL="0" distR="0">
            <wp:extent cx="8001635" cy="5227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069.jpg"/>
                    <pic:cNvPicPr/>
                  </pic:nvPicPr>
                  <pic:blipFill rotWithShape="1">
                    <a:blip r:embed="rId5">
                      <a:extLst>
                        <a:ext uri="{28A0092B-C50C-407E-A947-70E740481C1C}">
                          <a14:useLocalDpi xmlns:a14="http://schemas.microsoft.com/office/drawing/2010/main" val="0"/>
                        </a:ext>
                      </a:extLst>
                    </a:blip>
                    <a:srcRect t="7340"/>
                    <a:stretch/>
                  </pic:blipFill>
                  <pic:spPr bwMode="auto">
                    <a:xfrm>
                      <a:off x="0" y="0"/>
                      <a:ext cx="8002134" cy="5227581"/>
                    </a:xfrm>
                    <a:prstGeom prst="rect">
                      <a:avLst/>
                    </a:prstGeom>
                    <a:ln>
                      <a:noFill/>
                    </a:ln>
                    <a:extLst>
                      <a:ext uri="{53640926-AAD7-44D8-BBD7-CCE9431645EC}">
                        <a14:shadowObscured xmlns:a14="http://schemas.microsoft.com/office/drawing/2010/main"/>
                      </a:ext>
                    </a:extLst>
                  </pic:spPr>
                </pic:pic>
              </a:graphicData>
            </a:graphic>
          </wp:inline>
        </w:drawing>
      </w:r>
    </w:p>
    <w:p w:rsidR="00673494" w:rsidRDefault="00673494" w:rsidP="00673494">
      <w:pPr>
        <w:pStyle w:val="Caption"/>
      </w:pPr>
      <w:r>
        <w:t xml:space="preserve">Figure </w:t>
      </w:r>
      <w:fldSimple w:instr=" SEQ Figure \* ARABIC ">
        <w:r w:rsidR="006652AF">
          <w:rPr>
            <w:noProof/>
          </w:rPr>
          <w:t>1</w:t>
        </w:r>
      </w:fldSimple>
      <w:r>
        <w:t xml:space="preserve">: </w:t>
      </w:r>
      <w:r w:rsidRPr="00673494">
        <w:t xml:space="preserve">Current maps of </w:t>
      </w:r>
      <w:proofErr w:type="spellStart"/>
      <w:r w:rsidRPr="00673494">
        <w:t>Chaughare</w:t>
      </w:r>
      <w:proofErr w:type="spellEnd"/>
      <w:r w:rsidRPr="00673494">
        <w:t xml:space="preserve"> Ward (</w:t>
      </w:r>
      <w:proofErr w:type="spellStart"/>
      <w:r w:rsidRPr="00673494">
        <w:t>Konjyosom</w:t>
      </w:r>
      <w:proofErr w:type="spellEnd"/>
      <w:r w:rsidRPr="00673494">
        <w:t xml:space="preserve"> RM) focus on temples (numbered 1–9). Console Mission is updating this data to include 21 villages, focusing on the demographics and educational needs of the local youth population (ages 0–22) to drive our Community Learning Centre strategy.</w:t>
      </w:r>
    </w:p>
    <w:p w:rsidR="006652AF" w:rsidRDefault="00336498" w:rsidP="006652AF">
      <w:pPr>
        <w:keepNext/>
        <w:pBdr>
          <w:top w:val="nil"/>
          <w:left w:val="nil"/>
          <w:bottom w:val="nil"/>
          <w:right w:val="nil"/>
          <w:between w:val="nil"/>
        </w:pBdr>
        <w:spacing w:after="150" w:line="275" w:lineRule="auto"/>
        <w:ind w:left="600" w:right="600"/>
      </w:pPr>
      <w:r>
        <w:rPr>
          <w:noProof/>
        </w:rPr>
        <w:lastRenderedPageBreak/>
        <w:drawing>
          <wp:inline distT="0" distB="0" distL="0" distR="0" wp14:anchorId="192DD57F" wp14:editId="3422E994">
            <wp:extent cx="8640807" cy="2855343"/>
            <wp:effectExtent l="0" t="0" r="825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680026" cy="2868303"/>
                    </a:xfrm>
                    <a:prstGeom prst="rect">
                      <a:avLst/>
                    </a:prstGeom>
                  </pic:spPr>
                </pic:pic>
              </a:graphicData>
            </a:graphic>
          </wp:inline>
        </w:drawing>
      </w:r>
    </w:p>
    <w:p w:rsidR="00336498" w:rsidRDefault="006652AF" w:rsidP="006652AF">
      <w:pPr>
        <w:pStyle w:val="Caption"/>
        <w:rPr>
          <w:rFonts w:ascii="Google Sans" w:eastAsia="Google Sans" w:hAnsi="Google Sans" w:cs="Google Sans"/>
          <w:color w:val="1F1F1F"/>
        </w:rPr>
      </w:pPr>
      <w:r>
        <w:t xml:space="preserve">Figure </w:t>
      </w:r>
      <w:fldSimple w:instr=" SEQ Figure \* ARABIC ">
        <w:r>
          <w:rPr>
            <w:noProof/>
          </w:rPr>
          <w:t>2</w:t>
        </w:r>
      </w:fldSimple>
      <w:r>
        <w:t xml:space="preserve">: </w:t>
      </w:r>
      <w:proofErr w:type="spellStart"/>
      <w:r>
        <w:t>T</w:t>
      </w:r>
      <w:r>
        <w:t>amang</w:t>
      </w:r>
      <w:proofErr w:type="spellEnd"/>
      <w:r>
        <w:t xml:space="preserve"> speakers represent the vast majority in South </w:t>
      </w:r>
      <w:proofErr w:type="spellStart"/>
      <w:r>
        <w:t>Lalitpur</w:t>
      </w:r>
      <w:proofErr w:type="spellEnd"/>
      <w:r>
        <w:t>. By documenting this demographic (81% tribal/ethnic overall), Console Mission ensures that our expansion into 21 villages respects local ancestry while providing the necessary literacy and protection status to navigate the modern risks of labor and migration.</w:t>
      </w:r>
      <w:bookmarkStart w:id="0" w:name="_GoBack"/>
      <w:bookmarkEnd w:id="0"/>
    </w:p>
    <w:sectPr w:rsidR="00336498" w:rsidSect="00673494">
      <w:pgSz w:w="15840" w:h="12240" w:orient="landscape"/>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C1B6B8D-C2C2-4469-A645-26D5C6E26766}"/>
  </w:font>
  <w:font w:name="Google Sans">
    <w:altName w:val="Times New Roman"/>
    <w:charset w:val="00"/>
    <w:family w:val="auto"/>
    <w:pitch w:val="default"/>
    <w:embedRegular r:id="rId2" w:fontKey="{20325C9C-2483-4A96-BE6D-A504078405B0}"/>
    <w:embedBold r:id="rId3" w:fontKey="{387431A5-DAEC-4048-A258-2EAF57B70E19}"/>
    <w:embedItalic r:id="rId4" w:fontKey="{A0D693B7-D003-40F5-9FC9-984DF5F3B63B}"/>
  </w:font>
  <w:font w:name="Calibri">
    <w:panose1 w:val="020F0502020204030204"/>
    <w:charset w:val="00"/>
    <w:family w:val="swiss"/>
    <w:pitch w:val="variable"/>
    <w:sig w:usb0="E4002EFF" w:usb1="C000247B" w:usb2="00000009" w:usb3="00000000" w:csb0="000001FF" w:csb1="00000000"/>
    <w:embedRegular r:id="rId5" w:fontKey="{87526E1C-4720-45B9-80B1-A9292140A084}"/>
  </w:font>
  <w:font w:name="Mangal">
    <w:panose1 w:val="02040503050203030202"/>
    <w:charset w:val="00"/>
    <w:family w:val="roman"/>
    <w:pitch w:val="variable"/>
    <w:sig w:usb0="00008003" w:usb1="00000000" w:usb2="00000000" w:usb3="00000000" w:csb0="00000001" w:csb1="00000000"/>
    <w:embedRegular r:id="rId6" w:fontKey="{C4630E8B-E6AE-4285-A7C4-FF11DAD80161}"/>
  </w:font>
  <w:font w:name="Cambria">
    <w:panose1 w:val="02040503050406030204"/>
    <w:charset w:val="00"/>
    <w:family w:val="roman"/>
    <w:pitch w:val="variable"/>
    <w:sig w:usb0="E00006FF" w:usb1="420024FF" w:usb2="02000000" w:usb3="00000000" w:csb0="0000019F" w:csb1="00000000"/>
    <w:embedRegular r:id="rId7" w:fontKey="{4C17A820-B894-4C01-BB98-728FC1989C3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5973A4"/>
    <w:multiLevelType w:val="multilevel"/>
    <w:tmpl w:val="406A8448"/>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2F516245"/>
    <w:multiLevelType w:val="multilevel"/>
    <w:tmpl w:val="7FFED0EC"/>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4EE451AE"/>
    <w:multiLevelType w:val="multilevel"/>
    <w:tmpl w:val="8D50C488"/>
    <w:lvl w:ilvl="0">
      <w:start w:val="1"/>
      <w:numFmt w:val="bullet"/>
      <w:lvlText w:val="●"/>
      <w:lvlJc w:val="left"/>
      <w:pPr>
        <w:ind w:left="57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120"/>
    <w:rsid w:val="00336498"/>
    <w:rsid w:val="006652AF"/>
    <w:rsid w:val="00673494"/>
    <w:rsid w:val="00877120"/>
    <w:rsid w:val="00FA1F4A"/>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1DC404-360F-45FF-9127-A4338C34F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ne-NP"/>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styleId="TableGrid">
    <w:name w:val="Table Grid"/>
    <w:basedOn w:val="TableNormal"/>
    <w:uiPriority w:val="39"/>
    <w:rsid w:val="00336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73494"/>
    <w:pPr>
      <w:spacing w:after="200"/>
    </w:pPr>
    <w:rPr>
      <w:i/>
      <w:iCs/>
      <w:color w:val="1F497D"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3</cp:revision>
  <dcterms:created xsi:type="dcterms:W3CDTF">2026-05-11T08:37:00Z</dcterms:created>
  <dcterms:modified xsi:type="dcterms:W3CDTF">2026-05-11T09:12:00Z</dcterms:modified>
</cp:coreProperties>
</file>