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QUARTERLY REPORT FOR GLOBAL GIVING (JULY-SEPTEMBER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PROJECT TITLE: MOBILE  CLINIC SERVICES TO DEPRIVED COMMUNITIES</w:t>
      </w:r>
    </w:p>
    <w:p w:rsidR="00000000" w:rsidDel="00000000" w:rsidP="00000000" w:rsidRDefault="00000000" w:rsidRPr="00000000" w14:paraId="00000004">
      <w:pPr>
        <w:spacing w:line="276" w:lineRule="auto"/>
        <w:jc w:val="center"/>
        <w:rPr/>
      </w:pPr>
      <w:r w:rsidDel="00000000" w:rsidR="00000000" w:rsidRPr="00000000">
        <w:rPr/>
        <w:drawing>
          <wp:inline distB="114300" distT="114300" distL="114300" distR="114300">
            <wp:extent cx="3948113" cy="3948113"/>
            <wp:effectExtent b="0" l="0" r="0" t="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948113"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jc w:val="center"/>
        <w:rPr/>
      </w:pPr>
      <w:r w:rsidDel="00000000" w:rsidR="00000000" w:rsidRPr="00000000">
        <w:rPr>
          <w:rtl w:val="0"/>
        </w:rPr>
      </w:r>
    </w:p>
    <w:p w:rsidR="00000000" w:rsidDel="00000000" w:rsidP="00000000" w:rsidRDefault="00000000" w:rsidRPr="00000000" w14:paraId="00000006">
      <w:pPr>
        <w:spacing w:line="276" w:lineRule="auto"/>
        <w:jc w:val="center"/>
        <w:rPr>
          <w:b w:val="1"/>
          <w:bCs w:val="1"/>
        </w:rPr>
      </w:pPr>
      <w:r w:rsidDel="00000000" w:rsidR="00000000" w:rsidRPr="00000000">
        <w:rPr>
          <w:b w:val="1"/>
          <w:bCs w:val="1"/>
          <w:rtl w:val="0"/>
        </w:rPr>
        <w:t xml:space="preserve">Date: 15th September 2025</w:t>
      </w:r>
    </w:p>
    <w:p w:rsidR="00000000" w:rsidDel="00000000" w:rsidP="00000000" w:rsidRDefault="00000000" w:rsidRPr="00000000" w14:paraId="00000007">
      <w:pPr>
        <w:spacing w:line="276" w:lineRule="auto"/>
        <w:jc w:val="center"/>
        <w:rPr>
          <w:b w:val="1"/>
          <w:bCs w:val="1"/>
        </w:rPr>
      </w:pPr>
      <w:r w:rsidDel="00000000" w:rsidR="00000000" w:rsidRPr="00000000">
        <w:rPr>
          <w:b w:val="1"/>
          <w:bCs w:val="1"/>
          <w:rtl w:val="0"/>
        </w:rPr>
        <w:t xml:space="preserve">Prepared by</w:t>
      </w:r>
    </w:p>
    <w:p w:rsidR="00000000" w:rsidDel="00000000" w:rsidP="00000000" w:rsidRDefault="00000000" w:rsidRPr="00000000" w14:paraId="00000008">
      <w:pPr>
        <w:spacing w:line="276" w:lineRule="auto"/>
        <w:jc w:val="center"/>
        <w:rPr>
          <w:b w:val="1"/>
          <w:bCs w:val="1"/>
        </w:rPr>
      </w:pPr>
      <w:r w:rsidDel="00000000" w:rsidR="00000000" w:rsidRPr="00000000">
        <w:rPr>
          <w:b w:val="1"/>
          <w:bCs w:val="1"/>
          <w:rtl w:val="0"/>
        </w:rPr>
        <w:t xml:space="preserve"> Sulemana Suabira Suhuyini</w:t>
      </w:r>
    </w:p>
    <w:p w:rsidR="00000000" w:rsidDel="00000000" w:rsidP="00000000" w:rsidRDefault="00000000" w:rsidRPr="00000000" w14:paraId="00000009">
      <w:pPr>
        <w:spacing w:line="276" w:lineRule="auto"/>
        <w:jc w:val="center"/>
        <w:rPr>
          <w:b w:val="1"/>
          <w:bCs w:val="1"/>
        </w:rPr>
      </w:pPr>
      <w:r w:rsidDel="00000000" w:rsidR="00000000" w:rsidRPr="00000000">
        <w:rPr>
          <w:b w:val="1"/>
          <w:bCs w:val="1"/>
          <w:rtl w:val="0"/>
        </w:rPr>
        <w:t xml:space="preserve">Administrative Assistant</w:t>
      </w:r>
    </w:p>
    <w:p w:rsidR="00000000" w:rsidDel="00000000" w:rsidP="00000000" w:rsidRDefault="00000000" w:rsidRPr="00000000" w14:paraId="0000000A">
      <w:pPr>
        <w:spacing w:line="276" w:lineRule="auto"/>
        <w:jc w:val="center"/>
        <w:rPr>
          <w:b w:val="1"/>
          <w:bCs w:val="1"/>
        </w:rPr>
      </w:pPr>
      <w:r w:rsidDel="00000000" w:rsidR="00000000" w:rsidRPr="00000000">
        <w:rPr>
          <w:rtl w:val="0"/>
        </w:rPr>
      </w:r>
    </w:p>
    <w:p w:rsidR="00000000" w:rsidDel="00000000" w:rsidP="00000000" w:rsidRDefault="00000000" w:rsidRPr="00000000" w14:paraId="0000000B">
      <w:pPr>
        <w:spacing w:line="276" w:lineRule="auto"/>
        <w:jc w:val="center"/>
        <w:rPr>
          <w:b w:val="1"/>
          <w:bCs w:val="1"/>
        </w:rPr>
      </w:pPr>
      <w:r w:rsidDel="00000000" w:rsidR="00000000" w:rsidRPr="00000000">
        <w:rPr>
          <w:rtl w:val="0"/>
        </w:rPr>
      </w:r>
    </w:p>
    <w:p w:rsidR="00000000" w:rsidDel="00000000" w:rsidP="00000000" w:rsidRDefault="00000000" w:rsidRPr="00000000" w14:paraId="0000000C">
      <w:pPr>
        <w:spacing w:line="276" w:lineRule="auto"/>
        <w:jc w:val="center"/>
        <w:rPr>
          <w:b w:val="1"/>
          <w:bCs w:val="1"/>
        </w:rPr>
      </w:pPr>
      <w:r w:rsidDel="00000000" w:rsidR="00000000" w:rsidRPr="00000000">
        <w:rPr>
          <w:rtl w:val="0"/>
        </w:rPr>
      </w:r>
    </w:p>
    <w:p w:rsidR="00000000" w:rsidDel="00000000" w:rsidP="00000000" w:rsidRDefault="00000000" w:rsidRPr="00000000" w14:paraId="0000000D">
      <w:pPr>
        <w:spacing w:line="276" w:lineRule="auto"/>
        <w:jc w:val="center"/>
        <w:rPr>
          <w:b w:val="1"/>
          <w:bCs w:val="1"/>
        </w:rPr>
      </w:pPr>
      <w:r w:rsidDel="00000000" w:rsidR="00000000" w:rsidRPr="00000000">
        <w:rPr>
          <w:rtl w:val="0"/>
        </w:rPr>
      </w:r>
    </w:p>
    <w:p w:rsidR="00000000" w:rsidDel="00000000" w:rsidP="00000000" w:rsidRDefault="00000000" w:rsidRPr="00000000" w14:paraId="0000000E">
      <w:pPr>
        <w:spacing w:line="276" w:lineRule="auto"/>
        <w:jc w:val="center"/>
        <w:rPr>
          <w:b w:val="1"/>
          <w:bCs w:val="1"/>
        </w:rPr>
      </w:pPr>
      <w:r w:rsidDel="00000000" w:rsidR="00000000" w:rsidRPr="00000000">
        <w:rPr>
          <w:rtl w:val="0"/>
        </w:rPr>
      </w:r>
    </w:p>
    <w:p w:rsidR="00000000" w:rsidDel="00000000" w:rsidP="00000000" w:rsidRDefault="00000000" w:rsidRPr="00000000" w14:paraId="0000000F">
      <w:pPr>
        <w:spacing w:line="276" w:lineRule="auto"/>
        <w:jc w:val="left"/>
        <w:rPr>
          <w:b w:val="1"/>
          <w:bCs w:val="1"/>
        </w:rPr>
      </w:pPr>
      <w:r w:rsidDel="00000000" w:rsidR="00000000" w:rsidRPr="00000000">
        <w:rPr>
          <w:rtl w:val="0"/>
        </w:rPr>
      </w:r>
    </w:p>
    <w:p w:rsidR="00000000" w:rsidDel="00000000" w:rsidP="00000000" w:rsidRDefault="00000000" w:rsidRPr="00000000" w14:paraId="00000010">
      <w:pPr>
        <w:spacing w:line="276" w:lineRule="auto"/>
        <w:jc w:val="left"/>
        <w:rPr>
          <w:b w:val="1"/>
          <w:bCs w:val="1"/>
        </w:rPr>
      </w:pPr>
      <w:r w:rsidDel="00000000" w:rsidR="00000000" w:rsidRPr="00000000">
        <w:rPr>
          <w:rtl w:val="0"/>
        </w:rPr>
      </w:r>
    </w:p>
    <w:p w:rsidR="00000000" w:rsidDel="00000000" w:rsidP="00000000" w:rsidRDefault="00000000" w:rsidRPr="00000000" w14:paraId="00000011">
      <w:pPr>
        <w:spacing w:line="276" w:lineRule="auto"/>
        <w:jc w:val="left"/>
        <w:rPr>
          <w:b w:val="1"/>
          <w:bCs w:val="1"/>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1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 of its commitment to promoting health awareness and improving access to essential medical services, Hereafter Ghana continues to implement impactful health outreach programs within local communities. These community-based initiatives are designed to provide vital health education and services, addressing pressing health concerns while fostering overall well-being. By prioritizing the dissemination of accurate health information and facilitating preventive care, this outreach project seeks to empower individuals and communities to make informed health decisions and live healthier lives.</w:t>
      </w:r>
    </w:p>
    <w:p w:rsidR="00000000" w:rsidDel="00000000" w:rsidP="00000000" w:rsidRDefault="00000000" w:rsidRPr="00000000" w14:paraId="0000001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quarter, Hereafter Ghana focused on Health education. Educating the youth on Drug abuse.</w:t>
      </w:r>
    </w:p>
    <w:p w:rsidR="00000000" w:rsidDel="00000000" w:rsidP="00000000" w:rsidRDefault="00000000" w:rsidRPr="00000000" w14:paraId="00000016">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initiative is fueled by a collective dedication to assist the underserved communities and enhance overall well-being by providing them with the essential knowledge about their health.</w:t>
      </w:r>
    </w:p>
    <w:p w:rsidR="00000000" w:rsidDel="00000000" w:rsidP="00000000" w:rsidRDefault="00000000" w:rsidRPr="00000000" w14:paraId="00000017">
      <w:pPr>
        <w:spacing w:after="240" w:before="240" w:line="276"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MAIN OBJECTIVE</w:t>
      </w:r>
    </w:p>
    <w:p w:rsidR="00000000" w:rsidDel="00000000" w:rsidP="00000000" w:rsidRDefault="00000000" w:rsidRPr="00000000" w14:paraId="00000018">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primary objective of the outreach was to provide students at </w:t>
      </w:r>
      <w:r w:rsidDel="00000000" w:rsidR="00000000" w:rsidRPr="00000000">
        <w:rPr>
          <w:rFonts w:ascii="Times New Roman" w:cs="Times New Roman" w:eastAsia="Times New Roman" w:hAnsi="Times New Roman"/>
          <w:sz w:val="24"/>
          <w:szCs w:val="24"/>
          <w:rtl w:val="0"/>
        </w:rPr>
        <w:t xml:space="preserve"> Choggu Demonstration Junior High School and Al Maktoum Senior High School</w:t>
      </w:r>
      <w:r w:rsidDel="00000000" w:rsidR="00000000" w:rsidRPr="00000000">
        <w:rPr>
          <w:rFonts w:ascii="Times New Roman" w:cs="Times New Roman" w:eastAsia="Times New Roman" w:hAnsi="Times New Roman"/>
          <w:sz w:val="24"/>
          <w:szCs w:val="24"/>
          <w:highlight w:val="white"/>
          <w:rtl w:val="0"/>
        </w:rPr>
        <w:t xml:space="preserve"> with comprehensive information on drug abuse. This was aimed at equipping them with the knowledge to make healthier life choices and reduce the prevalence of preventable diseases within the school environment and their homes.</w:t>
      </w:r>
    </w:p>
    <w:p w:rsidR="00000000" w:rsidDel="00000000" w:rsidP="00000000" w:rsidRDefault="00000000" w:rsidRPr="00000000" w14:paraId="00000019">
      <w:pPr>
        <w:spacing w:after="240" w:before="240" w:line="276"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KEY ACTIVITIES</w:t>
      </w:r>
    </w:p>
    <w:p w:rsidR="00000000" w:rsidDel="00000000" w:rsidP="00000000" w:rsidRDefault="00000000" w:rsidRPr="00000000" w14:paraId="0000001A">
      <w:pPr>
        <w:spacing w:after="240" w:before="240" w:line="276"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was an interactive session between the Hereafter Ghana team and the students.</w:t>
      </w:r>
      <w:r w:rsidDel="00000000" w:rsidR="00000000" w:rsidRPr="00000000">
        <w:rPr>
          <w:rtl w:val="0"/>
        </w:rPr>
      </w:r>
    </w:p>
    <w:p w:rsidR="00000000" w:rsidDel="00000000" w:rsidP="00000000" w:rsidRDefault="00000000" w:rsidRPr="00000000" w14:paraId="0000001B">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covered three main areas:</w:t>
      </w:r>
    </w:p>
    <w:p w:rsidR="00000000" w:rsidDel="00000000" w:rsidP="00000000" w:rsidRDefault="00000000" w:rsidRPr="00000000" w14:paraId="0000001C">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of Drug Abuse – including peer pressure, curiosity, social influences, and emotional stress.</w:t>
      </w:r>
    </w:p>
    <w:p w:rsidR="00000000" w:rsidDel="00000000" w:rsidP="00000000" w:rsidRDefault="00000000" w:rsidRPr="00000000" w14:paraId="0000001D">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Drug Abuse – focusing on physical, psychological, academic, and social consequences.</w:t>
      </w:r>
    </w:p>
    <w:p w:rsidR="00000000" w:rsidDel="00000000" w:rsidP="00000000" w:rsidRDefault="00000000" w:rsidRPr="00000000" w14:paraId="0000001E">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Preventive Measures – such as building self-esteem, seeking guidance, peer education, and involving trusted adults or counselors.</w:t>
      </w:r>
    </w:p>
    <w:p w:rsidR="00000000" w:rsidDel="00000000" w:rsidP="00000000" w:rsidRDefault="00000000" w:rsidRPr="00000000" w14:paraId="0000001F">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students actively participated in the session by asking questions and sharing their experiences, which enriched the engagement and understanding of the topics discussed.</w:t>
      </w:r>
    </w:p>
    <w:p w:rsidR="00000000" w:rsidDel="00000000" w:rsidP="00000000" w:rsidRDefault="00000000" w:rsidRPr="00000000" w14:paraId="00000020">
      <w:pPr>
        <w:spacing w:after="240" w:before="240" w:line="276"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CONCLUSION</w:t>
      </w:r>
    </w:p>
    <w:p w:rsidR="00000000" w:rsidDel="00000000" w:rsidP="00000000" w:rsidRDefault="00000000" w:rsidRPr="00000000" w14:paraId="00000021">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session was well-received by both students and school authorities. Students expressed appreciation for the practical information shared, while the school administration acknowledged the relevance of the topics to the students’ health and well-being. The outreach fostered greater awareness and responsibility among the students regarding malaria prevention and sanitation practices.</w:t>
      </w:r>
    </w:p>
    <w:p w:rsidR="00000000" w:rsidDel="00000000" w:rsidP="00000000" w:rsidRDefault="00000000" w:rsidRPr="00000000" w14:paraId="00000022">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Hereafter Ghana remains committed to strengthening health education and outreach in schools and communities across Ghana. By equipping the youth with knowledge on preventable diseases and healthy habits, we aim to contribute meaningfully to the overall health and development of future generations.</w:t>
      </w:r>
    </w:p>
    <w:p w:rsidR="00000000" w:rsidDel="00000000" w:rsidP="00000000" w:rsidRDefault="00000000" w:rsidRPr="00000000" w14:paraId="00000023">
      <w:pPr>
        <w:spacing w:after="280" w:before="28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p>
    <w:p w:rsidR="00000000" w:rsidDel="00000000" w:rsidP="00000000" w:rsidRDefault="00000000" w:rsidRPr="00000000" w14:paraId="0000002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the dedicated Health Volunteers, and the committed staff of Hereafter Ghana for their invaluable contributions to the  project.</w:t>
      </w:r>
    </w:p>
    <w:p w:rsidR="00000000" w:rsidDel="00000000" w:rsidP="00000000" w:rsidRDefault="00000000" w:rsidRPr="00000000" w14:paraId="0000002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unwavering support and collaboration have been instrumental in ensuring that vulnerable underserved communities gain access to essential healthcare services including education and consultation. The success of this initiative reflects your shared commitment to safeguarding the health and well-being of the underserved communities, and we are deeply grateful for the trust and partnership you continue to show.</w:t>
      </w:r>
    </w:p>
    <w:p w:rsidR="00000000" w:rsidDel="00000000" w:rsidP="00000000" w:rsidRDefault="00000000" w:rsidRPr="00000000" w14:paraId="00000026">
      <w:pPr>
        <w:spacing w:after="240" w:before="24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Gallery </w:t>
      </w:r>
    </w:p>
    <w:p w:rsidR="00000000" w:rsidDel="00000000" w:rsidP="00000000" w:rsidRDefault="00000000" w:rsidRPr="00000000" w14:paraId="0000002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95713" cy="2513237"/>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795713" cy="251323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spacing w:after="160"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586163" cy="2376753"/>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586163" cy="237675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360" w:lineRule="auto"/>
        <w:rPr>
          <w:rFonts w:ascii="Calibri" w:cs="Calibri" w:eastAsia="Calibri" w:hAnsi="Calibri"/>
        </w:rPr>
      </w:pPr>
      <w:r w:rsidDel="00000000" w:rsidR="00000000" w:rsidRPr="00000000">
        <w:rPr>
          <w:rFonts w:ascii="Calibri" w:cs="Calibri" w:eastAsia="Calibri" w:hAnsi="Calibri"/>
        </w:rPr>
        <w:drawing>
          <wp:inline distB="0" distT="0" distL="0" distR="0">
            <wp:extent cx="3557588" cy="2673159"/>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557588" cy="267315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360" w:lineRule="auto"/>
        <w:rPr>
          <w:rFonts w:ascii="Calibri" w:cs="Calibri" w:eastAsia="Calibri" w:hAnsi="Calibri"/>
        </w:rPr>
      </w:pPr>
      <w:r w:rsidDel="00000000" w:rsidR="00000000" w:rsidRPr="00000000">
        <w:rPr>
          <w:rFonts w:ascii="Calibri" w:cs="Calibri" w:eastAsia="Calibri" w:hAnsi="Calibri"/>
        </w:rPr>
        <w:drawing>
          <wp:inline distB="0" distT="0" distL="0" distR="0">
            <wp:extent cx="3271838" cy="2439427"/>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271838" cy="243942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240" w:before="240" w:line="276"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2D">
      <w:pPr>
        <w:spacing w:line="276" w:lineRule="auto"/>
        <w:jc w:val="left"/>
        <w:rPr>
          <w:b w:val="1"/>
          <w:bCs w:val="1"/>
        </w:rPr>
      </w:pPr>
      <w:r w:rsidDel="00000000" w:rsidR="00000000" w:rsidRPr="00000000">
        <w:rPr>
          <w:rtl w:val="0"/>
        </w:rPr>
      </w:r>
    </w:p>
    <w:p w:rsidR="00000000" w:rsidDel="00000000" w:rsidP="00000000" w:rsidRDefault="00000000" w:rsidRPr="00000000" w14:paraId="0000002E">
      <w:pPr>
        <w:spacing w:line="276" w:lineRule="auto"/>
        <w:rPr>
          <w:b w:val="1"/>
          <w:bCs w:val="1"/>
        </w:rPr>
      </w:pPr>
      <w:r w:rsidDel="00000000" w:rsidR="00000000" w:rsidRPr="00000000">
        <w:rPr>
          <w:rtl w:val="0"/>
        </w:rPr>
      </w:r>
    </w:p>
    <w:p w:rsidR="00000000" w:rsidDel="00000000" w:rsidP="00000000" w:rsidRDefault="00000000" w:rsidRPr="00000000" w14:paraId="0000002F">
      <w:pPr>
        <w:spacing w:line="276" w:lineRule="auto"/>
        <w:jc w:val="center"/>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rPr/>
    </w:pPr>
    <w:r w:rsidDel="00000000" w:rsidR="00000000" w:rsidRPr="00000000">
      <w:rPr/>
      <w:drawing>
        <wp:inline distB="114300" distT="114300" distL="114300" distR="114300">
          <wp:extent cx="700088" cy="700088"/>
          <wp:effectExtent b="0" l="0" r="0" t="0"/>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00088" cy="7000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