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D5" w:rsidRPr="000220B9" w:rsidRDefault="005379D5" w:rsidP="005379D5">
      <w:pPr>
        <w:jc w:val="center"/>
        <w:rPr>
          <w:sz w:val="28"/>
          <w:szCs w:val="28"/>
        </w:rPr>
      </w:pPr>
      <w:r w:rsidRPr="000220B9">
        <w:rPr>
          <w:noProof/>
          <w:sz w:val="28"/>
          <w:szCs w:val="28"/>
        </w:rPr>
        <w:drawing>
          <wp:inline distT="0" distB="0" distL="0" distR="0">
            <wp:extent cx="1095555" cy="1043081"/>
            <wp:effectExtent l="0" t="0" r="0" b="0"/>
            <wp:docPr id="1" name="Picture 1" descr="C:\Users\ALI M.GULANI\Desktop\DIRECTOR'S PIX\VECTOR LOGO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 M.GULANI\Desktop\DIRECTOR'S PIX\VECTOR LOGO 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103" cy="107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9D5" w:rsidRPr="000220B9" w:rsidRDefault="005379D5" w:rsidP="005379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0220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ACTIVITY REPORT</w:t>
      </w:r>
    </w:p>
    <w:p w:rsidR="005379D5" w:rsidRPr="000220B9" w:rsidRDefault="005379D5" w:rsidP="007A49D6">
      <w:pPr>
        <w:spacing w:before="100" w:beforeAutospacing="1" w:after="100" w:afterAutospacing="1" w:line="240" w:lineRule="auto"/>
        <w:jc w:val="center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0220B9">
        <w:rPr>
          <w:rFonts w:asciiTheme="majorHAnsi" w:eastAsia="Times New Roman" w:hAnsiTheme="majorHAnsi" w:cstheme="majorHAnsi"/>
          <w:b/>
          <w:bCs/>
          <w:sz w:val="28"/>
          <w:szCs w:val="28"/>
        </w:rPr>
        <w:t>Distribution of Dignity Kits to Conflict-Affected Women and Adolescent Girls</w:t>
      </w:r>
      <w:r w:rsidR="00E82E5C" w:rsidRPr="000220B9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i</w:t>
      </w:r>
      <w:r w:rsidRPr="000220B9">
        <w:rPr>
          <w:rFonts w:asciiTheme="majorHAnsi" w:eastAsia="Times New Roman" w:hAnsiTheme="majorHAnsi" w:cstheme="majorHAnsi"/>
          <w:b/>
          <w:bCs/>
          <w:sz w:val="28"/>
          <w:szCs w:val="28"/>
        </w:rPr>
        <w:t>n Commemoration of the 16 Da</w:t>
      </w:r>
      <w:r w:rsidR="00E82E5C" w:rsidRPr="000220B9">
        <w:rPr>
          <w:rFonts w:asciiTheme="majorHAnsi" w:eastAsia="Times New Roman" w:hAnsiTheme="majorHAnsi" w:cstheme="majorHAnsi"/>
          <w:b/>
          <w:bCs/>
          <w:sz w:val="28"/>
          <w:szCs w:val="28"/>
        </w:rPr>
        <w:t>ys of Activism to End Violence a</w:t>
      </w:r>
      <w:r w:rsidRPr="000220B9">
        <w:rPr>
          <w:rFonts w:asciiTheme="majorHAnsi" w:eastAsia="Times New Roman" w:hAnsiTheme="majorHAnsi" w:cstheme="majorHAnsi"/>
          <w:b/>
          <w:bCs/>
          <w:sz w:val="28"/>
          <w:szCs w:val="28"/>
        </w:rPr>
        <w:t>gainst Women and Girls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1"/>
        <w:gridCol w:w="6989"/>
      </w:tblGrid>
      <w:tr w:rsidR="008B70A6" w:rsidRPr="000220B9" w:rsidTr="00B53B88">
        <w:tc>
          <w:tcPr>
            <w:tcW w:w="2721" w:type="dxa"/>
          </w:tcPr>
          <w:p w:rsidR="008B70A6" w:rsidRPr="000220B9" w:rsidRDefault="008B70A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220B9">
              <w:rPr>
                <w:rFonts w:ascii="Arial" w:hAnsi="Arial" w:cs="Arial"/>
                <w:b/>
                <w:sz w:val="28"/>
                <w:szCs w:val="28"/>
              </w:rPr>
              <w:t>Activity Title:</w:t>
            </w:r>
          </w:p>
        </w:tc>
        <w:tc>
          <w:tcPr>
            <w:tcW w:w="6989" w:type="dxa"/>
          </w:tcPr>
          <w:p w:rsidR="008B70A6" w:rsidRPr="000220B9" w:rsidRDefault="008B70A6" w:rsidP="001C6097">
            <w:pPr>
              <w:spacing w:before="100" w:beforeAutospacing="1" w:after="100" w:afterAutospacing="1" w:line="360" w:lineRule="auto"/>
              <w:outlineLvl w:val="2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proofErr w:type="spellStart"/>
            <w:r w:rsidRPr="000220B9">
              <w:rPr>
                <w:rFonts w:ascii="Arial" w:eastAsia="Times New Roman" w:hAnsi="Arial" w:cs="Arial"/>
                <w:bCs/>
                <w:sz w:val="28"/>
                <w:szCs w:val="28"/>
              </w:rPr>
              <w:t>Tarmuwa</w:t>
            </w:r>
            <w:proofErr w:type="spellEnd"/>
            <w:r w:rsidRPr="000220B9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, </w:t>
            </w:r>
            <w:proofErr w:type="spellStart"/>
            <w:r w:rsidRPr="000220B9">
              <w:rPr>
                <w:rFonts w:ascii="Arial" w:eastAsia="Times New Roman" w:hAnsi="Arial" w:cs="Arial"/>
                <w:bCs/>
                <w:sz w:val="28"/>
                <w:szCs w:val="28"/>
              </w:rPr>
              <w:t>Gujba</w:t>
            </w:r>
            <w:proofErr w:type="spellEnd"/>
            <w:r w:rsidRPr="000220B9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, and </w:t>
            </w:r>
            <w:proofErr w:type="spellStart"/>
            <w:r w:rsidRPr="000220B9">
              <w:rPr>
                <w:rFonts w:ascii="Arial" w:eastAsia="Times New Roman" w:hAnsi="Arial" w:cs="Arial"/>
                <w:bCs/>
                <w:sz w:val="28"/>
                <w:szCs w:val="28"/>
              </w:rPr>
              <w:t>Dama</w:t>
            </w:r>
            <w:r w:rsidRPr="000220B9">
              <w:rPr>
                <w:rFonts w:ascii="Arial" w:eastAsia="Times New Roman" w:hAnsi="Arial" w:cs="Arial"/>
                <w:bCs/>
                <w:sz w:val="28"/>
                <w:szCs w:val="28"/>
              </w:rPr>
              <w:t>turu</w:t>
            </w:r>
            <w:proofErr w:type="spellEnd"/>
            <w:r w:rsidRPr="000220B9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 LGAs – </w:t>
            </w:r>
            <w:proofErr w:type="spellStart"/>
            <w:r w:rsidRPr="000220B9">
              <w:rPr>
                <w:rFonts w:ascii="Arial" w:eastAsia="Times New Roman" w:hAnsi="Arial" w:cs="Arial"/>
                <w:bCs/>
                <w:sz w:val="28"/>
                <w:szCs w:val="28"/>
              </w:rPr>
              <w:t>Yobe</w:t>
            </w:r>
            <w:proofErr w:type="spellEnd"/>
            <w:r w:rsidRPr="000220B9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 State, Nigeria</w:t>
            </w:r>
          </w:p>
        </w:tc>
      </w:tr>
      <w:tr w:rsidR="008B70A6" w:rsidRPr="000220B9" w:rsidTr="00B53B88">
        <w:tc>
          <w:tcPr>
            <w:tcW w:w="2721" w:type="dxa"/>
          </w:tcPr>
          <w:p w:rsidR="008B70A6" w:rsidRPr="000220B9" w:rsidRDefault="00DB26E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Supported by: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989" w:type="dxa"/>
          </w:tcPr>
          <w:p w:rsidR="008B70A6" w:rsidRPr="000220B9" w:rsidRDefault="00DB26E8" w:rsidP="001C6097">
            <w:pPr>
              <w:spacing w:before="100" w:beforeAutospacing="1" w:after="100" w:afterAutospacing="1" w:line="36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United 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Nations Population Fund (UNFPA)</w:t>
            </w:r>
          </w:p>
        </w:tc>
      </w:tr>
      <w:tr w:rsidR="00DB26E8" w:rsidRPr="000220B9" w:rsidTr="00B53B88">
        <w:tc>
          <w:tcPr>
            <w:tcW w:w="2721" w:type="dxa"/>
          </w:tcPr>
          <w:p w:rsidR="00DB26E8" w:rsidRPr="000220B9" w:rsidRDefault="00DB26E8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Reporting Period: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989" w:type="dxa"/>
          </w:tcPr>
          <w:p w:rsidR="00DB26E8" w:rsidRPr="000220B9" w:rsidRDefault="00DB26E8" w:rsidP="001C6097">
            <w:pPr>
              <w:spacing w:before="100" w:beforeAutospacing="1" w:after="100" w:afterAutospacing="1" w:line="36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, 5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and</w:t>
            </w:r>
            <w:r w:rsidR="003A3E26"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6</w:t>
            </w:r>
            <w:r w:rsidR="003A3E26"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="003A3E26"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December 2025</w:t>
            </w:r>
          </w:p>
        </w:tc>
      </w:tr>
      <w:tr w:rsidR="00531372" w:rsidRPr="000220B9" w:rsidTr="00B53B88">
        <w:tc>
          <w:tcPr>
            <w:tcW w:w="2721" w:type="dxa"/>
          </w:tcPr>
          <w:p w:rsidR="00531372" w:rsidRPr="000220B9" w:rsidRDefault="0053137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Background / Context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989" w:type="dxa"/>
          </w:tcPr>
          <w:p w:rsidR="00531372" w:rsidRPr="000220B9" w:rsidRDefault="00531372" w:rsidP="00A315EA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Communities in </w:t>
            </w:r>
            <w:proofErr w:type="spellStart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>Gujba</w:t>
            </w:r>
            <w:proofErr w:type="spellEnd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proofErr w:type="spellStart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>Tarmuwa</w:t>
            </w:r>
            <w:proofErr w:type="spellEnd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, and parts of </w:t>
            </w:r>
            <w:proofErr w:type="spellStart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>Damaturu</w:t>
            </w:r>
            <w:proofErr w:type="spellEnd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 continue to suffer the humanitarian consequences </w:t>
            </w:r>
            <w:r w:rsidR="00A315EA">
              <w:rPr>
                <w:rFonts w:ascii="Arial" w:eastAsia="Times New Roman" w:hAnsi="Arial" w:cs="Arial"/>
                <w:sz w:val="28"/>
                <w:szCs w:val="28"/>
              </w:rPr>
              <w:t xml:space="preserve">of prolonged insecurity, forced 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displacement, poverty, and limited access to</w:t>
            </w:r>
            <w:r w:rsidR="00A315EA">
              <w:rPr>
                <w:rFonts w:ascii="Arial" w:eastAsia="Times New Roman" w:hAnsi="Arial" w:cs="Arial"/>
                <w:sz w:val="28"/>
                <w:szCs w:val="28"/>
              </w:rPr>
              <w:t xml:space="preserve"> essential protection services. 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Women and adolescent girls face unique protection risks including:</w:t>
            </w:r>
          </w:p>
          <w:p w:rsidR="00531372" w:rsidRPr="000220B9" w:rsidRDefault="00531372" w:rsidP="001C6097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Lack of access to menstrual hygiene materials</w:t>
            </w:r>
          </w:p>
          <w:p w:rsidR="00531372" w:rsidRPr="000220B9" w:rsidRDefault="00531372" w:rsidP="001C6097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Increased exposure to GBV</w:t>
            </w:r>
          </w:p>
          <w:p w:rsidR="00531372" w:rsidRPr="000220B9" w:rsidRDefault="00531372" w:rsidP="001C6097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Poor sanitation and hygiene</w:t>
            </w:r>
          </w:p>
          <w:p w:rsidR="00531372" w:rsidRPr="000220B9" w:rsidRDefault="00531372" w:rsidP="001C6097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Limited mobility and loss of livelihoods</w:t>
            </w:r>
          </w:p>
          <w:p w:rsidR="00531372" w:rsidRPr="000220B9" w:rsidRDefault="00531372" w:rsidP="00AB4AA0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To addre</w:t>
            </w:r>
            <w:r w:rsidR="00AB4AA0">
              <w:rPr>
                <w:rFonts w:ascii="Arial" w:eastAsia="Times New Roman" w:hAnsi="Arial" w:cs="Arial"/>
                <w:sz w:val="28"/>
                <w:szCs w:val="28"/>
              </w:rPr>
              <w:t>ss these urgent needs, HOPLE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, with support from 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UNFPA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, implemented a dignity kit distribution targeting the most vulnerable women and girls to promote safety, dignity, and improve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d menstrual hygiene management.</w:t>
            </w:r>
          </w:p>
        </w:tc>
      </w:tr>
      <w:tr w:rsidR="000E2019" w:rsidRPr="000220B9" w:rsidTr="00B53B88">
        <w:tc>
          <w:tcPr>
            <w:tcW w:w="2721" w:type="dxa"/>
          </w:tcPr>
          <w:p w:rsidR="000E2019" w:rsidRPr="000220B9" w:rsidRDefault="000E2019" w:rsidP="000E2019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Executi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ve Summary</w:t>
            </w:r>
          </w:p>
        </w:tc>
        <w:tc>
          <w:tcPr>
            <w:tcW w:w="6989" w:type="dxa"/>
          </w:tcPr>
          <w:p w:rsidR="000E2019" w:rsidRPr="000220B9" w:rsidRDefault="000E2019" w:rsidP="001C609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HOPLE has successfully conducted the distribution of 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400 dignity kits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 to conflict-affected women and adolescent girls in </w:t>
            </w:r>
            <w:proofErr w:type="spellStart"/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Gujba</w:t>
            </w:r>
            <w:proofErr w:type="spellEnd"/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Tarmuwa</w:t>
            </w:r>
            <w:proofErr w:type="spellEnd"/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, and </w:t>
            </w:r>
            <w:proofErr w:type="spellStart"/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Damaturu</w:t>
            </w:r>
            <w:proofErr w:type="spellEnd"/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LGAs of </w:t>
            </w:r>
            <w:proofErr w:type="spellStart"/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Yobe</w:t>
            </w:r>
            <w:proofErr w:type="spellEnd"/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State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, with generous support from the 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United Nations Population Fund (UNFPA)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.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br/>
              <w:t xml:space="preserve">The activity followed a 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transparent and fairness-based targeting process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, conducted in coordination with 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SEMA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CDO offices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, and relevant stakeholders.</w:t>
            </w:r>
          </w:p>
          <w:p w:rsidR="000E2019" w:rsidRPr="000220B9" w:rsidRDefault="000E2019" w:rsidP="001C6097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The distribution took place over three days:</w:t>
            </w:r>
          </w:p>
          <w:p w:rsidR="000E2019" w:rsidRPr="000220B9" w:rsidRDefault="000E2019" w:rsidP="001C6097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150 kits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 – </w:t>
            </w:r>
            <w:proofErr w:type="spellStart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>Buni</w:t>
            </w:r>
            <w:proofErr w:type="spellEnd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>Yadi</w:t>
            </w:r>
            <w:proofErr w:type="spellEnd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 (</w:t>
            </w:r>
            <w:proofErr w:type="spellStart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>Gujba</w:t>
            </w:r>
            <w:proofErr w:type="spellEnd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 LGA) </w:t>
            </w:r>
            <w:r w:rsidR="008B3147">
              <w:rPr>
                <w:rFonts w:ascii="Arial" w:eastAsia="Times New Roman" w:hAnsi="Arial" w:cs="Arial"/>
                <w:sz w:val="28"/>
                <w:szCs w:val="28"/>
              </w:rPr>
              <w:t xml:space="preserve">Secretariat 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on 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Thursday, 4th December 2025</w:t>
            </w:r>
          </w:p>
          <w:p w:rsidR="000E2019" w:rsidRPr="000220B9" w:rsidRDefault="000E2019" w:rsidP="001C6097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150 kits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 – </w:t>
            </w:r>
            <w:proofErr w:type="spellStart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>Tarmuwa</w:t>
            </w:r>
            <w:proofErr w:type="spellEnd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 LGA Secretariat on 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Friday, 5th December 2025</w:t>
            </w:r>
          </w:p>
          <w:p w:rsidR="000E2019" w:rsidRPr="000220B9" w:rsidRDefault="000E2019" w:rsidP="001C6097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100 kits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 – </w:t>
            </w:r>
            <w:proofErr w:type="spellStart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>Bulabulin</w:t>
            </w:r>
            <w:proofErr w:type="spellEnd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proofErr w:type="spellStart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>Damaturu</w:t>
            </w:r>
            <w:proofErr w:type="spellEnd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 on 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Saturday, 6th December 2025</w:t>
            </w:r>
          </w:p>
          <w:p w:rsidR="000E2019" w:rsidRPr="000220B9" w:rsidRDefault="000E2019" w:rsidP="008B31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Beneficiaries were primarily conflict-affected women and adolescent girls 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aged 15–40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, including survivors of displacement, </w:t>
            </w:r>
            <w:r w:rsidR="008849EF">
              <w:rPr>
                <w:rFonts w:ascii="Arial" w:eastAsia="Times New Roman" w:hAnsi="Arial" w:cs="Arial"/>
                <w:sz w:val="28"/>
                <w:szCs w:val="28"/>
              </w:rPr>
              <w:t xml:space="preserve">GBV, 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vulnerable households, and those at heightened protection risk.</w:t>
            </w:r>
          </w:p>
          <w:p w:rsidR="000E2019" w:rsidRPr="000220B9" w:rsidRDefault="000E2019" w:rsidP="008849E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The distribution was completed 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successfully, safely, and in an orderly manner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, with 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no recorded incidents of harm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 t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o beneficiaries or aid workers.</w:t>
            </w:r>
          </w:p>
        </w:tc>
      </w:tr>
      <w:tr w:rsidR="000E2019" w:rsidRPr="000220B9" w:rsidTr="00B53B88">
        <w:tc>
          <w:tcPr>
            <w:tcW w:w="2721" w:type="dxa"/>
          </w:tcPr>
          <w:p w:rsidR="000E2019" w:rsidRPr="000220B9" w:rsidRDefault="00613569" w:rsidP="000E2019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Objectives of the Activity</w:t>
            </w:r>
          </w:p>
        </w:tc>
        <w:tc>
          <w:tcPr>
            <w:tcW w:w="6989" w:type="dxa"/>
          </w:tcPr>
          <w:p w:rsidR="00613569" w:rsidRPr="000220B9" w:rsidRDefault="00613569" w:rsidP="001C6097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The primary objectives of the dignity kits distribution included:</w:t>
            </w:r>
          </w:p>
          <w:p w:rsidR="00613569" w:rsidRPr="000220B9" w:rsidRDefault="00613569" w:rsidP="00F56C3B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Promote women and girls’ dignity, safety, and wellbeing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 through access to essential hygiene and protection items.</w:t>
            </w:r>
          </w:p>
          <w:p w:rsidR="00613569" w:rsidRPr="000220B9" w:rsidRDefault="00613569" w:rsidP="00F56C3B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Support conflict-affected households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 with menstrual hygiene materials to reduce negative coping mechanisms.</w:t>
            </w:r>
          </w:p>
          <w:p w:rsidR="00613569" w:rsidRPr="000220B9" w:rsidRDefault="00613569" w:rsidP="00B0584D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Improve awareness of GBV prevention, child protection, and available referral pathways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 through community engagement.</w:t>
            </w:r>
          </w:p>
          <w:p w:rsidR="000E2019" w:rsidRPr="000220B9" w:rsidRDefault="00613569" w:rsidP="00B0584D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Strengthen coordination with government actors (SEMA, CDOs, and community leaders)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 to ensure fair, inclusive, and transparent selection of beneficiaries.</w:t>
            </w:r>
          </w:p>
        </w:tc>
      </w:tr>
      <w:tr w:rsidR="00613569" w:rsidRPr="000220B9" w:rsidTr="00B53B88">
        <w:tc>
          <w:tcPr>
            <w:tcW w:w="2721" w:type="dxa"/>
          </w:tcPr>
          <w:p w:rsidR="00613569" w:rsidRPr="000220B9" w:rsidRDefault="00613569" w:rsidP="000E2019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Target Beneficiaries</w:t>
            </w:r>
          </w:p>
        </w:tc>
        <w:tc>
          <w:tcPr>
            <w:tcW w:w="6989" w:type="dxa"/>
          </w:tcPr>
          <w:p w:rsidR="00613569" w:rsidRPr="000220B9" w:rsidRDefault="00613569" w:rsidP="001C6097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Targeted beneficiaries were:</w:t>
            </w:r>
          </w:p>
          <w:p w:rsidR="00613569" w:rsidRPr="000220B9" w:rsidRDefault="00613569" w:rsidP="001C6097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Conflict-affected women and adolescent girls</w:t>
            </w:r>
          </w:p>
          <w:p w:rsidR="00613569" w:rsidRPr="000220B9" w:rsidRDefault="00613569" w:rsidP="001C6097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IDPs, returnees, and vulnerable host community members</w:t>
            </w:r>
          </w:p>
          <w:p w:rsidR="00613569" w:rsidRPr="000220B9" w:rsidRDefault="00613569" w:rsidP="001C6097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Age group: 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15–40 years</w:t>
            </w:r>
          </w:p>
          <w:p w:rsidR="00613569" w:rsidRPr="000220B9" w:rsidRDefault="00613569" w:rsidP="001C6097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Prioritized groups include female-headed households, widows, young girls at risk, and women with limited access to income or hygiene materials.</w:t>
            </w:r>
          </w:p>
        </w:tc>
      </w:tr>
      <w:tr w:rsidR="00613569" w:rsidRPr="000220B9" w:rsidTr="00B53B88">
        <w:tc>
          <w:tcPr>
            <w:tcW w:w="2721" w:type="dxa"/>
          </w:tcPr>
          <w:p w:rsidR="00613569" w:rsidRPr="000220B9" w:rsidRDefault="00613569" w:rsidP="000E2019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Coordination and Stakeholder Engagement</w:t>
            </w:r>
          </w:p>
        </w:tc>
        <w:tc>
          <w:tcPr>
            <w:tcW w:w="6989" w:type="dxa"/>
          </w:tcPr>
          <w:p w:rsidR="00613569" w:rsidRPr="000220B9" w:rsidRDefault="00613569" w:rsidP="001C6097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The activity was carried out in close collaboration with:</w:t>
            </w:r>
          </w:p>
          <w:p w:rsidR="00613569" w:rsidRPr="000220B9" w:rsidRDefault="00613569" w:rsidP="001C6097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UNFPA (support and technical guidance)</w:t>
            </w:r>
          </w:p>
          <w:p w:rsidR="00613569" w:rsidRPr="000220B9" w:rsidRDefault="00613569" w:rsidP="001C6097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SEMA Representatives (oversight and coordination)</w:t>
            </w:r>
          </w:p>
          <w:p w:rsidR="00613569" w:rsidRPr="000220B9" w:rsidRDefault="00613569" w:rsidP="001C6097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Community Development Officers (CDOs)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 from </w:t>
            </w:r>
            <w:proofErr w:type="spellStart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>Gujba</w:t>
            </w:r>
            <w:proofErr w:type="spellEnd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proofErr w:type="spellStart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>Tarmuwa</w:t>
            </w:r>
            <w:proofErr w:type="spellEnd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, and </w:t>
            </w:r>
            <w:proofErr w:type="spellStart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>Damaturu</w:t>
            </w:r>
            <w:proofErr w:type="spellEnd"/>
          </w:p>
          <w:p w:rsidR="00613569" w:rsidRPr="000220B9" w:rsidRDefault="00613569" w:rsidP="001C6097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Community Leaders and Women Focal Persons</w:t>
            </w:r>
          </w:p>
          <w:p w:rsidR="00613569" w:rsidRPr="000220B9" w:rsidRDefault="00613569" w:rsidP="001C6097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Local Government Authorities</w:t>
            </w:r>
          </w:p>
          <w:p w:rsidR="00613569" w:rsidRPr="000220B9" w:rsidRDefault="00613569" w:rsidP="001C6097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Stakeholder engagement ensured:</w:t>
            </w:r>
          </w:p>
          <w:p w:rsidR="00613569" w:rsidRPr="000220B9" w:rsidRDefault="00613569" w:rsidP="001C6097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Transparent beneficiary targeting</w:t>
            </w:r>
          </w:p>
          <w:p w:rsidR="00613569" w:rsidRPr="000220B9" w:rsidRDefault="00613569" w:rsidP="001C6097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Smooth logistical arrangements</w:t>
            </w:r>
          </w:p>
          <w:p w:rsidR="00613569" w:rsidRPr="000220B9" w:rsidRDefault="00613569" w:rsidP="001C6097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Community acceptance and participation</w:t>
            </w:r>
          </w:p>
          <w:p w:rsidR="00613569" w:rsidRPr="000220B9" w:rsidRDefault="00613569" w:rsidP="001C6097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Security and crowd control during the distribution</w:t>
            </w:r>
          </w:p>
        </w:tc>
      </w:tr>
      <w:tr w:rsidR="00613569" w:rsidRPr="000220B9" w:rsidTr="00B53B88">
        <w:tc>
          <w:tcPr>
            <w:tcW w:w="2721" w:type="dxa"/>
          </w:tcPr>
          <w:p w:rsidR="00613569" w:rsidRPr="000220B9" w:rsidRDefault="00613569" w:rsidP="000E2019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Distribution Summary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989" w:type="dxa"/>
          </w:tcPr>
          <w:p w:rsidR="00613569" w:rsidRPr="000220B9" w:rsidRDefault="00613569" w:rsidP="001C6097">
            <w:pPr>
              <w:spacing w:before="100" w:beforeAutospacing="1" w:after="100" w:afterAutospacing="1" w:line="36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6.1 Distribution Schedule and Locations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6"/>
              <w:gridCol w:w="1875"/>
              <w:gridCol w:w="1310"/>
              <w:gridCol w:w="1852"/>
            </w:tblGrid>
            <w:tr w:rsidR="00613569" w:rsidRPr="000220B9" w:rsidTr="00613569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569" w:rsidRPr="000220B9" w:rsidRDefault="00613569" w:rsidP="001C6097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0220B9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Date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569" w:rsidRPr="000220B9" w:rsidRDefault="00613569" w:rsidP="001C6097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0220B9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Location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569" w:rsidRPr="000220B9" w:rsidRDefault="00613569" w:rsidP="001C6097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0220B9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LGA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569" w:rsidRPr="000220B9" w:rsidRDefault="00613569" w:rsidP="001C6097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0220B9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Quantity Distributed</w:t>
                  </w:r>
                </w:p>
              </w:tc>
            </w:tr>
            <w:tr w:rsidR="00613569" w:rsidRPr="000220B9" w:rsidTr="00613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569" w:rsidRPr="000220B9" w:rsidRDefault="00613569" w:rsidP="001C6097">
                  <w:pPr>
                    <w:spacing w:after="0" w:line="36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0220B9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4th December 2025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569" w:rsidRPr="000220B9" w:rsidRDefault="00613569" w:rsidP="001C6097">
                  <w:pPr>
                    <w:spacing w:after="0" w:line="36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proofErr w:type="spellStart"/>
                  <w:r w:rsidRPr="000220B9">
                    <w:rPr>
                      <w:rFonts w:ascii="Arial" w:eastAsia="Times New Roman" w:hAnsi="Arial" w:cs="Arial"/>
                      <w:sz w:val="28"/>
                      <w:szCs w:val="28"/>
                    </w:rPr>
                    <w:t>Buni</w:t>
                  </w:r>
                  <w:proofErr w:type="spellEnd"/>
                  <w:r w:rsidRPr="000220B9">
                    <w:rPr>
                      <w:rFonts w:ascii="Arial" w:eastAsia="Times New Roman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20B9">
                    <w:rPr>
                      <w:rFonts w:ascii="Arial" w:eastAsia="Times New Roman" w:hAnsi="Arial" w:cs="Arial"/>
                      <w:sz w:val="28"/>
                      <w:szCs w:val="28"/>
                    </w:rPr>
                    <w:t>Yadi</w:t>
                  </w:r>
                  <w:proofErr w:type="spellEnd"/>
                  <w:r w:rsidRPr="000220B9">
                    <w:rPr>
                      <w:rFonts w:ascii="Arial" w:eastAsia="Times New Roman" w:hAnsi="Arial" w:cs="Arial"/>
                      <w:sz w:val="28"/>
                      <w:szCs w:val="28"/>
                    </w:rPr>
                    <w:t xml:space="preserve"> LGA Secretariat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569" w:rsidRPr="000220B9" w:rsidRDefault="00613569" w:rsidP="001C6097">
                  <w:pPr>
                    <w:spacing w:after="0" w:line="36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proofErr w:type="spellStart"/>
                  <w:r w:rsidRPr="000220B9">
                    <w:rPr>
                      <w:rFonts w:ascii="Arial" w:eastAsia="Times New Roman" w:hAnsi="Arial" w:cs="Arial"/>
                      <w:sz w:val="28"/>
                      <w:szCs w:val="28"/>
                    </w:rPr>
                    <w:t>Gujba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569" w:rsidRPr="000220B9" w:rsidRDefault="00613569" w:rsidP="001C6097">
                  <w:pPr>
                    <w:spacing w:after="0" w:line="36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0220B9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150 kits</w:t>
                  </w:r>
                </w:p>
              </w:tc>
            </w:tr>
            <w:tr w:rsidR="00613569" w:rsidRPr="000220B9" w:rsidTr="00613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569" w:rsidRPr="000220B9" w:rsidRDefault="00613569" w:rsidP="001C6097">
                  <w:pPr>
                    <w:spacing w:after="0" w:line="36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0220B9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5th December 2025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569" w:rsidRPr="000220B9" w:rsidRDefault="00613569" w:rsidP="001C6097">
                  <w:pPr>
                    <w:spacing w:after="0" w:line="36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proofErr w:type="spellStart"/>
                  <w:r w:rsidRPr="000220B9">
                    <w:rPr>
                      <w:rFonts w:ascii="Arial" w:eastAsia="Times New Roman" w:hAnsi="Arial" w:cs="Arial"/>
                      <w:sz w:val="28"/>
                      <w:szCs w:val="28"/>
                    </w:rPr>
                    <w:t>Tarmuwa</w:t>
                  </w:r>
                  <w:proofErr w:type="spellEnd"/>
                  <w:r w:rsidRPr="000220B9">
                    <w:rPr>
                      <w:rFonts w:ascii="Arial" w:eastAsia="Times New Roman" w:hAnsi="Arial" w:cs="Arial"/>
                      <w:sz w:val="28"/>
                      <w:szCs w:val="28"/>
                    </w:rPr>
                    <w:t xml:space="preserve"> LGA Secretariat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569" w:rsidRPr="000220B9" w:rsidRDefault="00613569" w:rsidP="001C6097">
                  <w:pPr>
                    <w:spacing w:after="0" w:line="36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proofErr w:type="spellStart"/>
                  <w:r w:rsidRPr="000220B9">
                    <w:rPr>
                      <w:rFonts w:ascii="Arial" w:eastAsia="Times New Roman" w:hAnsi="Arial" w:cs="Arial"/>
                      <w:sz w:val="28"/>
                      <w:szCs w:val="28"/>
                    </w:rPr>
                    <w:t>Tarmuwa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569" w:rsidRPr="000220B9" w:rsidRDefault="00613569" w:rsidP="001C6097">
                  <w:pPr>
                    <w:spacing w:after="0" w:line="36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0220B9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150 kits</w:t>
                  </w:r>
                </w:p>
              </w:tc>
            </w:tr>
            <w:tr w:rsidR="00613569" w:rsidRPr="000220B9" w:rsidTr="00613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569" w:rsidRPr="000220B9" w:rsidRDefault="00613569" w:rsidP="001C6097">
                  <w:pPr>
                    <w:spacing w:after="0" w:line="36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0220B9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6th December 2025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569" w:rsidRPr="000220B9" w:rsidRDefault="00613569" w:rsidP="001C6097">
                  <w:pPr>
                    <w:spacing w:after="0" w:line="36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proofErr w:type="spellStart"/>
                  <w:r w:rsidRPr="000220B9">
                    <w:rPr>
                      <w:rFonts w:ascii="Arial" w:eastAsia="Times New Roman" w:hAnsi="Arial" w:cs="Arial"/>
                      <w:sz w:val="28"/>
                      <w:szCs w:val="28"/>
                    </w:rPr>
                    <w:t>Bulabulin</w:t>
                  </w:r>
                  <w:proofErr w:type="spellEnd"/>
                  <w:r w:rsidRPr="000220B9">
                    <w:rPr>
                      <w:rFonts w:ascii="Arial" w:eastAsia="Times New Roman" w:hAnsi="Arial" w:cs="Arial"/>
                      <w:sz w:val="28"/>
                      <w:szCs w:val="28"/>
                    </w:rPr>
                    <w:t xml:space="preserve"> Ward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569" w:rsidRPr="000220B9" w:rsidRDefault="00613569" w:rsidP="001C6097">
                  <w:pPr>
                    <w:spacing w:after="0" w:line="36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proofErr w:type="spellStart"/>
                  <w:r w:rsidRPr="000220B9">
                    <w:rPr>
                      <w:rFonts w:ascii="Arial" w:eastAsia="Times New Roman" w:hAnsi="Arial" w:cs="Arial"/>
                      <w:sz w:val="28"/>
                      <w:szCs w:val="28"/>
                    </w:rPr>
                    <w:t>Damaturu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569" w:rsidRPr="000220B9" w:rsidRDefault="00613569" w:rsidP="001C6097">
                  <w:pPr>
                    <w:spacing w:after="0" w:line="36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0220B9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100 kits</w:t>
                  </w:r>
                </w:p>
              </w:tc>
            </w:tr>
          </w:tbl>
          <w:p w:rsidR="00613569" w:rsidRPr="000220B9" w:rsidRDefault="00613569" w:rsidP="001C6097">
            <w:pPr>
              <w:spacing w:before="100" w:beforeAutospacing="1" w:after="100" w:afterAutospacing="1" w:line="36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Tota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l Distributed: 400 dignity kits</w:t>
            </w:r>
          </w:p>
        </w:tc>
      </w:tr>
      <w:tr w:rsidR="00613569" w:rsidRPr="000220B9" w:rsidTr="00B53B88">
        <w:tc>
          <w:tcPr>
            <w:tcW w:w="2721" w:type="dxa"/>
          </w:tcPr>
          <w:p w:rsidR="00613569" w:rsidRPr="000220B9" w:rsidRDefault="00613569" w:rsidP="000E2019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Activity Implementation Process</w:t>
            </w:r>
          </w:p>
        </w:tc>
        <w:tc>
          <w:tcPr>
            <w:tcW w:w="6989" w:type="dxa"/>
          </w:tcPr>
          <w:p w:rsidR="00812583" w:rsidRDefault="00812583" w:rsidP="001C6097">
            <w:pPr>
              <w:spacing w:before="100" w:beforeAutospacing="1" w:after="100" w:afterAutospacing="1" w:line="36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  <w:p w:rsidR="00613569" w:rsidRPr="000220B9" w:rsidRDefault="00613569" w:rsidP="001C6097">
            <w:pPr>
              <w:spacing w:before="100" w:beforeAutospacing="1" w:after="100" w:afterAutospacing="1" w:line="36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Beneficiary Targeting</w:t>
            </w:r>
          </w:p>
          <w:p w:rsidR="00613569" w:rsidRPr="000220B9" w:rsidRDefault="00613569" w:rsidP="001C6097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Targeting was conducted through an 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inclusive and fairness-based approach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.</w:t>
            </w:r>
            <w:r w:rsidR="00641B4E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  <w:p w:rsidR="00613569" w:rsidRPr="000220B9" w:rsidRDefault="00613569" w:rsidP="001C6097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Community leaders, women groups, CDOs, and SEMA were fully involved.</w:t>
            </w:r>
          </w:p>
          <w:p w:rsidR="00613569" w:rsidRPr="000220B9" w:rsidRDefault="00613569" w:rsidP="001C6097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Verification of beneficiary lists was completed prior to the distribution date.</w:t>
            </w:r>
          </w:p>
          <w:p w:rsidR="00613569" w:rsidRPr="000220B9" w:rsidRDefault="00613569" w:rsidP="001C6097">
            <w:pPr>
              <w:spacing w:before="100" w:beforeAutospacing="1" w:after="100" w:afterAutospacing="1" w:line="36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Distribution Approach</w:t>
            </w:r>
          </w:p>
          <w:p w:rsidR="00613569" w:rsidRPr="000220B9" w:rsidRDefault="00613569" w:rsidP="001C6097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Registration and identity verification</w:t>
            </w:r>
          </w:p>
          <w:p w:rsidR="00613569" w:rsidRPr="000220B9" w:rsidRDefault="00613569" w:rsidP="001C6097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Awareness and brief orientation on kit contents</w:t>
            </w:r>
          </w:p>
          <w:p w:rsidR="00613569" w:rsidRPr="000220B9" w:rsidRDefault="00613569" w:rsidP="001C6097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Safe, orderly line-up and crowd control</w:t>
            </w:r>
          </w:p>
          <w:p w:rsidR="00613569" w:rsidRPr="000220B9" w:rsidRDefault="00613569" w:rsidP="001C6097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Distribution </w:t>
            </w:r>
            <w:r w:rsidR="00181888">
              <w:rPr>
                <w:rFonts w:ascii="Arial" w:eastAsia="Times New Roman" w:hAnsi="Arial" w:cs="Arial"/>
                <w:sz w:val="28"/>
                <w:szCs w:val="28"/>
              </w:rPr>
              <w:t>supervised jointly by HOPLE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, SEMA, and CDO staff</w:t>
            </w:r>
          </w:p>
          <w:p w:rsidR="00613569" w:rsidRPr="000220B9" w:rsidRDefault="00613569" w:rsidP="001C6097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GBV and child protection key messages delivered before handover of kits</w:t>
            </w:r>
          </w:p>
          <w:p w:rsidR="00613569" w:rsidRPr="000220B9" w:rsidRDefault="00613569" w:rsidP="001C6097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Safety and Do-No-Harm</w:t>
            </w:r>
          </w:p>
          <w:p w:rsidR="00613569" w:rsidRPr="000220B9" w:rsidRDefault="00613569" w:rsidP="001C6097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The distribution adhered to 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UNFPA protection principles</w:t>
            </w:r>
          </w:p>
          <w:p w:rsidR="00613569" w:rsidRPr="000220B9" w:rsidRDefault="00613569" w:rsidP="001C6097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No security incident or harm recorded</w:t>
            </w:r>
          </w:p>
          <w:p w:rsidR="00613569" w:rsidRPr="000220B9" w:rsidRDefault="00613569" w:rsidP="001C6097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Safe and dignified access ensured for adolescent girls and women</w:t>
            </w:r>
          </w:p>
          <w:p w:rsidR="00613569" w:rsidRPr="000220B9" w:rsidRDefault="00613569" w:rsidP="001C6097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Complaint and feedback mechanisms were available at each site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. </w:t>
            </w:r>
          </w:p>
        </w:tc>
      </w:tr>
      <w:tr w:rsidR="00613569" w:rsidRPr="000220B9" w:rsidTr="00B53B88">
        <w:tc>
          <w:tcPr>
            <w:tcW w:w="2721" w:type="dxa"/>
          </w:tcPr>
          <w:p w:rsidR="00613569" w:rsidRPr="000220B9" w:rsidRDefault="00613569" w:rsidP="000E2019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Key Achievements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989" w:type="dxa"/>
          </w:tcPr>
          <w:p w:rsidR="00613569" w:rsidRPr="000220B9" w:rsidRDefault="00613569" w:rsidP="001C6097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Successfully reached 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400 conflict-affected women and adolescent girls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 across 3 LGAs.</w:t>
            </w:r>
          </w:p>
          <w:p w:rsidR="00613569" w:rsidRPr="000220B9" w:rsidRDefault="00613569" w:rsidP="001C6097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Enhanced menstrual hygiene and protection for vulnerable women/girls.</w:t>
            </w:r>
          </w:p>
          <w:p w:rsidR="00613569" w:rsidRPr="000220B9" w:rsidRDefault="00613569" w:rsidP="001C6097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Strengthened local coordination with SEMA, CDOs, and community leaders.</w:t>
            </w:r>
          </w:p>
          <w:p w:rsidR="00613569" w:rsidRPr="000220B9" w:rsidRDefault="00613569" w:rsidP="001C6097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Increased awareness of GBV prevention, child protection, and available services.</w:t>
            </w:r>
          </w:p>
          <w:p w:rsidR="00613569" w:rsidRPr="000220B9" w:rsidRDefault="00613569" w:rsidP="001C6097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Conducted safe and orderly distribution with 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zero incidents recorded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.</w:t>
            </w:r>
          </w:p>
          <w:p w:rsidR="00613569" w:rsidRPr="000220B9" w:rsidRDefault="00613569" w:rsidP="001C6097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Improved community trust and vi</w:t>
            </w:r>
            <w:r w:rsidR="00181888">
              <w:rPr>
                <w:rFonts w:ascii="Arial" w:eastAsia="Times New Roman" w:hAnsi="Arial" w:cs="Arial"/>
                <w:sz w:val="28"/>
                <w:szCs w:val="28"/>
              </w:rPr>
              <w:t xml:space="preserve">sibility of UNFPA and HOPLE 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interventions.</w:t>
            </w:r>
          </w:p>
        </w:tc>
      </w:tr>
      <w:tr w:rsidR="00613569" w:rsidRPr="000220B9" w:rsidTr="00B53B88">
        <w:tc>
          <w:tcPr>
            <w:tcW w:w="2721" w:type="dxa"/>
          </w:tcPr>
          <w:p w:rsidR="00613569" w:rsidRPr="000220B9" w:rsidRDefault="00613569" w:rsidP="000E2019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Challenges and Mitigation Measures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989" w:type="dxa"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5"/>
              <w:gridCol w:w="3858"/>
            </w:tblGrid>
            <w:tr w:rsidR="00BC5053" w:rsidRPr="000220B9" w:rsidTr="00CB40B1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5053" w:rsidRPr="000220B9" w:rsidRDefault="00BC5053" w:rsidP="00346BF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0220B9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Challenge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053" w:rsidRPr="000220B9" w:rsidRDefault="00BC5053" w:rsidP="00346BF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0220B9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Mitigation</w:t>
                  </w:r>
                </w:p>
              </w:tc>
            </w:tr>
            <w:tr w:rsidR="00BC5053" w:rsidRPr="000220B9" w:rsidTr="00CB40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5053" w:rsidRPr="000220B9" w:rsidRDefault="00BC5053" w:rsidP="00346BF2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0220B9">
                    <w:rPr>
                      <w:rFonts w:ascii="Arial" w:eastAsia="Times New Roman" w:hAnsi="Arial" w:cs="Arial"/>
                      <w:sz w:val="28"/>
                      <w:szCs w:val="28"/>
                    </w:rPr>
                    <w:t>High demand due to large population of vulnerable women and girls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053" w:rsidRPr="000220B9" w:rsidRDefault="00BC5053" w:rsidP="00346BF2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0220B9">
                    <w:rPr>
                      <w:rFonts w:ascii="Arial" w:eastAsia="Times New Roman" w:hAnsi="Arial" w:cs="Arial"/>
                      <w:sz w:val="28"/>
                      <w:szCs w:val="28"/>
                    </w:rPr>
                    <w:t>Beneficiary lists were strictly verified and prioritized based on vulnerability criteria.</w:t>
                  </w:r>
                </w:p>
              </w:tc>
            </w:tr>
            <w:tr w:rsidR="00BC5053" w:rsidRPr="000220B9" w:rsidTr="00CB40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5053" w:rsidRPr="000220B9" w:rsidRDefault="00BC5053" w:rsidP="00346BF2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0220B9">
                    <w:rPr>
                      <w:rFonts w:ascii="Arial" w:eastAsia="Times New Roman" w:hAnsi="Arial" w:cs="Arial"/>
                      <w:sz w:val="28"/>
                      <w:szCs w:val="28"/>
                    </w:rPr>
                    <w:t>Distance and mobility constraints for some beneficiaries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053" w:rsidRPr="000220B9" w:rsidRDefault="00BC5053" w:rsidP="00346BF2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0220B9">
                    <w:rPr>
                      <w:rFonts w:ascii="Arial" w:eastAsia="Times New Roman" w:hAnsi="Arial" w:cs="Arial"/>
                      <w:sz w:val="28"/>
                      <w:szCs w:val="28"/>
                    </w:rPr>
                    <w:t>Community volunteers supported with referrals and transportation arrangements for the most vulnerable.</w:t>
                  </w:r>
                </w:p>
              </w:tc>
            </w:tr>
            <w:tr w:rsidR="00BC5053" w:rsidRPr="000220B9" w:rsidTr="00CB40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5053" w:rsidRPr="000220B9" w:rsidRDefault="00BC5053" w:rsidP="00346BF2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0220B9">
                    <w:rPr>
                      <w:rFonts w:ascii="Arial" w:eastAsia="Times New Roman" w:hAnsi="Arial" w:cs="Arial"/>
                      <w:sz w:val="28"/>
                      <w:szCs w:val="28"/>
                    </w:rPr>
                    <w:t>Large crowd turnout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053" w:rsidRPr="000220B9" w:rsidRDefault="00BC5053" w:rsidP="00346BF2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</w:rPr>
                  </w:pPr>
                  <w:r w:rsidRPr="000220B9">
                    <w:rPr>
                      <w:rFonts w:ascii="Arial" w:eastAsia="Times New Roman" w:hAnsi="Arial" w:cs="Arial"/>
                      <w:sz w:val="28"/>
                      <w:szCs w:val="28"/>
                    </w:rPr>
                    <w:t>Crowd control support was provided through community leaders and CDO offices.</w:t>
                  </w:r>
                </w:p>
              </w:tc>
            </w:tr>
          </w:tbl>
          <w:p w:rsidR="00613569" w:rsidRPr="000220B9" w:rsidRDefault="00613569" w:rsidP="001C6097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BC5053" w:rsidRPr="000220B9" w:rsidTr="00B53B88">
        <w:tc>
          <w:tcPr>
            <w:tcW w:w="2721" w:type="dxa"/>
          </w:tcPr>
          <w:p w:rsidR="00BC5053" w:rsidRPr="000220B9" w:rsidRDefault="009C34A0" w:rsidP="000E2019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Lessons Learned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989" w:type="dxa"/>
          </w:tcPr>
          <w:p w:rsidR="009C34A0" w:rsidRPr="000220B9" w:rsidRDefault="009C34A0" w:rsidP="001C6097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Early coordination with stakeholders ensures efficient implementation.</w:t>
            </w:r>
          </w:p>
          <w:p w:rsidR="009C34A0" w:rsidRPr="000220B9" w:rsidRDefault="009C34A0" w:rsidP="001C6097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Fairness-based targeting reduces tension and promotes community acceptance.</w:t>
            </w:r>
          </w:p>
          <w:p w:rsidR="009C34A0" w:rsidRPr="000220B9" w:rsidRDefault="009C34A0" w:rsidP="001C6097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Distributing GBV awareness messages before kit handover leads to better understanding of available protection services.</w:t>
            </w:r>
          </w:p>
          <w:p w:rsidR="00BC5053" w:rsidRPr="000220B9" w:rsidRDefault="009C34A0" w:rsidP="001C6097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Engaging women volunteers improves communication with adolescent girls</w:t>
            </w:r>
          </w:p>
        </w:tc>
      </w:tr>
      <w:tr w:rsidR="009C34A0" w:rsidRPr="000220B9" w:rsidTr="00B53B88">
        <w:tc>
          <w:tcPr>
            <w:tcW w:w="2721" w:type="dxa"/>
          </w:tcPr>
          <w:p w:rsidR="009C34A0" w:rsidRPr="000220B9" w:rsidRDefault="009C34A0" w:rsidP="000E2019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Recommendations</w:t>
            </w:r>
          </w:p>
        </w:tc>
        <w:tc>
          <w:tcPr>
            <w:tcW w:w="6989" w:type="dxa"/>
          </w:tcPr>
          <w:p w:rsidR="009C34A0" w:rsidRPr="000220B9" w:rsidRDefault="009C34A0" w:rsidP="001C6097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Increase allocation of dignity kits due to the high level of need across LGAs.</w:t>
            </w:r>
          </w:p>
          <w:p w:rsidR="009C34A0" w:rsidRPr="000220B9" w:rsidRDefault="009C34A0" w:rsidP="001C6097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Strengthen follow-up activities to monitor how the items support menstrual hygiene and dignity.</w:t>
            </w:r>
          </w:p>
          <w:p w:rsidR="009C34A0" w:rsidRPr="000220B9" w:rsidRDefault="009C34A0" w:rsidP="001C6097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Expand GBV awareness and referral pathways training for local women groups.</w:t>
            </w:r>
          </w:p>
          <w:p w:rsidR="009C34A0" w:rsidRPr="000220B9" w:rsidRDefault="009C34A0" w:rsidP="001C6097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Continue collaboration with SEMA, CDOs, and UNFPA for future protection interventions.</w:t>
            </w:r>
          </w:p>
        </w:tc>
      </w:tr>
      <w:tr w:rsidR="009C34A0" w:rsidRPr="000220B9" w:rsidTr="00B53B88">
        <w:tc>
          <w:tcPr>
            <w:tcW w:w="2721" w:type="dxa"/>
          </w:tcPr>
          <w:p w:rsidR="009C34A0" w:rsidRPr="000220B9" w:rsidRDefault="009C34A0" w:rsidP="000E2019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Conclusion</w:t>
            </w:r>
          </w:p>
        </w:tc>
        <w:tc>
          <w:tcPr>
            <w:tcW w:w="6989" w:type="dxa"/>
          </w:tcPr>
          <w:p w:rsidR="009C34A0" w:rsidRPr="000220B9" w:rsidRDefault="009C34A0" w:rsidP="002074B8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The dignity kits distribution activity was successfully implemented and contributed significantly to restoring dignity, enhancing menstrual hygiene, and improving the wellbeing of conflict-affected women and adolescent girls in </w:t>
            </w:r>
            <w:proofErr w:type="spellStart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>Tarmuwa</w:t>
            </w:r>
            <w:proofErr w:type="spellEnd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proofErr w:type="spellStart"/>
            <w:r w:rsidRPr="000220B9">
              <w:rPr>
                <w:rFonts w:ascii="Arial" w:eastAsia="Times New Roman" w:hAnsi="Arial" w:cs="Arial"/>
                <w:sz w:val="28"/>
                <w:szCs w:val="28"/>
              </w:rPr>
              <w:t>Gujb</w:t>
            </w:r>
            <w:r w:rsidR="005A48F2">
              <w:rPr>
                <w:rFonts w:ascii="Arial" w:eastAsia="Times New Roman" w:hAnsi="Arial" w:cs="Arial"/>
                <w:sz w:val="28"/>
                <w:szCs w:val="28"/>
              </w:rPr>
              <w:t>a</w:t>
            </w:r>
            <w:proofErr w:type="spellEnd"/>
            <w:r w:rsidR="005A48F2">
              <w:rPr>
                <w:rFonts w:ascii="Arial" w:eastAsia="Times New Roman" w:hAnsi="Arial" w:cs="Arial"/>
                <w:sz w:val="28"/>
                <w:szCs w:val="28"/>
              </w:rPr>
              <w:t xml:space="preserve">, and </w:t>
            </w:r>
            <w:proofErr w:type="spellStart"/>
            <w:r w:rsidR="005A48F2">
              <w:rPr>
                <w:rFonts w:ascii="Arial" w:eastAsia="Times New Roman" w:hAnsi="Arial" w:cs="Arial"/>
                <w:sz w:val="28"/>
                <w:szCs w:val="28"/>
              </w:rPr>
              <w:t>Damaturu</w:t>
            </w:r>
            <w:proofErr w:type="spellEnd"/>
            <w:r w:rsidR="005A48F2">
              <w:rPr>
                <w:rFonts w:ascii="Arial" w:eastAsia="Times New Roman" w:hAnsi="Arial" w:cs="Arial"/>
                <w:sz w:val="28"/>
                <w:szCs w:val="28"/>
              </w:rPr>
              <w:t xml:space="preserve"> LGAs.</w:t>
            </w:r>
            <w:r w:rsidR="005A48F2">
              <w:rPr>
                <w:rFonts w:ascii="Arial" w:eastAsia="Times New Roman" w:hAnsi="Arial" w:cs="Arial"/>
                <w:sz w:val="28"/>
                <w:szCs w:val="28"/>
              </w:rPr>
              <w:br/>
              <w:t xml:space="preserve">HOPLE 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remains committed to promoting dignity, protection, and resilience of vulnerable groups, and appreciates </w:t>
            </w:r>
            <w:r w:rsidRPr="000220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UNFPA’s continuous support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 xml:space="preserve"> in enabling impact</w:t>
            </w:r>
            <w:r w:rsidRPr="000220B9">
              <w:rPr>
                <w:rFonts w:ascii="Arial" w:eastAsia="Times New Roman" w:hAnsi="Arial" w:cs="Arial"/>
                <w:sz w:val="28"/>
                <w:szCs w:val="28"/>
              </w:rPr>
              <w:t>ful humanitarian interventions.</w:t>
            </w:r>
          </w:p>
        </w:tc>
      </w:tr>
      <w:tr w:rsidR="00B53B88" w:rsidRPr="000220B9" w:rsidTr="003E281D">
        <w:tc>
          <w:tcPr>
            <w:tcW w:w="9710" w:type="dxa"/>
            <w:gridSpan w:val="2"/>
          </w:tcPr>
          <w:p w:rsidR="00B53B88" w:rsidRPr="004D347F" w:rsidRDefault="00B53B88" w:rsidP="00B53B88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D347F">
              <w:rPr>
                <w:rFonts w:ascii="Arial" w:eastAsia="Times New Roman" w:hAnsi="Arial" w:cs="Arial"/>
                <w:b/>
                <w:sz w:val="28"/>
                <w:szCs w:val="28"/>
              </w:rPr>
              <w:t>Annexes</w:t>
            </w:r>
          </w:p>
        </w:tc>
      </w:tr>
      <w:tr w:rsidR="00B53B88" w:rsidRPr="000220B9" w:rsidTr="00B53B88">
        <w:tc>
          <w:tcPr>
            <w:tcW w:w="2721" w:type="dxa"/>
          </w:tcPr>
          <w:p w:rsidR="00B53B88" w:rsidRPr="000220B9" w:rsidRDefault="00B53B88" w:rsidP="000E2019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89" w:type="dxa"/>
          </w:tcPr>
          <w:p w:rsidR="00B53B88" w:rsidRPr="000220B9" w:rsidRDefault="00B53B88" w:rsidP="002074B8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:rsidR="00625579" w:rsidRPr="000220B9" w:rsidRDefault="00613569">
      <w:pPr>
        <w:rPr>
          <w:sz w:val="28"/>
          <w:szCs w:val="28"/>
        </w:rPr>
      </w:pPr>
      <w:r w:rsidRPr="000220B9">
        <w:rPr>
          <w:sz w:val="28"/>
          <w:szCs w:val="28"/>
        </w:rPr>
        <w:tab/>
      </w:r>
      <w:bookmarkStart w:id="0" w:name="_GoBack"/>
      <w:bookmarkEnd w:id="0"/>
    </w:p>
    <w:sectPr w:rsidR="00625579" w:rsidRPr="000220B9" w:rsidSect="00AA752C">
      <w:pgSz w:w="12240" w:h="15840"/>
      <w:pgMar w:top="45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B10ED"/>
    <w:multiLevelType w:val="multilevel"/>
    <w:tmpl w:val="1316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504B2"/>
    <w:multiLevelType w:val="multilevel"/>
    <w:tmpl w:val="BF74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843AB"/>
    <w:multiLevelType w:val="multilevel"/>
    <w:tmpl w:val="8B30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E435C2"/>
    <w:multiLevelType w:val="multilevel"/>
    <w:tmpl w:val="42D4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E671D1"/>
    <w:multiLevelType w:val="multilevel"/>
    <w:tmpl w:val="63F4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996E47"/>
    <w:multiLevelType w:val="multilevel"/>
    <w:tmpl w:val="D23A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4175CC"/>
    <w:multiLevelType w:val="multilevel"/>
    <w:tmpl w:val="AB9C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58130C"/>
    <w:multiLevelType w:val="multilevel"/>
    <w:tmpl w:val="D416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B65A4E"/>
    <w:multiLevelType w:val="multilevel"/>
    <w:tmpl w:val="7B42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7B613D"/>
    <w:multiLevelType w:val="multilevel"/>
    <w:tmpl w:val="55BC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D31CBA"/>
    <w:multiLevelType w:val="multilevel"/>
    <w:tmpl w:val="90C2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5F468B"/>
    <w:multiLevelType w:val="multilevel"/>
    <w:tmpl w:val="0D3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1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32"/>
    <w:rsid w:val="000220B9"/>
    <w:rsid w:val="000E2019"/>
    <w:rsid w:val="00181888"/>
    <w:rsid w:val="00194139"/>
    <w:rsid w:val="001C6097"/>
    <w:rsid w:val="001D79C5"/>
    <w:rsid w:val="001E321E"/>
    <w:rsid w:val="002074B8"/>
    <w:rsid w:val="002215F9"/>
    <w:rsid w:val="00285259"/>
    <w:rsid w:val="002A675E"/>
    <w:rsid w:val="002C5632"/>
    <w:rsid w:val="002E1776"/>
    <w:rsid w:val="00346BF2"/>
    <w:rsid w:val="00353228"/>
    <w:rsid w:val="003A3E26"/>
    <w:rsid w:val="003D334F"/>
    <w:rsid w:val="0042797E"/>
    <w:rsid w:val="004D0E72"/>
    <w:rsid w:val="004D347F"/>
    <w:rsid w:val="004E25DF"/>
    <w:rsid w:val="004F02B8"/>
    <w:rsid w:val="004F683C"/>
    <w:rsid w:val="00510125"/>
    <w:rsid w:val="00531372"/>
    <w:rsid w:val="005379D5"/>
    <w:rsid w:val="0059653E"/>
    <w:rsid w:val="005A48F2"/>
    <w:rsid w:val="00613569"/>
    <w:rsid w:val="00625579"/>
    <w:rsid w:val="00641B4E"/>
    <w:rsid w:val="007A49D6"/>
    <w:rsid w:val="007E6314"/>
    <w:rsid w:val="00812583"/>
    <w:rsid w:val="008849EF"/>
    <w:rsid w:val="008B3147"/>
    <w:rsid w:val="008B70A6"/>
    <w:rsid w:val="008C501A"/>
    <w:rsid w:val="008E0BF9"/>
    <w:rsid w:val="009C34A0"/>
    <w:rsid w:val="009C5592"/>
    <w:rsid w:val="00A315EA"/>
    <w:rsid w:val="00A83805"/>
    <w:rsid w:val="00AA752C"/>
    <w:rsid w:val="00AB4AA0"/>
    <w:rsid w:val="00B0584D"/>
    <w:rsid w:val="00B07D55"/>
    <w:rsid w:val="00B169F0"/>
    <w:rsid w:val="00B17951"/>
    <w:rsid w:val="00B53B88"/>
    <w:rsid w:val="00B764D4"/>
    <w:rsid w:val="00BC5053"/>
    <w:rsid w:val="00BF1360"/>
    <w:rsid w:val="00BF340F"/>
    <w:rsid w:val="00C673CD"/>
    <w:rsid w:val="00DB26E8"/>
    <w:rsid w:val="00DB41CB"/>
    <w:rsid w:val="00DD5C60"/>
    <w:rsid w:val="00E67510"/>
    <w:rsid w:val="00E82E5C"/>
    <w:rsid w:val="00F34909"/>
    <w:rsid w:val="00F5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08D69-1309-4392-B50A-C30D9D73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79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379D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37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7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M.GULANI</dc:creator>
  <cp:keywords/>
  <dc:description/>
  <cp:lastModifiedBy>ALI M.GULANI</cp:lastModifiedBy>
  <cp:revision>2</cp:revision>
  <dcterms:created xsi:type="dcterms:W3CDTF">2025-12-07T06:25:00Z</dcterms:created>
  <dcterms:modified xsi:type="dcterms:W3CDTF">2025-12-07T06:25:00Z</dcterms:modified>
</cp:coreProperties>
</file>