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6EAB8FEF" w:rsidR="002843CA" w:rsidRDefault="00CD6E72" w:rsidP="00A31AD9">
            <w:r>
              <w:t>P</w:t>
            </w:r>
            <w:r w:rsidR="000E51FE">
              <w:t xml:space="preserve">hone </w:t>
            </w:r>
            <w:r w:rsidR="008376BB">
              <w:t>Number:</w:t>
            </w:r>
            <w:r w:rsidR="001B130F">
              <w:t xml:space="preserve"> +961 3</w:t>
            </w:r>
            <w:r w:rsidR="001506EA">
              <w:t xml:space="preserve"> </w:t>
            </w:r>
            <w:r w:rsidR="001B130F">
              <w:t>041125</w:t>
            </w:r>
            <w:r w:rsidR="000E51FE">
              <w:t xml:space="preserve"> </w:t>
            </w:r>
            <w:r w:rsidR="007F1E3B">
              <w:t xml:space="preserve">          </w:t>
            </w:r>
            <w:r>
              <w:t xml:space="preserve">    E</w:t>
            </w:r>
            <w:r w:rsidR="000E51FE">
              <w:t>mail:</w:t>
            </w:r>
            <w:r w:rsidR="00A7262B">
              <w:t xml:space="preserve"> </w:t>
            </w:r>
            <w:r w:rsidR="001506EA">
              <w:t>h</w:t>
            </w:r>
            <w:r w:rsidR="00A7262B">
              <w:t>ealth.</w:t>
            </w:r>
            <w:r w:rsidR="001506EA">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2A416773" w:rsidR="002843CA" w:rsidRDefault="001506EA" w:rsidP="00F07966">
            <w:r>
              <w:t>1</w:t>
            </w:r>
            <w:r w:rsidRPr="001506EA">
              <w:rPr>
                <w:vertAlign w:val="superscript"/>
              </w:rPr>
              <w:t>st</w:t>
            </w:r>
            <w:r w:rsidR="00153891">
              <w:t xml:space="preserve"> </w:t>
            </w:r>
            <w:r w:rsidR="00B576F0">
              <w:t>Octobe</w:t>
            </w:r>
            <w:r w:rsidR="00DC2095">
              <w:t>r</w:t>
            </w:r>
            <w:r w:rsidR="001B130F">
              <w:t xml:space="preserve"> 202</w:t>
            </w:r>
            <w:r w:rsidR="00FD0CDC">
              <w:t>5</w:t>
            </w:r>
            <w:r w:rsidR="001B130F">
              <w:t xml:space="preserve"> </w:t>
            </w:r>
            <w:r>
              <w:t>31</w:t>
            </w:r>
            <w:r w:rsidRPr="001506EA">
              <w:rPr>
                <w:vertAlign w:val="superscript"/>
              </w:rPr>
              <w:t>st</w:t>
            </w:r>
            <w:r w:rsidR="001B130F">
              <w:t xml:space="preserve"> </w:t>
            </w:r>
            <w:r w:rsidR="00B576F0">
              <w:t>October</w:t>
            </w:r>
            <w:r w:rsidR="00153891">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5C40CE37" w14:textId="3694C863" w:rsidR="00DE6372" w:rsidRDefault="00F7037A" w:rsidP="00DE6372">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10EEACA6" w14:textId="5B5C3482" w:rsidR="00DE6372" w:rsidRDefault="00DE6372" w:rsidP="00DE6372">
      <w:pPr>
        <w:jc w:val="both"/>
        <w:rPr>
          <w:rFonts w:ascii="Times New Roman" w:eastAsia="Times New Roman" w:hAnsi="Times New Roman" w:cs="Times New Roman"/>
        </w:rPr>
      </w:pPr>
      <w:r w:rsidRPr="00DE6372">
        <w:rPr>
          <w:rFonts w:ascii="Times New Roman" w:eastAsia="Times New Roman" w:hAnsi="Times New Roman" w:cs="Times New Roman"/>
        </w:rPr>
        <w:t>In addition, it should be noted that the social worker position at the MSF-supported center has been suspended, following the cessation of services by all organizations at the end of the year. As a result, referral mechanisms have become non-functional and no longer meaningful, given the suspension of all related services.</w:t>
      </w:r>
    </w:p>
    <w:p w14:paraId="3FEDF7F3" w14:textId="77777777" w:rsidR="00DE6372" w:rsidRPr="00F7037A" w:rsidRDefault="00DE6372" w:rsidP="00DE6372">
      <w:pPr>
        <w:jc w:val="both"/>
        <w:rPr>
          <w:rFonts w:ascii="Times New Roman" w:eastAsia="Times New Roman" w:hAnsi="Times New Roman" w:cs="Times New Roman"/>
        </w:rPr>
      </w:pP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28101978" w14:textId="7A071500" w:rsid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26EB0B5A" w14:textId="77777777" w:rsidR="00DE6372" w:rsidRDefault="00DE6372" w:rsidP="00F7037A">
      <w:pPr>
        <w:jc w:val="both"/>
        <w:rPr>
          <w:rFonts w:ascii="Times New Roman" w:eastAsia="Times New Roman" w:hAnsi="Times New Roman" w:cs="Times New Roman"/>
        </w:rPr>
      </w:pPr>
    </w:p>
    <w:p w14:paraId="333D63C8" w14:textId="4F3D47F4" w:rsidR="00DE6372" w:rsidRPr="00DE6372" w:rsidRDefault="00DE6372" w:rsidP="00DE6372">
      <w:pPr>
        <w:jc w:val="both"/>
        <w:rPr>
          <w:rFonts w:ascii="Times New Roman" w:eastAsia="Times New Roman" w:hAnsi="Times New Roman" w:cs="Times New Roman"/>
        </w:rPr>
      </w:pPr>
      <w:r w:rsidRPr="0096031C">
        <w:rPr>
          <w:rFonts w:ascii="Times New Roman" w:eastAsia="Times New Roman" w:hAnsi="Times New Roman" w:cs="Times New Roman"/>
        </w:rPr>
        <w:t>A</w:t>
      </w:r>
      <w:r w:rsidRPr="00DE6372">
        <w:rPr>
          <w:rFonts w:ascii="Times New Roman" w:eastAsia="Times New Roman" w:hAnsi="Times New Roman" w:cs="Times New Roman"/>
        </w:rPr>
        <w:t xml:space="preserve">s part of the expansion of community-based health activities, five schools have been officially selected to serve as operational centers, and preparations are ongoing to initiate activities starting November 2025. This initiative aims to enhance outreach efforts, improve access to preventive and primary healthcare services, and ensure wider geographical coverage for targeted </w:t>
      </w:r>
      <w:r w:rsidR="00BE4FF7" w:rsidRPr="00DE6372">
        <w:rPr>
          <w:rFonts w:ascii="Times New Roman" w:eastAsia="Times New Roman" w:hAnsi="Times New Roman" w:cs="Times New Roman"/>
        </w:rPr>
        <w:t>beneficiaries.</w:t>
      </w:r>
    </w:p>
    <w:p w14:paraId="25C28A39" w14:textId="77777777" w:rsidR="00DE6372" w:rsidRPr="00F7037A" w:rsidRDefault="00DE6372" w:rsidP="00F7037A">
      <w:pPr>
        <w:jc w:val="both"/>
        <w:rPr>
          <w:rFonts w:ascii="Times New Roman" w:eastAsia="Times New Roman" w:hAnsi="Times New Roman" w:cs="Times New Roman"/>
        </w:rPr>
      </w:pP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4EC4A208"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lastRenderedPageBreak/>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5237D9" w:rsidRPr="00DC17FD" w14:paraId="0FF51F4F"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A9BD0" w14:textId="7CBD7EC7" w:rsidR="005237D9" w:rsidRPr="00DD055D" w:rsidRDefault="005237D9" w:rsidP="00DD055D">
            <w:pPr>
              <w:jc w:val="center"/>
            </w:pPr>
            <w:r w:rsidRPr="005237D9">
              <w:t>Suspension of referral pathways due to the termination of services by partner organizations at the end of the year, including the MSF-supported social work component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08280B" w14:textId="00B7117D" w:rsidR="005237D9" w:rsidRPr="00DD055D" w:rsidRDefault="007A3962" w:rsidP="00DD055D">
            <w:pPr>
              <w:jc w:val="center"/>
            </w:pPr>
            <w:r w:rsidRPr="007A3962">
              <w:t>Adjusted internal workflows accordingly and suspended referral mechanisms until services are reactivated or new partnerships are established</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5A237B67" w:rsidR="002843CA" w:rsidRDefault="000E1E31" w:rsidP="00072048">
            <w:r>
              <w:t>5</w:t>
            </w:r>
            <w:r w:rsidR="000A2B62">
              <w:t>,</w:t>
            </w:r>
            <w:r>
              <w:t>539</w:t>
            </w:r>
          </w:p>
        </w:tc>
        <w:tc>
          <w:tcPr>
            <w:tcW w:w="1620" w:type="dxa"/>
          </w:tcPr>
          <w:p w14:paraId="76AD552B" w14:textId="7845982A" w:rsidR="002843CA" w:rsidRDefault="00D332CE">
            <w:r>
              <w:t>6,000</w:t>
            </w:r>
          </w:p>
        </w:tc>
        <w:tc>
          <w:tcPr>
            <w:tcW w:w="1980" w:type="dxa"/>
          </w:tcPr>
          <w:p w14:paraId="72A956DE" w14:textId="1D359744" w:rsidR="002843CA" w:rsidRDefault="001967BE" w:rsidP="00072048">
            <w:r>
              <w:t>92</w:t>
            </w:r>
            <w:r w:rsidR="00755687">
              <w:t>.</w:t>
            </w:r>
            <w:r>
              <w:t>31</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lastRenderedPageBreak/>
              <w:t>Health activity 2:</w:t>
            </w:r>
            <w:r>
              <w:t xml:space="preserve"> </w:t>
            </w:r>
            <w:r w:rsidR="00D332CE" w:rsidRPr="00D332CE">
              <w:t>Individuals (with duplication) who benefited from services, disaggregation between male and female.</w:t>
            </w:r>
          </w:p>
        </w:tc>
        <w:tc>
          <w:tcPr>
            <w:tcW w:w="2250" w:type="dxa"/>
          </w:tcPr>
          <w:p w14:paraId="1E6FDF6A" w14:textId="3ED75EA3" w:rsidR="00015703" w:rsidRDefault="00D21277" w:rsidP="00A31AD9">
            <w:r>
              <w:t xml:space="preserve">Female: </w:t>
            </w:r>
            <w:r w:rsidR="00514BF6">
              <w:t>3</w:t>
            </w:r>
            <w:r w:rsidR="008F6CE9">
              <w:t>,</w:t>
            </w:r>
            <w:r w:rsidR="001967BE">
              <w:t>039</w:t>
            </w:r>
          </w:p>
          <w:p w14:paraId="4043F9FB" w14:textId="76731FD9" w:rsidR="00D21277" w:rsidRDefault="00D21277" w:rsidP="00015703">
            <w:r>
              <w:t xml:space="preserve">Male: </w:t>
            </w:r>
            <w:r w:rsidR="003C79DE">
              <w:t>2,</w:t>
            </w:r>
            <w:r w:rsidR="001C0D00">
              <w:t>500</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5D66F1FF" w:rsidR="00C0643D" w:rsidRDefault="00D21277" w:rsidP="00A31AD9">
            <w:r>
              <w:t xml:space="preserve">Female: </w:t>
            </w:r>
            <w:r w:rsidR="00DC46DB">
              <w:t>1</w:t>
            </w:r>
            <w:r w:rsidR="00D31686">
              <w:t>0</w:t>
            </w:r>
            <w:r w:rsidR="001C0D00">
              <w:t>1</w:t>
            </w:r>
            <w:r w:rsidR="00896F57">
              <w:t>.3</w:t>
            </w:r>
            <w:r>
              <w:t>%</w:t>
            </w:r>
          </w:p>
          <w:p w14:paraId="62AE3177" w14:textId="6449136D" w:rsidR="00D21277" w:rsidRDefault="00D21277" w:rsidP="00015703">
            <w:r>
              <w:t xml:space="preserve">Male: </w:t>
            </w:r>
            <w:r w:rsidR="001C0D00">
              <w:t>83</w:t>
            </w:r>
            <w:r w:rsidR="00126E24">
              <w:t>.</w:t>
            </w:r>
            <w:r w:rsidR="001A4051">
              <w:t>3</w:t>
            </w:r>
            <w:r w:rsidR="001C0D00">
              <w:t>3</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tc>
        <w:tc>
          <w:tcPr>
            <w:tcW w:w="2250" w:type="dxa"/>
          </w:tcPr>
          <w:p w14:paraId="210A04FD" w14:textId="5BCF4B62" w:rsidR="002843CA" w:rsidRDefault="0010182A">
            <w:r>
              <w:t>1008</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046053FF" w:rsidR="002843CA" w:rsidRDefault="0049211F" w:rsidP="00072048">
            <w:r>
              <w:t>8</w:t>
            </w:r>
            <w:r w:rsidR="000F179E">
              <w:t>2</w:t>
            </w:r>
            <w:r w:rsidR="00787262">
              <w:t>.</w:t>
            </w:r>
            <w:r w:rsidR="000F179E">
              <w:t>75</w:t>
            </w:r>
            <w:r w:rsidR="00126E24">
              <w:t xml:space="preserve"> </w:t>
            </w:r>
            <w:r w:rsidR="00D21277">
              <w:t>%</w:t>
            </w:r>
          </w:p>
        </w:tc>
      </w:tr>
    </w:tbl>
    <w:p w14:paraId="41A5FD4F" w14:textId="77777777" w:rsidR="00950288" w:rsidRDefault="00950288" w:rsidP="00DD198A">
      <w:pPr>
        <w:rPr>
          <w:noProof/>
        </w:rPr>
      </w:pPr>
    </w:p>
    <w:p w14:paraId="6DC9C853" w14:textId="7124978F" w:rsidR="002F2606" w:rsidRDefault="00E80813" w:rsidP="00DD198A">
      <w:r>
        <w:rPr>
          <w:noProof/>
        </w:rPr>
        <w:br/>
      </w:r>
      <w:r w:rsidR="000E1E31" w:rsidRPr="000E1E31">
        <w:rPr>
          <w:noProof/>
        </w:rPr>
        <w:drawing>
          <wp:inline distT="0" distB="0" distL="0" distR="0" wp14:anchorId="23D73A2B" wp14:editId="53801C1E">
            <wp:extent cx="6905625" cy="4728374"/>
            <wp:effectExtent l="0" t="0" r="0" b="0"/>
            <wp:docPr id="871037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37016" name=""/>
                    <pic:cNvPicPr/>
                  </pic:nvPicPr>
                  <pic:blipFill rotWithShape="1">
                    <a:blip r:embed="rId10"/>
                    <a:srcRect l="2500" t="31480" r="53889" b="12120"/>
                    <a:stretch>
                      <a:fillRect/>
                    </a:stretch>
                  </pic:blipFill>
                  <pic:spPr bwMode="auto">
                    <a:xfrm>
                      <a:off x="0" y="0"/>
                      <a:ext cx="6914553" cy="4734487"/>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lastRenderedPageBreak/>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812C" w14:textId="77777777" w:rsidR="006948E5" w:rsidRDefault="006948E5">
      <w:pPr>
        <w:spacing w:after="0" w:line="240" w:lineRule="auto"/>
      </w:pPr>
      <w:r>
        <w:separator/>
      </w:r>
    </w:p>
  </w:endnote>
  <w:endnote w:type="continuationSeparator" w:id="0">
    <w:p w14:paraId="0BD4EDB3" w14:textId="77777777" w:rsidR="006948E5" w:rsidRDefault="006948E5">
      <w:pPr>
        <w:spacing w:after="0" w:line="240" w:lineRule="auto"/>
      </w:pPr>
      <w:r>
        <w:continuationSeparator/>
      </w:r>
    </w:p>
  </w:endnote>
  <w:endnote w:type="continuationNotice" w:id="1">
    <w:p w14:paraId="272AC22A" w14:textId="77777777" w:rsidR="006948E5" w:rsidRDefault="00694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2304" w14:textId="77777777" w:rsidR="006948E5" w:rsidRDefault="006948E5">
      <w:pPr>
        <w:spacing w:after="0" w:line="240" w:lineRule="auto"/>
      </w:pPr>
      <w:r>
        <w:separator/>
      </w:r>
    </w:p>
  </w:footnote>
  <w:footnote w:type="continuationSeparator" w:id="0">
    <w:p w14:paraId="6D5DA2D2" w14:textId="77777777" w:rsidR="006948E5" w:rsidRDefault="006948E5">
      <w:pPr>
        <w:spacing w:after="0" w:line="240" w:lineRule="auto"/>
      </w:pPr>
      <w:r>
        <w:continuationSeparator/>
      </w:r>
    </w:p>
  </w:footnote>
  <w:footnote w:type="continuationNotice" w:id="1">
    <w:p w14:paraId="6D10CD50" w14:textId="77777777" w:rsidR="006948E5" w:rsidRDefault="006948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0D9A"/>
    <w:rsid w:val="000A2B62"/>
    <w:rsid w:val="000B17D3"/>
    <w:rsid w:val="000B2154"/>
    <w:rsid w:val="000B2312"/>
    <w:rsid w:val="000B4511"/>
    <w:rsid w:val="000B5A8E"/>
    <w:rsid w:val="000C1D76"/>
    <w:rsid w:val="000C2965"/>
    <w:rsid w:val="000C424C"/>
    <w:rsid w:val="000C5984"/>
    <w:rsid w:val="000C7D6D"/>
    <w:rsid w:val="000C7F08"/>
    <w:rsid w:val="000D118A"/>
    <w:rsid w:val="000D280B"/>
    <w:rsid w:val="000D2DFE"/>
    <w:rsid w:val="000E1E31"/>
    <w:rsid w:val="000E25E7"/>
    <w:rsid w:val="000E276C"/>
    <w:rsid w:val="000E51FE"/>
    <w:rsid w:val="000F179E"/>
    <w:rsid w:val="000F2731"/>
    <w:rsid w:val="000F2C6A"/>
    <w:rsid w:val="000F375B"/>
    <w:rsid w:val="000F463C"/>
    <w:rsid w:val="000F48F3"/>
    <w:rsid w:val="000F5BA5"/>
    <w:rsid w:val="001005F9"/>
    <w:rsid w:val="0010182A"/>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06EA"/>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965C3"/>
    <w:rsid w:val="001967BE"/>
    <w:rsid w:val="001A338C"/>
    <w:rsid w:val="001A4051"/>
    <w:rsid w:val="001A6C47"/>
    <w:rsid w:val="001B130F"/>
    <w:rsid w:val="001B3B1E"/>
    <w:rsid w:val="001B3F2A"/>
    <w:rsid w:val="001C05D3"/>
    <w:rsid w:val="001C0D00"/>
    <w:rsid w:val="001D24E0"/>
    <w:rsid w:val="001D4F3D"/>
    <w:rsid w:val="001D5214"/>
    <w:rsid w:val="001E0AEB"/>
    <w:rsid w:val="001E3858"/>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2F691C"/>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A50BE"/>
    <w:rsid w:val="003B2541"/>
    <w:rsid w:val="003B2952"/>
    <w:rsid w:val="003B3348"/>
    <w:rsid w:val="003C12A1"/>
    <w:rsid w:val="003C2277"/>
    <w:rsid w:val="003C79DE"/>
    <w:rsid w:val="003C7CFE"/>
    <w:rsid w:val="003D00C1"/>
    <w:rsid w:val="003D4659"/>
    <w:rsid w:val="003D7E6D"/>
    <w:rsid w:val="003E0A10"/>
    <w:rsid w:val="003E3F1E"/>
    <w:rsid w:val="003E7338"/>
    <w:rsid w:val="003F18F2"/>
    <w:rsid w:val="003F2719"/>
    <w:rsid w:val="003F38A0"/>
    <w:rsid w:val="003F7620"/>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1E72"/>
    <w:rsid w:val="00513C52"/>
    <w:rsid w:val="00514943"/>
    <w:rsid w:val="00514BF6"/>
    <w:rsid w:val="005164C4"/>
    <w:rsid w:val="00516C74"/>
    <w:rsid w:val="005237D9"/>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77D"/>
    <w:rsid w:val="00591665"/>
    <w:rsid w:val="00592749"/>
    <w:rsid w:val="00594A2E"/>
    <w:rsid w:val="005952FB"/>
    <w:rsid w:val="005958E9"/>
    <w:rsid w:val="005A09F0"/>
    <w:rsid w:val="005A21AD"/>
    <w:rsid w:val="005A43D6"/>
    <w:rsid w:val="005A7B4E"/>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22B1"/>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5706C"/>
    <w:rsid w:val="006679CF"/>
    <w:rsid w:val="0067484D"/>
    <w:rsid w:val="00677EE3"/>
    <w:rsid w:val="00681D98"/>
    <w:rsid w:val="0068266D"/>
    <w:rsid w:val="0068487A"/>
    <w:rsid w:val="00685253"/>
    <w:rsid w:val="006868F8"/>
    <w:rsid w:val="00690213"/>
    <w:rsid w:val="0069065D"/>
    <w:rsid w:val="00691287"/>
    <w:rsid w:val="006948E5"/>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2F6D"/>
    <w:rsid w:val="0071534A"/>
    <w:rsid w:val="0072070F"/>
    <w:rsid w:val="007229A2"/>
    <w:rsid w:val="007270BA"/>
    <w:rsid w:val="00733F4E"/>
    <w:rsid w:val="0073408C"/>
    <w:rsid w:val="00737D47"/>
    <w:rsid w:val="00741B84"/>
    <w:rsid w:val="00743A4B"/>
    <w:rsid w:val="00751ADE"/>
    <w:rsid w:val="00755687"/>
    <w:rsid w:val="00756198"/>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3962"/>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31C"/>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3E2F"/>
    <w:rsid w:val="00A55B34"/>
    <w:rsid w:val="00A566A3"/>
    <w:rsid w:val="00A61B29"/>
    <w:rsid w:val="00A6508B"/>
    <w:rsid w:val="00A703B1"/>
    <w:rsid w:val="00A7262B"/>
    <w:rsid w:val="00A75152"/>
    <w:rsid w:val="00A7603D"/>
    <w:rsid w:val="00A8421E"/>
    <w:rsid w:val="00A84ED9"/>
    <w:rsid w:val="00A865DE"/>
    <w:rsid w:val="00A87292"/>
    <w:rsid w:val="00A92C6E"/>
    <w:rsid w:val="00A93CE8"/>
    <w:rsid w:val="00A93F7F"/>
    <w:rsid w:val="00A943C5"/>
    <w:rsid w:val="00AA3F6A"/>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27D92"/>
    <w:rsid w:val="00B32A6C"/>
    <w:rsid w:val="00B40245"/>
    <w:rsid w:val="00B432F2"/>
    <w:rsid w:val="00B433FC"/>
    <w:rsid w:val="00B452C6"/>
    <w:rsid w:val="00B51EA3"/>
    <w:rsid w:val="00B52FDE"/>
    <w:rsid w:val="00B53104"/>
    <w:rsid w:val="00B533B3"/>
    <w:rsid w:val="00B576F0"/>
    <w:rsid w:val="00B62A7D"/>
    <w:rsid w:val="00B635C4"/>
    <w:rsid w:val="00B73C0E"/>
    <w:rsid w:val="00B73FF2"/>
    <w:rsid w:val="00B769CC"/>
    <w:rsid w:val="00B7796A"/>
    <w:rsid w:val="00B8128D"/>
    <w:rsid w:val="00B91401"/>
    <w:rsid w:val="00B92243"/>
    <w:rsid w:val="00B933FF"/>
    <w:rsid w:val="00B93948"/>
    <w:rsid w:val="00B95C1C"/>
    <w:rsid w:val="00B970D5"/>
    <w:rsid w:val="00B97757"/>
    <w:rsid w:val="00BA1D25"/>
    <w:rsid w:val="00BA4227"/>
    <w:rsid w:val="00BA707F"/>
    <w:rsid w:val="00BA79EC"/>
    <w:rsid w:val="00BB2EEA"/>
    <w:rsid w:val="00BB4AE8"/>
    <w:rsid w:val="00BB6069"/>
    <w:rsid w:val="00BC2137"/>
    <w:rsid w:val="00BC2582"/>
    <w:rsid w:val="00BC2747"/>
    <w:rsid w:val="00BC6F75"/>
    <w:rsid w:val="00BD352D"/>
    <w:rsid w:val="00BD3F8A"/>
    <w:rsid w:val="00BD5481"/>
    <w:rsid w:val="00BE15C5"/>
    <w:rsid w:val="00BE4C17"/>
    <w:rsid w:val="00BE4FF7"/>
    <w:rsid w:val="00BF1B09"/>
    <w:rsid w:val="00BF5D88"/>
    <w:rsid w:val="00BF73F3"/>
    <w:rsid w:val="00C03648"/>
    <w:rsid w:val="00C06233"/>
    <w:rsid w:val="00C0643D"/>
    <w:rsid w:val="00C07351"/>
    <w:rsid w:val="00C10907"/>
    <w:rsid w:val="00C16CEC"/>
    <w:rsid w:val="00C232E2"/>
    <w:rsid w:val="00C24751"/>
    <w:rsid w:val="00C33DD4"/>
    <w:rsid w:val="00C416C0"/>
    <w:rsid w:val="00C44A50"/>
    <w:rsid w:val="00C46AD9"/>
    <w:rsid w:val="00C503AD"/>
    <w:rsid w:val="00C522F6"/>
    <w:rsid w:val="00C52A89"/>
    <w:rsid w:val="00C53C47"/>
    <w:rsid w:val="00C611C8"/>
    <w:rsid w:val="00C64E73"/>
    <w:rsid w:val="00C6522D"/>
    <w:rsid w:val="00C6652C"/>
    <w:rsid w:val="00C67D21"/>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5635"/>
    <w:rsid w:val="00DB6158"/>
    <w:rsid w:val="00DB6964"/>
    <w:rsid w:val="00DB781F"/>
    <w:rsid w:val="00DB7DD7"/>
    <w:rsid w:val="00DC17FD"/>
    <w:rsid w:val="00DC2095"/>
    <w:rsid w:val="00DC46DB"/>
    <w:rsid w:val="00DC4948"/>
    <w:rsid w:val="00DD0536"/>
    <w:rsid w:val="00DD055D"/>
    <w:rsid w:val="00DD198A"/>
    <w:rsid w:val="00DD2296"/>
    <w:rsid w:val="00DD61D5"/>
    <w:rsid w:val="00DE283E"/>
    <w:rsid w:val="00DE40D8"/>
    <w:rsid w:val="00DE59CF"/>
    <w:rsid w:val="00DE5CA5"/>
    <w:rsid w:val="00DE6372"/>
    <w:rsid w:val="00DF0D55"/>
    <w:rsid w:val="00DF4893"/>
    <w:rsid w:val="00DF55DF"/>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1A21"/>
    <w:rsid w:val="00EC704E"/>
    <w:rsid w:val="00ED6FA8"/>
    <w:rsid w:val="00EE1D4C"/>
    <w:rsid w:val="00EE2048"/>
    <w:rsid w:val="00EE43B9"/>
    <w:rsid w:val="00EF0477"/>
    <w:rsid w:val="00EF1108"/>
    <w:rsid w:val="00EF1E00"/>
    <w:rsid w:val="00EF4A45"/>
    <w:rsid w:val="00EF57AD"/>
    <w:rsid w:val="00EF65DD"/>
    <w:rsid w:val="00F007ED"/>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4BE7"/>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747</cp:revision>
  <dcterms:created xsi:type="dcterms:W3CDTF">2023-02-18T08:06:00Z</dcterms:created>
  <dcterms:modified xsi:type="dcterms:W3CDTF">2026-02-25T23:21:00Z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8fd4168b-6eec-4701-acdf-489fc79951b7</vt:lpwstr>
  </property>
</Properties>
</file>