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43A428" w14:textId="30FD445C" w:rsidR="00654F3F" w:rsidRDefault="00654F3F" w:rsidP="00C53CB9">
      <w:pPr>
        <w:pStyle w:val="Heading1"/>
      </w:pPr>
    </w:p>
    <w:p w14:paraId="2E0A068F" w14:textId="77777777" w:rsidR="002843CA" w:rsidRDefault="00761D25" w:rsidP="000F375B">
      <w:pPr>
        <w:rPr>
          <w:smallCaps/>
          <w:sz w:val="32"/>
          <w:szCs w:val="32"/>
          <w:rtl/>
          <w:lang w:bidi="ar-LB"/>
        </w:rPr>
      </w:pPr>
      <w:r>
        <w:rPr>
          <w:smallCaps/>
          <w:sz w:val="32"/>
          <w:szCs w:val="32"/>
        </w:rPr>
        <w:t xml:space="preserve">           </w:t>
      </w:r>
      <w:r>
        <w:rPr>
          <w:smallCaps/>
          <w:noProof/>
          <w:sz w:val="32"/>
          <w:szCs w:val="32"/>
        </w:rPr>
        <w:drawing>
          <wp:inline distT="0" distB="0" distL="0" distR="0" wp14:anchorId="402E40A9" wp14:editId="450CF6B8">
            <wp:extent cx="1095375" cy="1050968"/>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ica logo.png"/>
                    <pic:cNvPicPr/>
                  </pic:nvPicPr>
                  <pic:blipFill>
                    <a:blip r:embed="rId9">
                      <a:extLst>
                        <a:ext uri="{28A0092B-C50C-407E-A947-70E740481C1C}">
                          <a14:useLocalDpi xmlns:a14="http://schemas.microsoft.com/office/drawing/2010/main" val="0"/>
                        </a:ext>
                      </a:extLst>
                    </a:blip>
                    <a:stretch>
                      <a:fillRect/>
                    </a:stretch>
                  </pic:blipFill>
                  <pic:spPr>
                    <a:xfrm>
                      <a:off x="0" y="0"/>
                      <a:ext cx="1120788" cy="1075351"/>
                    </a:xfrm>
                    <a:prstGeom prst="rect">
                      <a:avLst/>
                    </a:prstGeom>
                  </pic:spPr>
                </pic:pic>
              </a:graphicData>
            </a:graphic>
          </wp:inline>
        </w:drawing>
      </w:r>
      <w:r>
        <w:rPr>
          <w:smallCaps/>
          <w:sz w:val="32"/>
          <w:szCs w:val="32"/>
        </w:rPr>
        <w:t xml:space="preserve">                           </w:t>
      </w:r>
      <w:r w:rsidR="006066BC">
        <w:rPr>
          <w:rFonts w:hint="cs"/>
          <w:smallCaps/>
          <w:sz w:val="32"/>
          <w:szCs w:val="32"/>
          <w:rtl/>
        </w:rPr>
        <w:t xml:space="preserve"> </w:t>
      </w:r>
      <w:r w:rsidR="006066BC">
        <w:rPr>
          <w:smallCaps/>
          <w:sz w:val="32"/>
          <w:szCs w:val="32"/>
        </w:rPr>
        <w:t xml:space="preserve">    </w:t>
      </w:r>
      <w:r w:rsidR="006066BC">
        <w:rPr>
          <w:rFonts w:hint="cs"/>
          <w:smallCaps/>
          <w:sz w:val="32"/>
          <w:szCs w:val="32"/>
          <w:rtl/>
        </w:rPr>
        <w:t xml:space="preserve"> </w:t>
      </w:r>
      <w:r w:rsidR="006066BC" w:rsidRPr="006066BC">
        <w:rPr>
          <w:rFonts w:asciiTheme="majorBidi" w:hAnsiTheme="majorBidi" w:cstheme="majorBidi"/>
          <w:smallCaps/>
          <w:sz w:val="32"/>
          <w:szCs w:val="32"/>
        </w:rPr>
        <w:t xml:space="preserve">Monthly </w:t>
      </w:r>
      <w:r w:rsidR="006066BC">
        <w:rPr>
          <w:rFonts w:asciiTheme="majorBidi" w:hAnsiTheme="majorBidi" w:cstheme="majorBidi"/>
          <w:smallCaps/>
          <w:sz w:val="32"/>
          <w:szCs w:val="32"/>
        </w:rPr>
        <w:t xml:space="preserve"> </w:t>
      </w:r>
      <w:r w:rsidRPr="006066BC">
        <w:rPr>
          <w:rFonts w:asciiTheme="majorBidi" w:hAnsiTheme="majorBidi" w:cstheme="majorBidi"/>
          <w:smallCaps/>
          <w:sz w:val="32"/>
          <w:szCs w:val="32"/>
        </w:rPr>
        <w:t xml:space="preserve"> </w:t>
      </w:r>
      <w:r w:rsidR="000F375B" w:rsidRPr="006066BC">
        <w:rPr>
          <w:rFonts w:asciiTheme="majorBidi" w:hAnsiTheme="majorBidi" w:cstheme="majorBidi"/>
          <w:smallCaps/>
          <w:sz w:val="32"/>
          <w:szCs w:val="32"/>
        </w:rPr>
        <w:t>Report</w:t>
      </w:r>
    </w:p>
    <w:p w14:paraId="51AA5C89" w14:textId="77777777" w:rsidR="002843CA" w:rsidRDefault="002843CA">
      <w:pPr>
        <w:jc w:val="center"/>
        <w:rPr>
          <w:smallCaps/>
          <w:sz w:val="32"/>
          <w:szCs w:val="32"/>
        </w:rPr>
      </w:pPr>
    </w:p>
    <w:tbl>
      <w:tblPr>
        <w:tblW w:w="11294" w:type="dxa"/>
        <w:tblBorders>
          <w:top w:val="nil"/>
          <w:left w:val="nil"/>
          <w:bottom w:val="nil"/>
          <w:right w:val="nil"/>
          <w:insideH w:val="single" w:sz="4" w:space="0" w:color="000000"/>
          <w:insideV w:val="nil"/>
        </w:tblBorders>
        <w:tblLayout w:type="fixed"/>
        <w:tblCellMar>
          <w:top w:w="100" w:type="dxa"/>
          <w:left w:w="100" w:type="dxa"/>
          <w:bottom w:w="100" w:type="dxa"/>
          <w:right w:w="100" w:type="dxa"/>
        </w:tblCellMar>
        <w:tblLook w:val="0400" w:firstRow="0" w:lastRow="0" w:firstColumn="0" w:lastColumn="0" w:noHBand="0" w:noVBand="1"/>
      </w:tblPr>
      <w:tblGrid>
        <w:gridCol w:w="3255"/>
        <w:gridCol w:w="8039"/>
      </w:tblGrid>
      <w:tr w:rsidR="002843CA" w14:paraId="36673B56" w14:textId="77777777" w:rsidTr="00D40AF7">
        <w:trPr>
          <w:trHeight w:val="346"/>
        </w:trPr>
        <w:tc>
          <w:tcPr>
            <w:tcW w:w="3255" w:type="dxa"/>
          </w:tcPr>
          <w:p w14:paraId="76A5C552" w14:textId="717EAFBA" w:rsidR="002843CA" w:rsidRDefault="006066BC" w:rsidP="00A31AD9">
            <w:r>
              <w:t>Center Name</w:t>
            </w:r>
          </w:p>
        </w:tc>
        <w:tc>
          <w:tcPr>
            <w:tcW w:w="8039" w:type="dxa"/>
            <w:shd w:val="clear" w:color="auto" w:fill="E7E6E6"/>
          </w:tcPr>
          <w:p w14:paraId="508FC436" w14:textId="6EA5D16D" w:rsidR="002843CA" w:rsidRDefault="00E67BA4">
            <w:r>
              <w:t>Al</w:t>
            </w:r>
            <w:r w:rsidR="001B130F">
              <w:t>zahraa Medical Center (AMC)</w:t>
            </w:r>
          </w:p>
        </w:tc>
      </w:tr>
      <w:tr w:rsidR="002843CA" w14:paraId="7B319DF6" w14:textId="77777777" w:rsidTr="00D40AF7">
        <w:trPr>
          <w:trHeight w:val="467"/>
        </w:trPr>
        <w:tc>
          <w:tcPr>
            <w:tcW w:w="3255" w:type="dxa"/>
          </w:tcPr>
          <w:p w14:paraId="37141ED0" w14:textId="091907BC" w:rsidR="002843CA" w:rsidRDefault="007F1E3B" w:rsidP="00A31AD9">
            <w:r>
              <w:t xml:space="preserve">Prepared by: </w:t>
            </w:r>
          </w:p>
        </w:tc>
        <w:tc>
          <w:tcPr>
            <w:tcW w:w="8039" w:type="dxa"/>
            <w:shd w:val="clear" w:color="auto" w:fill="E7E6E6"/>
          </w:tcPr>
          <w:p w14:paraId="19EEDA19" w14:textId="5039CEF4" w:rsidR="002843CA" w:rsidRDefault="001B130F">
            <w:r>
              <w:t>Youssef K. Aouli</w:t>
            </w:r>
          </w:p>
        </w:tc>
      </w:tr>
      <w:tr w:rsidR="002843CA" w14:paraId="39CAEB5B" w14:textId="77777777" w:rsidTr="00D40AF7">
        <w:trPr>
          <w:trHeight w:val="570"/>
        </w:trPr>
        <w:tc>
          <w:tcPr>
            <w:tcW w:w="3255" w:type="dxa"/>
          </w:tcPr>
          <w:p w14:paraId="3985DF01" w14:textId="77777777" w:rsidR="002843CA" w:rsidRDefault="000E51FE">
            <w:r>
              <w:t xml:space="preserve">Name of Coordinator / </w:t>
            </w:r>
            <w:r w:rsidR="007F1E3B">
              <w:t>Manager:</w:t>
            </w:r>
            <w:r>
              <w:t xml:space="preserve"> </w:t>
            </w:r>
          </w:p>
          <w:p w14:paraId="5FC8EDEC" w14:textId="77777777" w:rsidR="002843CA" w:rsidRDefault="00CD6E72">
            <w:pPr>
              <w:rPr>
                <w:i/>
              </w:rPr>
            </w:pPr>
            <w:r>
              <w:rPr>
                <w:i/>
              </w:rPr>
              <w:t>Name, email, and phone</w:t>
            </w:r>
          </w:p>
        </w:tc>
        <w:tc>
          <w:tcPr>
            <w:tcW w:w="8039" w:type="dxa"/>
            <w:shd w:val="clear" w:color="auto" w:fill="E7E6E6"/>
          </w:tcPr>
          <w:p w14:paraId="0D1F76A2" w14:textId="266C4918" w:rsidR="00A31AD9" w:rsidRDefault="007F1E3B" w:rsidP="00A31AD9">
            <w:pPr>
              <w:tabs>
                <w:tab w:val="left" w:pos="1170"/>
              </w:tabs>
            </w:pPr>
            <w:r>
              <w:t>Name:</w:t>
            </w:r>
            <w:r w:rsidR="000E51FE">
              <w:t xml:space="preserve"> </w:t>
            </w:r>
            <w:r w:rsidR="001B130F">
              <w:t>Youssef K. Aouli</w:t>
            </w:r>
          </w:p>
          <w:p w14:paraId="2ACDF208" w14:textId="2C058B7F" w:rsidR="002843CA" w:rsidRDefault="00CD6E72" w:rsidP="00A31AD9">
            <w:r>
              <w:t>P</w:t>
            </w:r>
            <w:r w:rsidR="000E51FE">
              <w:t xml:space="preserve">hone </w:t>
            </w:r>
            <w:r w:rsidR="008376BB">
              <w:t>Number:</w:t>
            </w:r>
            <w:r w:rsidR="001B130F">
              <w:t xml:space="preserve"> +961 3041125</w:t>
            </w:r>
            <w:r w:rsidR="000E51FE">
              <w:t xml:space="preserve"> </w:t>
            </w:r>
            <w:r w:rsidR="007F1E3B">
              <w:t xml:space="preserve">          </w:t>
            </w:r>
            <w:r>
              <w:t xml:space="preserve">    E</w:t>
            </w:r>
            <w:r w:rsidR="000E51FE">
              <w:t>mail:</w:t>
            </w:r>
            <w:r w:rsidR="00A7262B">
              <w:t xml:space="preserve"> </w:t>
            </w:r>
            <w:r w:rsidR="001679EB">
              <w:t>pm</w:t>
            </w:r>
            <w:r w:rsidR="001B130F">
              <w:t>@aica-lb.org</w:t>
            </w:r>
          </w:p>
        </w:tc>
      </w:tr>
      <w:tr w:rsidR="002843CA" w14:paraId="282EB98C" w14:textId="77777777" w:rsidTr="00A31AD9">
        <w:trPr>
          <w:trHeight w:val="682"/>
        </w:trPr>
        <w:tc>
          <w:tcPr>
            <w:tcW w:w="3255" w:type="dxa"/>
          </w:tcPr>
          <w:p w14:paraId="38B3E2B8" w14:textId="77777777" w:rsidR="002843CA" w:rsidRDefault="00CD6E72">
            <w:r>
              <w:t>Reporting period</w:t>
            </w:r>
          </w:p>
          <w:p w14:paraId="680D6C75" w14:textId="77777777" w:rsidR="002843CA" w:rsidRDefault="00CD6E72">
            <w:pPr>
              <w:rPr>
                <w:i/>
              </w:rPr>
            </w:pPr>
            <w:r>
              <w:rPr>
                <w:i/>
              </w:rPr>
              <w:t xml:space="preserve">From – To </w:t>
            </w:r>
          </w:p>
        </w:tc>
        <w:tc>
          <w:tcPr>
            <w:tcW w:w="8039" w:type="dxa"/>
            <w:shd w:val="clear" w:color="auto" w:fill="E7E6E6"/>
          </w:tcPr>
          <w:p w14:paraId="6606A682" w14:textId="38433364" w:rsidR="002843CA" w:rsidRDefault="001B130F" w:rsidP="00F07966">
            <w:r>
              <w:t xml:space="preserve">From the </w:t>
            </w:r>
            <w:r w:rsidR="001679EB">
              <w:t>1</w:t>
            </w:r>
            <w:r w:rsidR="001679EB" w:rsidRPr="001679EB">
              <w:rPr>
                <w:vertAlign w:val="superscript"/>
              </w:rPr>
              <w:t>st</w:t>
            </w:r>
            <w:r>
              <w:t xml:space="preserve"> June 2026 to </w:t>
            </w:r>
            <w:r w:rsidR="001679EB">
              <w:t>31</w:t>
            </w:r>
            <w:r w:rsidR="001679EB" w:rsidRPr="001679EB">
              <w:rPr>
                <w:vertAlign w:val="superscript"/>
              </w:rPr>
              <w:t>st</w:t>
            </w:r>
            <w:r>
              <w:t xml:space="preserve"> June 2026</w:t>
            </w:r>
          </w:p>
        </w:tc>
      </w:tr>
    </w:tbl>
    <w:p w14:paraId="2390EE0D" w14:textId="77777777" w:rsidR="002843CA" w:rsidRDefault="002843CA"/>
    <w:p w14:paraId="0A09396D" w14:textId="77777777" w:rsidR="002843CA" w:rsidRDefault="0068487A" w:rsidP="0068487A">
      <w:pPr>
        <w:pStyle w:val="Heading1"/>
        <w:rPr>
          <w:color w:val="44546A"/>
        </w:rPr>
      </w:pPr>
      <w:r>
        <w:rPr>
          <w:color w:val="44546A"/>
        </w:rPr>
        <w:t>Management Update:</w:t>
      </w:r>
    </w:p>
    <w:p w14:paraId="1EECAFC4" w14:textId="77777777" w:rsidR="00354A7E" w:rsidRDefault="00354A7E" w:rsidP="00D079D8">
      <w:pPr>
        <w:rPr>
          <w:rtl/>
        </w:rPr>
      </w:pPr>
    </w:p>
    <w:p w14:paraId="1743468C" w14:textId="1EA38FBE" w:rsidR="001B130F" w:rsidRDefault="00BB2EEA" w:rsidP="001B130F">
      <w:r>
        <w:rPr>
          <w:rFonts w:hint="cs"/>
          <w:rtl/>
        </w:rPr>
        <w:t>)</w:t>
      </w:r>
      <w:r w:rsidRPr="00BB2EEA">
        <w:t>Administrative decisions</w:t>
      </w:r>
      <w:r>
        <w:rPr>
          <w:rFonts w:hint="cs"/>
          <w:rtl/>
        </w:rPr>
        <w:t xml:space="preserve"> </w:t>
      </w:r>
      <w:r>
        <w:t>, new projects…)</w:t>
      </w:r>
    </w:p>
    <w:p w14:paraId="1CB81DA4" w14:textId="77777777" w:rsidR="00481A5F" w:rsidRPr="00481A5F" w:rsidRDefault="00481A5F" w:rsidP="00481A5F">
      <w:pPr>
        <w:pStyle w:val="ListParagraph"/>
        <w:numPr>
          <w:ilvl w:val="0"/>
          <w:numId w:val="2"/>
        </w:numPr>
        <w:spacing w:after="120"/>
      </w:pPr>
      <w:r w:rsidRPr="00481A5F">
        <w:t>During June 2026, AMC continued providing its regular primary healthcare services in coordination with MoPH, MSF, YMCA, and the PSU mobile PHC approach. June was also the final month of the MSF-supported package at AMC. MSF support remained active during the month and concluded at the end of June 2026. Operational focus was therefore placed on maintaining service continuity, supporting patients during the transition, coordinating available alternative pathways, and completing monthly data verification before reporting.</w:t>
      </w:r>
    </w:p>
    <w:p w14:paraId="7D04F364" w14:textId="016261F3" w:rsidR="00354A7E" w:rsidRPr="00A31AD9" w:rsidRDefault="00B03BB5" w:rsidP="00A31AD9">
      <w:pPr>
        <w:pStyle w:val="Heading1"/>
        <w:rPr>
          <w:color w:val="44546A"/>
        </w:rPr>
      </w:pPr>
      <w:r>
        <w:rPr>
          <w:color w:val="44546A"/>
        </w:rPr>
        <w:t xml:space="preserve">Department </w:t>
      </w:r>
      <w:r w:rsidR="0068487A">
        <w:rPr>
          <w:color w:val="44546A"/>
        </w:rPr>
        <w:t xml:space="preserve">Update: </w:t>
      </w:r>
    </w:p>
    <w:p w14:paraId="41FA3179" w14:textId="77777777" w:rsidR="002843CA" w:rsidRPr="00BB2EEA" w:rsidRDefault="00354A7E" w:rsidP="00BB2EEA">
      <w:r>
        <w:t>(numb of ben, services, activity implemented on filed ….)</w:t>
      </w:r>
    </w:p>
    <w:p w14:paraId="64B0C8C0" w14:textId="77777777" w:rsidR="008726D3" w:rsidRPr="009C23D5" w:rsidRDefault="008726D3" w:rsidP="008726D3">
      <w:pPr>
        <w:jc w:val="both"/>
        <w:rPr>
          <w:sz w:val="18"/>
          <w:szCs w:val="18"/>
        </w:rPr>
      </w:pPr>
    </w:p>
    <w:p w14:paraId="7F068EC8" w14:textId="77777777" w:rsidR="009C23D5" w:rsidRPr="009C23D5" w:rsidRDefault="009C23D5" w:rsidP="009C23D5">
      <w:r w:rsidRPr="009C23D5">
        <w:t>During June 2026, Alzahraa Medical Center (AMC) recorded 3,468 service contacts/visits. The highest service volumes were recorded in Pharmacy (931), General Medicine (899), Laboratory (525), Nursing Care (147), Midwifery (161), Orthopedics (115), Dentistry (95), Gynecology (88), Endocrinology (75), Cardiology (71), and Ophthalmology (69). Reported figures represent service contacts/visits and may include repeat beneficiaries.</w:t>
      </w:r>
    </w:p>
    <w:p w14:paraId="39A0983A" w14:textId="77777777" w:rsidR="009C23D5" w:rsidRPr="009C23D5" w:rsidRDefault="009C23D5" w:rsidP="009C23D5">
      <w:r w:rsidRPr="009C23D5">
        <w:lastRenderedPageBreak/>
        <w:t>Gender-disaggregated Odoo service contacts for June were 2,027 female and 1,441 male contacts. These figures are service contacts with duplication and should not be interpreted as unique beneficiaries. The detailed monthly service segregation is presented in the monitoring section of this report.</w:t>
      </w:r>
    </w:p>
    <w:p w14:paraId="60FCAF6D" w14:textId="77777777" w:rsidR="009C23D5" w:rsidRPr="009C23D5" w:rsidRDefault="009C23D5" w:rsidP="009C23D5">
      <w:pPr>
        <w:jc w:val="both"/>
        <w:rPr>
          <w:sz w:val="18"/>
          <w:szCs w:val="18"/>
        </w:rPr>
      </w:pPr>
    </w:p>
    <w:p w14:paraId="58E2D7F1" w14:textId="77777777" w:rsidR="009C23D5" w:rsidRPr="009C23D5" w:rsidRDefault="009C23D5" w:rsidP="009C23D5">
      <w:pPr>
        <w:spacing w:after="120"/>
        <w:jc w:val="both"/>
        <w:rPr>
          <w:rFonts w:ascii="Times New Roman" w:eastAsia="Times New Roman" w:hAnsi="Times New Roman" w:cs="Times New Roman"/>
          <w:bCs/>
        </w:rPr>
      </w:pPr>
      <w:r w:rsidRPr="009C23D5">
        <w:rPr>
          <w:rFonts w:ascii="Times New Roman" w:eastAsia="Times New Roman" w:hAnsi="Times New Roman" w:cs="Times New Roman"/>
          <w:bCs/>
          <w:sz w:val="22"/>
        </w:rPr>
        <w:t>Alzahraa Medical Center (AMC) is a primary healthcare center located between Mankoubin and Jabal Mohsen, Tripoli, operating under AICA. Established in partnership with the Ministry of Public Health in 2008 and upgraded to a Primary Healthcare Center in 2016, AMC provides accessible general and specialized consultations, medications, chronic disease support, vaccination, and related health services to vulnerable populations without discrimination. The center works in coordination with key partners including MoPH, MoSA, MSF, YMCA, and other health and humanitarian actors, and receives beneficiaries from different areas across North Lebanon.</w:t>
      </w:r>
    </w:p>
    <w:p w14:paraId="11830F3F" w14:textId="77777777" w:rsidR="009C23D5" w:rsidRPr="009C23D5" w:rsidRDefault="009C23D5" w:rsidP="009C23D5">
      <w:pPr>
        <w:spacing w:after="120"/>
        <w:jc w:val="both"/>
        <w:rPr>
          <w:rFonts w:ascii="Times New Roman" w:eastAsia="Times New Roman" w:hAnsi="Times New Roman" w:cs="Times New Roman"/>
          <w:b/>
          <w:bCs/>
        </w:rPr>
      </w:pPr>
      <w:r w:rsidRPr="009C23D5">
        <w:rPr>
          <w:rFonts w:ascii="Times New Roman" w:eastAsia="Times New Roman" w:hAnsi="Times New Roman" w:cs="Times New Roman"/>
          <w:b/>
          <w:bCs/>
          <w:sz w:val="22"/>
        </w:rPr>
        <w:t>Supported Medical Services: Affordable and Accessible Healthcare for All</w:t>
      </w:r>
    </w:p>
    <w:p w14:paraId="6BEC9D6E" w14:textId="77777777" w:rsidR="009C23D5" w:rsidRPr="009C23D5" w:rsidRDefault="009C23D5" w:rsidP="009C23D5">
      <w:pPr>
        <w:spacing w:after="120"/>
        <w:jc w:val="both"/>
        <w:rPr>
          <w:rFonts w:ascii="Times New Roman" w:eastAsia="Times New Roman" w:hAnsi="Times New Roman" w:cs="Times New Roman"/>
          <w:rtl/>
        </w:rPr>
      </w:pPr>
      <w:r w:rsidRPr="009C23D5">
        <w:rPr>
          <w:rFonts w:ascii="Times New Roman" w:eastAsia="Times New Roman" w:hAnsi="Times New Roman" w:cs="Times New Roman"/>
          <w:sz w:val="22"/>
        </w:rPr>
        <w:t xml:space="preserve">In collaboration with the Alawite Islamic Charity Association (AICA) and the Ministry of Public Health, our center continues to provide essential medical services at subsidized rates, ensuring equitable access to healthcare. </w:t>
      </w:r>
      <w:r w:rsidRPr="009C23D5">
        <w:rPr>
          <w:rFonts w:ascii="Times New Roman" w:eastAsia="Times New Roman" w:hAnsi="Times New Roman" w:cs="Times New Roman"/>
          <w:b/>
          <w:bCs/>
          <w:sz w:val="22"/>
        </w:rPr>
        <w:t>General medical consultations are priced at 600,000 LBP, while specialized consultations cost 900,000 LBP.</w:t>
      </w:r>
      <w:r w:rsidRPr="009C23D5">
        <w:rPr>
          <w:rFonts w:ascii="Times New Roman" w:eastAsia="Times New Roman" w:hAnsi="Times New Roman" w:cs="Times New Roman"/>
          <w:sz w:val="22"/>
        </w:rPr>
        <w:t xml:space="preserve"> Vaccines and medications are provided free of charge to ease the financial burden on patients and ensure access to necessary treatments at no additional cost.</w:t>
      </w:r>
    </w:p>
    <w:p w14:paraId="6F6071FB" w14:textId="77777777" w:rsidR="009C23D5" w:rsidRPr="009C23D5" w:rsidRDefault="009C23D5" w:rsidP="009C23D5">
      <w:pPr>
        <w:jc w:val="both"/>
        <w:rPr>
          <w:rFonts w:ascii="Times New Roman" w:eastAsia="Times New Roman" w:hAnsi="Times New Roman" w:cs="Times New Roman"/>
          <w:rtl/>
        </w:rPr>
      </w:pPr>
    </w:p>
    <w:p w14:paraId="62018F1C" w14:textId="77777777" w:rsidR="009C23D5" w:rsidRPr="009C23D5" w:rsidRDefault="009C23D5" w:rsidP="009C23D5">
      <w:pPr>
        <w:spacing w:after="120"/>
        <w:jc w:val="both"/>
        <w:rPr>
          <w:rFonts w:ascii="Times New Roman" w:eastAsia="Times New Roman" w:hAnsi="Times New Roman" w:cs="Times New Roman"/>
          <w:b/>
          <w:bCs/>
        </w:rPr>
      </w:pPr>
      <w:r w:rsidRPr="009C23D5">
        <w:rPr>
          <w:rFonts w:ascii="Times New Roman" w:eastAsia="Times New Roman" w:hAnsi="Times New Roman" w:cs="Times New Roman"/>
          <w:b/>
          <w:bCs/>
          <w:sz w:val="22"/>
        </w:rPr>
        <w:t>Partnership with Médecins Sans Frontières (MSF): Final Month of Support</w:t>
      </w:r>
    </w:p>
    <w:p w14:paraId="70DC18C9" w14:textId="77777777" w:rsidR="009C23D5" w:rsidRPr="009C23D5" w:rsidRDefault="009C23D5" w:rsidP="009C23D5">
      <w:pPr>
        <w:spacing w:after="120"/>
        <w:jc w:val="both"/>
        <w:rPr>
          <w:rFonts w:ascii="Times New Roman" w:eastAsia="Times New Roman" w:hAnsi="Times New Roman" w:cs="Times New Roman"/>
        </w:rPr>
      </w:pPr>
      <w:r w:rsidRPr="009C23D5">
        <w:t>During June 2026, the MSF-supported service package remained active for its final month, continuing support for patients with non-communicable diseases and mental health conditions. Chronic medication renewal and consultation support continued for eligible patients during June. The MSF support at AMC concluded at the end of the month, making June a transition period for patients who had relied on this assistance.</w:t>
      </w:r>
    </w:p>
    <w:p w14:paraId="46AFBB46" w14:textId="77777777" w:rsidR="009C23D5" w:rsidRPr="009C23D5" w:rsidRDefault="009C23D5" w:rsidP="009C23D5">
      <w:pPr>
        <w:spacing w:after="120"/>
        <w:jc w:val="both"/>
        <w:rPr>
          <w:rFonts w:ascii="Times New Roman" w:eastAsia="Times New Roman" w:hAnsi="Times New Roman" w:cs="Times New Roman"/>
        </w:rPr>
      </w:pPr>
      <w:r w:rsidRPr="009C23D5">
        <w:rPr>
          <w:rFonts w:ascii="Times New Roman" w:eastAsia="Times New Roman" w:hAnsi="Times New Roman" w:cs="Times New Roman"/>
          <w:sz w:val="22"/>
        </w:rPr>
        <w:t>Laboratory access for chronic patients continued to be linked, where applicable, to the YMCA registration program in coordination with the Ministry of Public Health. Registration and clinical eligibility remained important for accessing covered laboratory services.</w:t>
      </w:r>
    </w:p>
    <w:p w14:paraId="5EB047C4" w14:textId="77777777" w:rsidR="009C23D5" w:rsidRPr="009C23D5" w:rsidRDefault="009C23D5" w:rsidP="009C23D5">
      <w:pPr>
        <w:spacing w:after="120"/>
        <w:jc w:val="both"/>
        <w:rPr>
          <w:rFonts w:ascii="Times New Roman" w:eastAsia="Times New Roman" w:hAnsi="Times New Roman" w:cs="Times New Roman"/>
        </w:rPr>
      </w:pPr>
      <w:r w:rsidRPr="009C23D5">
        <w:rPr>
          <w:rFonts w:ascii="Times New Roman" w:eastAsia="Times New Roman" w:hAnsi="Times New Roman" w:cs="Times New Roman"/>
          <w:sz w:val="22"/>
        </w:rPr>
        <w:t>The in-house pharmacy continued dispensing prescribed medications with usage instructions. AMC maintained coordination with MoPH, YMCA, MSF during its final month, and other available sources to support medication availability and reduce interruption of treatment for chronic patients.</w:t>
      </w:r>
    </w:p>
    <w:p w14:paraId="2BBE1427" w14:textId="77777777" w:rsidR="009C23D5" w:rsidRPr="009C23D5" w:rsidRDefault="009C23D5" w:rsidP="009C23D5">
      <w:pPr>
        <w:spacing w:after="120"/>
        <w:jc w:val="both"/>
        <w:rPr>
          <w:rFonts w:ascii="Times New Roman" w:eastAsia="Times New Roman" w:hAnsi="Times New Roman" w:cs="Times New Roman"/>
        </w:rPr>
      </w:pPr>
      <w:r w:rsidRPr="009C23D5">
        <w:t>With the MSF-supported package ending at the close of June, AMC prioritized patient guidance, direct service provision where feasible, and coordination with available partners to identify alternative pathways for patients requiring continued medical, medication, mental health, or referral support.</w:t>
      </w:r>
    </w:p>
    <w:p w14:paraId="3617EFDD" w14:textId="77777777" w:rsidR="009C23D5" w:rsidRPr="009C23D5" w:rsidRDefault="009C23D5" w:rsidP="009C23D5">
      <w:pPr>
        <w:spacing w:after="120"/>
        <w:jc w:val="both"/>
        <w:rPr>
          <w:rFonts w:ascii="Times New Roman" w:eastAsia="Times New Roman" w:hAnsi="Times New Roman" w:cs="Times New Roman"/>
          <w:b/>
          <w:bCs/>
          <w:sz w:val="22"/>
        </w:rPr>
      </w:pPr>
    </w:p>
    <w:p w14:paraId="4F59C701" w14:textId="77777777" w:rsidR="009C23D5" w:rsidRPr="009C23D5" w:rsidRDefault="009C23D5" w:rsidP="009C23D5">
      <w:pPr>
        <w:spacing w:after="120"/>
        <w:jc w:val="both"/>
        <w:rPr>
          <w:rFonts w:ascii="Times New Roman" w:eastAsia="Times New Roman" w:hAnsi="Times New Roman" w:cs="Times New Roman"/>
          <w:b/>
          <w:bCs/>
        </w:rPr>
      </w:pPr>
      <w:r w:rsidRPr="009C23D5">
        <w:rPr>
          <w:rFonts w:ascii="Times New Roman" w:eastAsia="Times New Roman" w:hAnsi="Times New Roman" w:cs="Times New Roman"/>
          <w:b/>
          <w:bCs/>
          <w:sz w:val="22"/>
        </w:rPr>
        <w:t>PSU: Reaching the Most Vulnerable</w:t>
      </w:r>
    </w:p>
    <w:p w14:paraId="42344369" w14:textId="77777777" w:rsidR="009C23D5" w:rsidRPr="009C23D5" w:rsidRDefault="009C23D5" w:rsidP="009C23D5">
      <w:pPr>
        <w:spacing w:after="120"/>
        <w:jc w:val="both"/>
        <w:rPr>
          <w:rFonts w:ascii="Times New Roman" w:eastAsia="Times New Roman" w:hAnsi="Times New Roman" w:cs="Times New Roman"/>
        </w:rPr>
      </w:pPr>
      <w:r w:rsidRPr="009C23D5">
        <w:t>As part of the mobile primary healthcare unit project (PSU), AMC continued coordinating center-based and mobile primary healthcare support for vulnerable groups in Jabal Mohsen. The PSU approach remained an important access mechanism for persons facing transportation, cost, or other barriers to reaching the center.</w:t>
      </w:r>
    </w:p>
    <w:p w14:paraId="6A0AE903" w14:textId="77777777" w:rsidR="009C23D5" w:rsidRPr="009C23D5" w:rsidRDefault="009C23D5" w:rsidP="009C23D5">
      <w:pPr>
        <w:spacing w:after="120"/>
        <w:jc w:val="both"/>
      </w:pPr>
    </w:p>
    <w:p w14:paraId="3F99F813" w14:textId="77777777" w:rsidR="009C23D5" w:rsidRPr="009C23D5" w:rsidRDefault="009C23D5" w:rsidP="009C23D5">
      <w:pPr>
        <w:spacing w:after="120"/>
      </w:pPr>
      <w:r w:rsidRPr="009C23D5">
        <w:rPr>
          <w:b/>
          <w:sz w:val="22"/>
        </w:rPr>
        <w:t>Additional Update – End of MSF Support and Transition Planning</w:t>
      </w:r>
    </w:p>
    <w:p w14:paraId="10CEBE88" w14:textId="77777777" w:rsidR="009C23D5" w:rsidRPr="009C23D5" w:rsidRDefault="009C23D5" w:rsidP="009C23D5">
      <w:pPr>
        <w:spacing w:after="120"/>
      </w:pPr>
      <w:r w:rsidRPr="009C23D5">
        <w:t>June 2026 represented the closing month of the MSF-supported package at AMC. The center therefore focused on maintaining uninterrupted access during the month while preparing for the period after MSF closure. Staff continued guiding patients toward available MoPH, YMCA, internal AMC, and other partner-supported options whenever applicable.</w:t>
      </w:r>
    </w:p>
    <w:p w14:paraId="667021C6" w14:textId="77777777" w:rsidR="009C23D5" w:rsidRPr="009C23D5" w:rsidRDefault="009C23D5" w:rsidP="009C23D5">
      <w:pPr>
        <w:spacing w:after="120"/>
      </w:pPr>
      <w:r w:rsidRPr="009C23D5">
        <w:rPr>
          <w:sz w:val="22"/>
        </w:rPr>
        <w:lastRenderedPageBreak/>
        <w:t>Key transition priorities included:</w:t>
      </w:r>
    </w:p>
    <w:p w14:paraId="76CC95DF" w14:textId="77777777" w:rsidR="009C23D5" w:rsidRPr="009C23D5" w:rsidRDefault="009C23D5" w:rsidP="009C23D5">
      <w:pPr>
        <w:spacing w:after="120"/>
      </w:pPr>
      <w:r w:rsidRPr="009C23D5">
        <w:rPr>
          <w:sz w:val="22"/>
        </w:rPr>
        <w:t>• Informing and guiding patients affected by the end of MSF support.</w:t>
      </w:r>
    </w:p>
    <w:p w14:paraId="219E9043" w14:textId="77777777" w:rsidR="009C23D5" w:rsidRPr="009C23D5" w:rsidRDefault="009C23D5" w:rsidP="009C23D5">
      <w:pPr>
        <w:spacing w:after="120"/>
      </w:pPr>
      <w:r w:rsidRPr="009C23D5">
        <w:rPr>
          <w:sz w:val="22"/>
        </w:rPr>
        <w:t>• Maintaining chronic medication and laboratory pathways through available programs where eligible.</w:t>
      </w:r>
    </w:p>
    <w:p w14:paraId="5B1124BE" w14:textId="77777777" w:rsidR="009C23D5" w:rsidRPr="009C23D5" w:rsidRDefault="009C23D5" w:rsidP="009C23D5">
      <w:pPr>
        <w:spacing w:after="120"/>
      </w:pPr>
      <w:r w:rsidRPr="009C23D5">
        <w:rPr>
          <w:sz w:val="22"/>
        </w:rPr>
        <w:t>• Preparing AMC service workflows for new support mechanisms expected to start during July 2026.</w:t>
      </w:r>
    </w:p>
    <w:p w14:paraId="3BBB7506" w14:textId="77777777" w:rsidR="009C23D5" w:rsidRPr="009C23D5" w:rsidRDefault="009C23D5" w:rsidP="009C23D5">
      <w:pPr>
        <w:spacing w:after="120"/>
      </w:pPr>
      <w:r w:rsidRPr="009C23D5">
        <w:t>The transition was managed with the objective of reducing interruption to essential services and ensuring that vulnerable patients continued to receive clear information on available care options after the end of MSF support.</w:t>
      </w:r>
    </w:p>
    <w:p w14:paraId="5C00CFFA" w14:textId="77777777" w:rsidR="00841825" w:rsidRPr="00F7037A" w:rsidRDefault="00841825" w:rsidP="00A73E7B">
      <w:pPr>
        <w:jc w:val="both"/>
        <w:rPr>
          <w:rFonts w:ascii="Times New Roman" w:eastAsia="Times New Roman" w:hAnsi="Times New Roman" w:cs="Times New Roman"/>
        </w:rPr>
      </w:pPr>
    </w:p>
    <w:p w14:paraId="6CFF0934" w14:textId="0313C3A7" w:rsidR="00354A7E" w:rsidRPr="00111370" w:rsidRDefault="00111370" w:rsidP="00111370">
      <w:pPr>
        <w:jc w:val="both"/>
        <w:rPr>
          <w:rFonts w:ascii="Times New Roman" w:eastAsia="Times New Roman" w:hAnsi="Times New Roman" w:cs="Times New Roman"/>
          <w:bCs/>
        </w:rPr>
      </w:pPr>
      <w:r>
        <w:rPr>
          <w:rFonts w:ascii="Times New Roman" w:eastAsia="Times New Roman" w:hAnsi="Times New Roman" w:cs="Times New Roman"/>
          <w:b/>
          <w:bCs/>
          <w:rtl/>
        </w:rPr>
        <w:br/>
      </w:r>
      <w:r w:rsidR="00D079D8" w:rsidRPr="00D079D8">
        <w:rPr>
          <w:color w:val="44546A"/>
        </w:rPr>
        <w:t xml:space="preserve">Finance Update: </w:t>
      </w:r>
    </w:p>
    <w:p w14:paraId="7B5B2688" w14:textId="43D374B3" w:rsidR="006A64A8" w:rsidRDefault="00354A7E" w:rsidP="000F2731">
      <w:pPr>
        <w:pBdr>
          <w:top w:val="nil"/>
          <w:left w:val="nil"/>
          <w:bottom w:val="nil"/>
          <w:right w:val="nil"/>
          <w:between w:val="nil"/>
        </w:pBdr>
        <w:ind w:left="360"/>
      </w:pPr>
      <w:r>
        <w:t xml:space="preserve"> </w:t>
      </w:r>
      <w:r w:rsidR="00B93948">
        <w:t>(Finance</w:t>
      </w:r>
      <w:r w:rsidR="00B97757">
        <w:t xml:space="preserve"> request – donation </w:t>
      </w:r>
      <w:r w:rsidR="00B93948">
        <w:t>….</w:t>
      </w:r>
      <w:r w:rsidR="00B97757">
        <w:t xml:space="preserve"> </w:t>
      </w:r>
      <w:r w:rsidR="00B97757" w:rsidRPr="00B97757">
        <w:t>Payments</w:t>
      </w:r>
      <w:r w:rsidR="00B97757">
        <w:t>)</w:t>
      </w:r>
    </w:p>
    <w:p w14:paraId="6ED2EE92" w14:textId="7AAE4C04" w:rsidR="0043290C" w:rsidRDefault="0043290C" w:rsidP="00542E3B">
      <w:pPr>
        <w:pBdr>
          <w:top w:val="nil"/>
          <w:left w:val="nil"/>
          <w:bottom w:val="nil"/>
          <w:right w:val="nil"/>
          <w:between w:val="nil"/>
        </w:pBdr>
      </w:pPr>
      <w:r>
        <w:t>Attached</w:t>
      </w:r>
    </w:p>
    <w:p w14:paraId="46385577" w14:textId="77777777" w:rsidR="002843CA" w:rsidRDefault="00CD6E72">
      <w:pPr>
        <w:spacing w:after="0" w:line="276" w:lineRule="auto"/>
        <w:ind w:left="100" w:firstLine="280"/>
        <w:jc w:val="both"/>
        <w:rPr>
          <w:rFonts w:ascii="Times New Roman" w:eastAsia="Times New Roman" w:hAnsi="Times New Roman" w:cs="Times New Roman"/>
          <w:sz w:val="22"/>
          <w:szCs w:val="22"/>
          <w:u w:val="single"/>
        </w:rPr>
      </w:pPr>
      <w:r>
        <w:rPr>
          <w:rFonts w:ascii="Times New Roman" w:eastAsia="Times New Roman" w:hAnsi="Times New Roman" w:cs="Times New Roman"/>
          <w:sz w:val="22"/>
          <w:szCs w:val="22"/>
          <w:u w:val="single"/>
        </w:rPr>
        <w:t xml:space="preserve">Action </w:t>
      </w:r>
      <w:r w:rsidR="002F29C3">
        <w:rPr>
          <w:rFonts w:ascii="Times New Roman" w:eastAsia="Times New Roman" w:hAnsi="Times New Roman" w:cs="Times New Roman"/>
          <w:sz w:val="22"/>
          <w:szCs w:val="22"/>
          <w:u w:val="single"/>
        </w:rPr>
        <w:t>plan for</w:t>
      </w:r>
      <w:r w:rsidR="00D079D8">
        <w:rPr>
          <w:rFonts w:ascii="Times New Roman" w:eastAsia="Times New Roman" w:hAnsi="Times New Roman" w:cs="Times New Roman"/>
          <w:sz w:val="22"/>
          <w:szCs w:val="22"/>
          <w:u w:val="single"/>
        </w:rPr>
        <w:t xml:space="preserve"> next </w:t>
      </w:r>
      <w:r w:rsidR="002F29C3">
        <w:rPr>
          <w:rFonts w:ascii="Times New Roman" w:eastAsia="Times New Roman" w:hAnsi="Times New Roman" w:cs="Times New Roman"/>
          <w:sz w:val="22"/>
          <w:szCs w:val="22"/>
          <w:u w:val="single"/>
        </w:rPr>
        <w:t>Month:</w:t>
      </w:r>
    </w:p>
    <w:p w14:paraId="51B3A32F" w14:textId="77777777" w:rsidR="003A3BC1" w:rsidRDefault="003A3BC1">
      <w:pPr>
        <w:spacing w:after="0" w:line="276" w:lineRule="auto"/>
        <w:ind w:left="100" w:firstLine="280"/>
        <w:jc w:val="both"/>
        <w:rPr>
          <w:rFonts w:ascii="Times New Roman" w:eastAsia="Times New Roman" w:hAnsi="Times New Roman" w:cs="Times New Roman"/>
          <w:sz w:val="22"/>
          <w:szCs w:val="22"/>
          <w:u w:val="single"/>
        </w:rPr>
      </w:pPr>
      <w:r>
        <w:rPr>
          <w:rFonts w:ascii="Times New Roman" w:eastAsia="Times New Roman" w:hAnsi="Times New Roman" w:cs="Times New Roman"/>
          <w:sz w:val="22"/>
          <w:szCs w:val="22"/>
          <w:u w:val="single"/>
        </w:rPr>
        <w:br/>
      </w:r>
    </w:p>
    <w:tbl>
      <w:tblPr>
        <w:tblW w:w="10650" w:type="dxa"/>
        <w:tblInd w:w="1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0" w:type="dxa"/>
          <w:left w:w="100" w:type="dxa"/>
          <w:bottom w:w="100" w:type="dxa"/>
          <w:right w:w="100" w:type="dxa"/>
        </w:tblCellMar>
        <w:tblLook w:val="0600" w:firstRow="0" w:lastRow="0" w:firstColumn="0" w:lastColumn="0" w:noHBand="1" w:noVBand="1"/>
      </w:tblPr>
      <w:tblGrid>
        <w:gridCol w:w="1740"/>
        <w:gridCol w:w="2790"/>
        <w:gridCol w:w="2610"/>
        <w:gridCol w:w="1710"/>
        <w:gridCol w:w="1800"/>
      </w:tblGrid>
      <w:tr w:rsidR="00042C85" w:rsidRPr="003A3BC1" w14:paraId="1E555477" w14:textId="77777777" w:rsidTr="003A3BC1">
        <w:trPr>
          <w:trHeight w:val="1625"/>
        </w:trPr>
        <w:tc>
          <w:tcPr>
            <w:tcW w:w="174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738826A0" w14:textId="25EA5A1D" w:rsidR="00042C85" w:rsidRPr="003A3BC1" w:rsidRDefault="00042C85" w:rsidP="00042C85">
            <w:pPr>
              <w:spacing w:before="240" w:line="276" w:lineRule="auto"/>
              <w:jc w:val="both"/>
              <w:rPr>
                <w:rFonts w:ascii="Times New Roman" w:eastAsia="Times New Roman" w:hAnsi="Times New Roman" w:cs="Times New Roman"/>
                <w:sz w:val="22"/>
                <w:szCs w:val="22"/>
              </w:rPr>
            </w:pPr>
            <w:r w:rsidRPr="003A3BC1">
              <w:rPr>
                <w:rFonts w:ascii="Times New Roman" w:eastAsia="Times New Roman" w:hAnsi="Times New Roman" w:cs="Times New Roman"/>
                <w:sz w:val="22"/>
                <w:szCs w:val="22"/>
              </w:rPr>
              <w:t>Activities</w:t>
            </w:r>
          </w:p>
        </w:tc>
        <w:tc>
          <w:tcPr>
            <w:tcW w:w="279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493EBF30" w14:textId="6B0E4181" w:rsidR="00042C85" w:rsidRPr="003A3BC1" w:rsidRDefault="00042C85" w:rsidP="00042C85">
            <w:pPr>
              <w:spacing w:before="240" w:line="276" w:lineRule="auto"/>
              <w:jc w:val="both"/>
              <w:rPr>
                <w:rFonts w:ascii="Times New Roman" w:eastAsia="Times New Roman" w:hAnsi="Times New Roman" w:cs="Times New Roman"/>
                <w:sz w:val="22"/>
                <w:szCs w:val="22"/>
              </w:rPr>
            </w:pPr>
            <w:r w:rsidRPr="003A3BC1">
              <w:rPr>
                <w:rFonts w:ascii="Times New Roman" w:eastAsia="Times New Roman" w:hAnsi="Times New Roman" w:cs="Times New Roman"/>
                <w:sz w:val="22"/>
                <w:szCs w:val="22"/>
              </w:rPr>
              <w:t>Description of the Activity</w:t>
            </w:r>
          </w:p>
        </w:tc>
        <w:tc>
          <w:tcPr>
            <w:tcW w:w="261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0739600B" w14:textId="53FF3A57" w:rsidR="00042C85" w:rsidRPr="003A3BC1" w:rsidRDefault="00042C85" w:rsidP="00042C85">
            <w:pPr>
              <w:spacing w:before="240" w:line="276" w:lineRule="auto"/>
              <w:jc w:val="both"/>
              <w:rPr>
                <w:rFonts w:ascii="Times New Roman" w:eastAsia="Times New Roman" w:hAnsi="Times New Roman" w:cs="Times New Roman"/>
                <w:sz w:val="22"/>
                <w:szCs w:val="22"/>
              </w:rPr>
            </w:pPr>
            <w:r w:rsidRPr="003A3BC1">
              <w:rPr>
                <w:rFonts w:ascii="Times New Roman" w:eastAsia="Times New Roman" w:hAnsi="Times New Roman" w:cs="Times New Roman"/>
                <w:sz w:val="22"/>
                <w:szCs w:val="22"/>
              </w:rPr>
              <w:t>Modality</w:t>
            </w:r>
            <w:r>
              <w:rPr>
                <w:rFonts w:ascii="Times New Roman" w:eastAsia="Times New Roman" w:hAnsi="Times New Roman" w:cs="Times New Roman"/>
                <w:sz w:val="22"/>
                <w:szCs w:val="22"/>
              </w:rPr>
              <w:t xml:space="preserve"> </w:t>
            </w:r>
            <w:r w:rsidRPr="003A3BC1">
              <w:rPr>
                <w:rFonts w:ascii="Times New Roman" w:eastAsia="Times New Roman" w:hAnsi="Times New Roman" w:cs="Times New Roman"/>
                <w:sz w:val="22"/>
                <w:szCs w:val="22"/>
              </w:rPr>
              <w:t>(Value, Frequency…)</w:t>
            </w:r>
          </w:p>
        </w:tc>
        <w:tc>
          <w:tcPr>
            <w:tcW w:w="171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3F264409" w14:textId="747070EF" w:rsidR="00042C85" w:rsidRPr="003A3BC1" w:rsidRDefault="00042C85" w:rsidP="00042C85">
            <w:pPr>
              <w:spacing w:before="240" w:line="276" w:lineRule="auto"/>
              <w:jc w:val="both"/>
              <w:rPr>
                <w:rFonts w:ascii="Times New Roman" w:eastAsia="Times New Roman" w:hAnsi="Times New Roman" w:cs="Times New Roman"/>
                <w:sz w:val="22"/>
                <w:szCs w:val="22"/>
              </w:rPr>
            </w:pPr>
            <w:r w:rsidRPr="003A3BC1">
              <w:rPr>
                <w:rFonts w:ascii="Times New Roman" w:eastAsia="Times New Roman" w:hAnsi="Times New Roman" w:cs="Times New Roman"/>
                <w:sz w:val="22"/>
                <w:szCs w:val="22"/>
              </w:rPr>
              <w:t>Location of Activities</w:t>
            </w:r>
          </w:p>
        </w:tc>
        <w:tc>
          <w:tcPr>
            <w:tcW w:w="180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3A0CF665" w14:textId="386636A9" w:rsidR="00042C85" w:rsidRPr="003A3BC1" w:rsidRDefault="00042C85" w:rsidP="00042C85">
            <w:pPr>
              <w:spacing w:before="240" w:line="276" w:lineRule="auto"/>
              <w:jc w:val="both"/>
              <w:rPr>
                <w:rFonts w:ascii="Times New Roman" w:eastAsia="Times New Roman" w:hAnsi="Times New Roman" w:cs="Times New Roman"/>
                <w:sz w:val="22"/>
                <w:szCs w:val="22"/>
              </w:rPr>
            </w:pPr>
            <w:r w:rsidRPr="003A3BC1">
              <w:rPr>
                <w:rFonts w:ascii="Times New Roman" w:eastAsia="Times New Roman" w:hAnsi="Times New Roman" w:cs="Times New Roman"/>
                <w:sz w:val="22"/>
                <w:szCs w:val="22"/>
              </w:rPr>
              <w:t>Number of Target Group</w:t>
            </w:r>
          </w:p>
        </w:tc>
      </w:tr>
      <w:tr w:rsidR="00042C85" w:rsidRPr="003A3BC1" w14:paraId="6114FD0E" w14:textId="77777777" w:rsidTr="003A3BC1">
        <w:trPr>
          <w:trHeight w:val="1625"/>
        </w:trPr>
        <w:tc>
          <w:tcPr>
            <w:tcW w:w="174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4A960F8E" w14:textId="2BC062F6" w:rsidR="00042C85" w:rsidRPr="003A3BC1" w:rsidRDefault="00042C85" w:rsidP="006F6EAC">
            <w:pPr>
              <w:jc w:val="center"/>
            </w:pPr>
            <w:r w:rsidRPr="006F6EAC">
              <w:t>Subsidized Medical Consultations</w:t>
            </w:r>
          </w:p>
        </w:tc>
        <w:tc>
          <w:tcPr>
            <w:tcW w:w="279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79DF8882" w14:textId="5A6AF5D1" w:rsidR="00042C85" w:rsidRPr="003A3BC1" w:rsidRDefault="00042C85" w:rsidP="006F6EAC">
            <w:pPr>
              <w:jc w:val="center"/>
            </w:pPr>
            <w:r w:rsidRPr="006F6EAC">
              <w:t>Continue general and specialized medical consultations and maintain affordable access to essential services.</w:t>
            </w:r>
          </w:p>
        </w:tc>
        <w:tc>
          <w:tcPr>
            <w:tcW w:w="261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0F84DFD6" w14:textId="4B1C6E39" w:rsidR="00042C85" w:rsidRPr="003A3BC1" w:rsidRDefault="00042C85" w:rsidP="006F6EAC">
            <w:pPr>
              <w:jc w:val="center"/>
            </w:pPr>
            <w:r w:rsidRPr="006F6EAC">
              <w:t>Daily service</w:t>
            </w:r>
          </w:p>
        </w:tc>
        <w:tc>
          <w:tcPr>
            <w:tcW w:w="171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778BCAEA" w14:textId="2A527B7C" w:rsidR="00042C85" w:rsidRPr="003A3BC1" w:rsidRDefault="00042C85" w:rsidP="006F6EAC">
            <w:pPr>
              <w:jc w:val="center"/>
            </w:pPr>
            <w:r w:rsidRPr="006F6EAC">
              <w:t>AMC</w:t>
            </w:r>
          </w:p>
        </w:tc>
        <w:tc>
          <w:tcPr>
            <w:tcW w:w="180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48F4595C" w14:textId="03CA474A" w:rsidR="00042C85" w:rsidRPr="003A3BC1" w:rsidRDefault="00042C85" w:rsidP="006F6EAC">
            <w:pPr>
              <w:jc w:val="center"/>
            </w:pPr>
            <w:r w:rsidRPr="006F6EAC">
              <w:t>General population</w:t>
            </w:r>
          </w:p>
        </w:tc>
      </w:tr>
      <w:tr w:rsidR="00042C85" w:rsidRPr="003A3BC1" w14:paraId="57E110F3" w14:textId="77777777" w:rsidTr="003A3BC1">
        <w:trPr>
          <w:trHeight w:val="1625"/>
        </w:trPr>
        <w:tc>
          <w:tcPr>
            <w:tcW w:w="174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7D3CEBBB" w14:textId="42906C42" w:rsidR="00042C85" w:rsidRPr="003A3BC1" w:rsidRDefault="00042C85" w:rsidP="006F6EAC">
            <w:pPr>
              <w:jc w:val="center"/>
            </w:pPr>
            <w:r w:rsidRPr="006F6EAC">
              <w:t>MSF Closure / Transition</w:t>
            </w:r>
          </w:p>
        </w:tc>
        <w:tc>
          <w:tcPr>
            <w:tcW w:w="279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252C697C" w14:textId="4C01F40E" w:rsidR="00042C85" w:rsidRPr="003A3BC1" w:rsidRDefault="00042C85" w:rsidP="006F6EAC">
            <w:pPr>
              <w:jc w:val="center"/>
            </w:pPr>
            <w:r w:rsidRPr="006F6EAC">
              <w:t>Complete the MSF phase-out at the end of June and guide affected patients toward available alternative service pathways.</w:t>
            </w:r>
          </w:p>
        </w:tc>
        <w:tc>
          <w:tcPr>
            <w:tcW w:w="261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33D779F6" w14:textId="51791C4E" w:rsidR="00042C85" w:rsidRPr="003A3BC1" w:rsidRDefault="00042C85" w:rsidP="006F6EAC">
            <w:pPr>
              <w:jc w:val="center"/>
            </w:pPr>
            <w:r w:rsidRPr="006F6EAC">
              <w:t>Final month / Transition follow-up</w:t>
            </w:r>
          </w:p>
        </w:tc>
        <w:tc>
          <w:tcPr>
            <w:tcW w:w="171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6C6EA9E2" w14:textId="5DAFBFD9" w:rsidR="00042C85" w:rsidRPr="003A3BC1" w:rsidRDefault="00042C85" w:rsidP="006F6EAC">
            <w:pPr>
              <w:jc w:val="center"/>
            </w:pPr>
            <w:r w:rsidRPr="006F6EAC">
              <w:t>AMC</w:t>
            </w:r>
          </w:p>
        </w:tc>
        <w:tc>
          <w:tcPr>
            <w:tcW w:w="180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6C7822EF" w14:textId="09337707" w:rsidR="00042C85" w:rsidRPr="003A3BC1" w:rsidRDefault="00042C85" w:rsidP="006F6EAC">
            <w:pPr>
              <w:jc w:val="center"/>
            </w:pPr>
            <w:r w:rsidRPr="006F6EAC">
              <w:t>Existing MSF-supported patients</w:t>
            </w:r>
          </w:p>
        </w:tc>
      </w:tr>
      <w:tr w:rsidR="00042C85" w:rsidRPr="003A3BC1" w14:paraId="2132997E" w14:textId="77777777" w:rsidTr="003A3BC1">
        <w:trPr>
          <w:trHeight w:val="1625"/>
        </w:trPr>
        <w:tc>
          <w:tcPr>
            <w:tcW w:w="174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70542A4B" w14:textId="7A936333" w:rsidR="00042C85" w:rsidRPr="003A3BC1" w:rsidRDefault="00042C85" w:rsidP="006F6EAC">
            <w:pPr>
              <w:jc w:val="center"/>
            </w:pPr>
            <w:r w:rsidRPr="006F6EAC">
              <w:t>Laboratory Access through YMCA</w:t>
            </w:r>
          </w:p>
        </w:tc>
        <w:tc>
          <w:tcPr>
            <w:tcW w:w="279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67E76E4A" w14:textId="6E377670" w:rsidR="00042C85" w:rsidRPr="003A3BC1" w:rsidRDefault="00042C85" w:rsidP="006F6EAC">
            <w:pPr>
              <w:jc w:val="center"/>
            </w:pPr>
            <w:r w:rsidRPr="006F6EAC">
              <w:t>Continue facilitating laboratory access for eligible chronic patients through YMCA/MoPH registration pathways.</w:t>
            </w:r>
          </w:p>
        </w:tc>
        <w:tc>
          <w:tcPr>
            <w:tcW w:w="261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347EEE37" w14:textId="63D39EAD" w:rsidR="00042C85" w:rsidRPr="003A3BC1" w:rsidRDefault="00042C85" w:rsidP="006F6EAC">
            <w:pPr>
              <w:jc w:val="center"/>
            </w:pPr>
            <w:r w:rsidRPr="006F6EAC">
              <w:t>Ongoing / Eligibility-based</w:t>
            </w:r>
          </w:p>
        </w:tc>
        <w:tc>
          <w:tcPr>
            <w:tcW w:w="171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04858BF3" w14:textId="390686C1" w:rsidR="00042C85" w:rsidRPr="003A3BC1" w:rsidRDefault="00042C85" w:rsidP="006F6EAC">
            <w:pPr>
              <w:jc w:val="center"/>
            </w:pPr>
            <w:r w:rsidRPr="006F6EAC">
              <w:t>Laboratory affiliated with the center</w:t>
            </w:r>
          </w:p>
        </w:tc>
        <w:tc>
          <w:tcPr>
            <w:tcW w:w="180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1256A632" w14:textId="3F5B35C9" w:rsidR="00042C85" w:rsidRPr="003A3BC1" w:rsidRDefault="00042C85" w:rsidP="006F6EAC">
            <w:pPr>
              <w:jc w:val="center"/>
            </w:pPr>
            <w:r w:rsidRPr="006F6EAC">
              <w:t>Chronic disease patients</w:t>
            </w:r>
          </w:p>
        </w:tc>
      </w:tr>
      <w:tr w:rsidR="00042C85" w:rsidRPr="003A3BC1" w14:paraId="50A1B48C" w14:textId="77777777" w:rsidTr="003A3BC1">
        <w:trPr>
          <w:trHeight w:val="1625"/>
        </w:trPr>
        <w:tc>
          <w:tcPr>
            <w:tcW w:w="174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2D373BA2" w14:textId="79016DFB" w:rsidR="00042C85" w:rsidRPr="003A3BC1" w:rsidRDefault="00042C85" w:rsidP="006F6EAC">
            <w:pPr>
              <w:jc w:val="center"/>
            </w:pPr>
            <w:r w:rsidRPr="006F6EAC">
              <w:lastRenderedPageBreak/>
              <w:t>Internal Pharmacy Services</w:t>
            </w:r>
          </w:p>
        </w:tc>
        <w:tc>
          <w:tcPr>
            <w:tcW w:w="279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3AF78CEB" w14:textId="6113F4EA" w:rsidR="00042C85" w:rsidRPr="003A3BC1" w:rsidRDefault="00042C85" w:rsidP="006F6EAC">
            <w:pPr>
              <w:jc w:val="center"/>
            </w:pPr>
            <w:r w:rsidRPr="006F6EAC">
              <w:t>Continue medication dispensing and follow up on unavailable chronic medicines with available partners.</w:t>
            </w:r>
          </w:p>
        </w:tc>
        <w:tc>
          <w:tcPr>
            <w:tcW w:w="261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45E5EFC2" w14:textId="1D69CF98" w:rsidR="00042C85" w:rsidRPr="003A3BC1" w:rsidRDefault="00042C85" w:rsidP="006F6EAC">
            <w:pPr>
              <w:jc w:val="center"/>
            </w:pPr>
            <w:r w:rsidRPr="006F6EAC">
              <w:t>Daily / Immediate dispensing</w:t>
            </w:r>
          </w:p>
        </w:tc>
        <w:tc>
          <w:tcPr>
            <w:tcW w:w="171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212BBDE5" w14:textId="644F1D57" w:rsidR="00042C85" w:rsidRPr="003A3BC1" w:rsidRDefault="00042C85" w:rsidP="006F6EAC">
            <w:pPr>
              <w:jc w:val="center"/>
            </w:pPr>
            <w:r w:rsidRPr="006F6EAC">
              <w:t>AMC</w:t>
            </w:r>
          </w:p>
        </w:tc>
        <w:tc>
          <w:tcPr>
            <w:tcW w:w="180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2620BA8F" w14:textId="1B0888B5" w:rsidR="00042C85" w:rsidRPr="003A3BC1" w:rsidRDefault="00042C85" w:rsidP="006F6EAC">
            <w:pPr>
              <w:jc w:val="center"/>
            </w:pPr>
            <w:r w:rsidRPr="006F6EAC">
              <w:t>Patients receiving prescriptions</w:t>
            </w:r>
          </w:p>
        </w:tc>
      </w:tr>
      <w:tr w:rsidR="00042C85" w:rsidRPr="003A3BC1" w14:paraId="48CA6A24" w14:textId="77777777" w:rsidTr="003A3BC1">
        <w:trPr>
          <w:trHeight w:val="1625"/>
        </w:trPr>
        <w:tc>
          <w:tcPr>
            <w:tcW w:w="174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60906449" w14:textId="0898BF87" w:rsidR="00042C85" w:rsidRPr="003A3BC1" w:rsidRDefault="00042C85" w:rsidP="006F6EAC">
            <w:pPr>
              <w:jc w:val="center"/>
            </w:pPr>
            <w:r w:rsidRPr="006F6EAC">
              <w:t>Mobile PHC Services (PSU)</w:t>
            </w:r>
          </w:p>
        </w:tc>
        <w:tc>
          <w:tcPr>
            <w:tcW w:w="279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1E643284" w14:textId="5CE9892E" w:rsidR="00042C85" w:rsidRPr="003A3BC1" w:rsidRDefault="00042C85" w:rsidP="006F6EAC">
            <w:pPr>
              <w:jc w:val="center"/>
            </w:pPr>
            <w:r w:rsidRPr="006F6EAC">
              <w:t>Continue mobile/satellite PHC support for vulnerable populations and persons facing access barriers.</w:t>
            </w:r>
          </w:p>
        </w:tc>
        <w:tc>
          <w:tcPr>
            <w:tcW w:w="261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04F2BE4F" w14:textId="76596EFE" w:rsidR="00042C85" w:rsidRPr="003A3BC1" w:rsidRDefault="00042C85" w:rsidP="006F6EAC">
            <w:pPr>
              <w:jc w:val="center"/>
            </w:pPr>
            <w:r w:rsidRPr="006F6EAC">
              <w:t>Regular visits</w:t>
            </w:r>
          </w:p>
        </w:tc>
        <w:tc>
          <w:tcPr>
            <w:tcW w:w="171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6F7B93B2" w14:textId="136E1F9C" w:rsidR="00042C85" w:rsidRPr="003A3BC1" w:rsidRDefault="00042C85" w:rsidP="006F6EAC">
            <w:pPr>
              <w:jc w:val="center"/>
            </w:pPr>
            <w:r w:rsidRPr="006F6EAC">
              <w:t>Jabal Mohsen</w:t>
            </w:r>
          </w:p>
        </w:tc>
        <w:tc>
          <w:tcPr>
            <w:tcW w:w="180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72DDF9F0" w14:textId="7FE410F7" w:rsidR="00042C85" w:rsidRPr="003A3BC1" w:rsidRDefault="00042C85" w:rsidP="006F6EAC">
            <w:pPr>
              <w:jc w:val="center"/>
            </w:pPr>
            <w:r w:rsidRPr="006F6EAC">
              <w:t>Vulnerable groups</w:t>
            </w:r>
          </w:p>
        </w:tc>
      </w:tr>
      <w:tr w:rsidR="00042C85" w:rsidRPr="003A3BC1" w14:paraId="7547DBA5" w14:textId="77777777" w:rsidTr="003A3BC1">
        <w:trPr>
          <w:trHeight w:val="1625"/>
        </w:trPr>
        <w:tc>
          <w:tcPr>
            <w:tcW w:w="174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0BC93DDC" w14:textId="24B0E96D" w:rsidR="00042C85" w:rsidRPr="003A3BC1" w:rsidRDefault="00042C85" w:rsidP="006378B1">
            <w:pPr>
              <w:jc w:val="center"/>
            </w:pPr>
            <w:r w:rsidRPr="006378B1">
              <w:t>Referral and Patient Guidance</w:t>
            </w:r>
          </w:p>
        </w:tc>
        <w:tc>
          <w:tcPr>
            <w:tcW w:w="279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4256C5B6" w14:textId="09EE71C3" w:rsidR="00042C85" w:rsidRPr="003A3BC1" w:rsidRDefault="00042C85" w:rsidP="006378B1">
            <w:pPr>
              <w:jc w:val="center"/>
            </w:pPr>
            <w:r w:rsidRPr="006378B1">
              <w:t>Provide updated guidance on available services following the end of MSF support.</w:t>
            </w:r>
          </w:p>
        </w:tc>
        <w:tc>
          <w:tcPr>
            <w:tcW w:w="261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15EBB814" w14:textId="5794E35F" w:rsidR="00042C85" w:rsidRPr="003A3BC1" w:rsidRDefault="00042C85" w:rsidP="006378B1">
            <w:pPr>
              <w:jc w:val="center"/>
            </w:pPr>
            <w:r w:rsidRPr="006378B1">
              <w:t>Case-based / Ongoing</w:t>
            </w:r>
          </w:p>
        </w:tc>
        <w:tc>
          <w:tcPr>
            <w:tcW w:w="171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0F018C65" w14:textId="0802ACBB" w:rsidR="00042C85" w:rsidRPr="003A3BC1" w:rsidRDefault="00042C85" w:rsidP="006378B1">
            <w:pPr>
              <w:jc w:val="center"/>
            </w:pPr>
            <w:r w:rsidRPr="006378B1">
              <w:t>AMC</w:t>
            </w:r>
          </w:p>
        </w:tc>
        <w:tc>
          <w:tcPr>
            <w:tcW w:w="180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4973A9DA" w14:textId="1AA3D821" w:rsidR="00042C85" w:rsidRPr="003A3BC1" w:rsidRDefault="00042C85" w:rsidP="006378B1">
            <w:pPr>
              <w:jc w:val="center"/>
            </w:pPr>
            <w:r w:rsidRPr="006378B1">
              <w:t>Patients requiring continued support</w:t>
            </w:r>
          </w:p>
        </w:tc>
      </w:tr>
      <w:tr w:rsidR="00AC73C7" w:rsidRPr="003A3BC1" w14:paraId="212D2B11" w14:textId="77777777" w:rsidTr="003A3BC1">
        <w:trPr>
          <w:trHeight w:val="1625"/>
        </w:trPr>
        <w:tc>
          <w:tcPr>
            <w:tcW w:w="174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223686DD" w14:textId="1AA73931" w:rsidR="00AC73C7" w:rsidRDefault="00AC73C7" w:rsidP="00AC73C7">
            <w:pPr>
              <w:jc w:val="center"/>
            </w:pPr>
            <w:r w:rsidRPr="006378B1">
              <w:t>Preparation for July Support</w:t>
            </w:r>
          </w:p>
        </w:tc>
        <w:tc>
          <w:tcPr>
            <w:tcW w:w="279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20E08ED3" w14:textId="2F9802D9" w:rsidR="00AC73C7" w:rsidRPr="00AC73C7" w:rsidRDefault="00AC73C7" w:rsidP="00AC73C7">
            <w:pPr>
              <w:jc w:val="center"/>
            </w:pPr>
            <w:r w:rsidRPr="00AC73C7">
              <w:t>Prepare staff workflow and Phenics processes for the new Hashasha / Mini-LPSP support expected in July.</w:t>
            </w:r>
          </w:p>
        </w:tc>
        <w:tc>
          <w:tcPr>
            <w:tcW w:w="261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61D3F384" w14:textId="54438208" w:rsidR="00AC73C7" w:rsidRPr="00BC000E" w:rsidRDefault="00830440" w:rsidP="00AC73C7">
            <w:pPr>
              <w:jc w:val="center"/>
            </w:pPr>
            <w:r w:rsidRPr="00830440">
              <w:t>Preparation during June</w:t>
            </w:r>
          </w:p>
        </w:tc>
        <w:tc>
          <w:tcPr>
            <w:tcW w:w="171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1B31F801" w14:textId="0BD6B1F4" w:rsidR="00AC73C7" w:rsidRPr="00DC6E41" w:rsidRDefault="00AC73C7" w:rsidP="00AC73C7">
            <w:pPr>
              <w:jc w:val="center"/>
            </w:pPr>
            <w:r w:rsidRPr="006378B1">
              <w:t>AMC</w:t>
            </w:r>
          </w:p>
        </w:tc>
        <w:tc>
          <w:tcPr>
            <w:tcW w:w="180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67040B2A" w14:textId="5CE84ACF" w:rsidR="00AC73C7" w:rsidRPr="00981621" w:rsidRDefault="00981621" w:rsidP="00AC73C7">
            <w:pPr>
              <w:jc w:val="center"/>
            </w:pPr>
            <w:r w:rsidRPr="00981621">
              <w:t>Eligible Lebanese patients</w:t>
            </w:r>
          </w:p>
        </w:tc>
      </w:tr>
    </w:tbl>
    <w:p w14:paraId="5BEA01AD" w14:textId="77777777" w:rsidR="002843CA" w:rsidRDefault="002843CA"/>
    <w:p w14:paraId="3B4F3BD0" w14:textId="77777777" w:rsidR="002843CA" w:rsidRDefault="00CD6E72">
      <w:pPr>
        <w:pStyle w:val="Heading2"/>
      </w:pPr>
      <w:r>
        <w:t>Challenges</w:t>
      </w:r>
    </w:p>
    <w:p w14:paraId="55AC5C07" w14:textId="77777777" w:rsidR="00DC17FD" w:rsidRDefault="00CD6E72">
      <w:pPr>
        <w:rPr>
          <w:i/>
        </w:rPr>
      </w:pPr>
      <w:r>
        <w:rPr>
          <w:i/>
        </w:rPr>
        <w:t>Overview of any challenges encountered during the reporting period and how they were tackled</w:t>
      </w:r>
      <w:r w:rsidR="00DC17FD">
        <w:rPr>
          <w:i/>
        </w:rPr>
        <w:br/>
      </w:r>
      <w:r w:rsidR="00DC17FD">
        <w:rPr>
          <w:i/>
        </w:rPr>
        <w:br/>
      </w:r>
    </w:p>
    <w:tbl>
      <w:tblPr>
        <w:tblW w:w="107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100" w:type="dxa"/>
          <w:left w:w="100" w:type="dxa"/>
          <w:bottom w:w="100" w:type="dxa"/>
          <w:right w:w="100" w:type="dxa"/>
        </w:tblCellMar>
        <w:tblLook w:val="0400" w:firstRow="0" w:lastRow="0" w:firstColumn="0" w:lastColumn="0" w:noHBand="0" w:noVBand="1"/>
      </w:tblPr>
      <w:tblGrid>
        <w:gridCol w:w="4585"/>
        <w:gridCol w:w="6205"/>
      </w:tblGrid>
      <w:tr w:rsidR="00DC17FD" w:rsidRPr="00DC17FD" w14:paraId="1E420C6E" w14:textId="77777777" w:rsidTr="00DC17FD">
        <w:tc>
          <w:tcPr>
            <w:tcW w:w="4585" w:type="dxa"/>
            <w:tcBorders>
              <w:top w:val="single" w:sz="4" w:space="0" w:color="000000"/>
              <w:left w:val="single" w:sz="4" w:space="0" w:color="000000"/>
              <w:bottom w:val="single" w:sz="4" w:space="0" w:color="000000"/>
              <w:right w:val="single" w:sz="4" w:space="0" w:color="000000"/>
            </w:tcBorders>
            <w:shd w:val="clear" w:color="auto" w:fill="E7E6E6"/>
          </w:tcPr>
          <w:p w14:paraId="50536C02" w14:textId="77777777" w:rsidR="00DC17FD" w:rsidRPr="00DC17FD" w:rsidRDefault="00DC17FD" w:rsidP="00DC17FD">
            <w:pPr>
              <w:jc w:val="center"/>
            </w:pPr>
            <w:r w:rsidRPr="00DC17FD">
              <w:t>Challenge(s)</w:t>
            </w:r>
          </w:p>
        </w:tc>
        <w:tc>
          <w:tcPr>
            <w:tcW w:w="6205" w:type="dxa"/>
            <w:tcBorders>
              <w:top w:val="single" w:sz="4" w:space="0" w:color="000000"/>
              <w:left w:val="single" w:sz="4" w:space="0" w:color="000000"/>
              <w:bottom w:val="single" w:sz="4" w:space="0" w:color="000000"/>
              <w:right w:val="single" w:sz="4" w:space="0" w:color="000000"/>
            </w:tcBorders>
            <w:shd w:val="clear" w:color="auto" w:fill="E7E6E6"/>
          </w:tcPr>
          <w:p w14:paraId="2B635F0C" w14:textId="77777777" w:rsidR="00DC17FD" w:rsidRPr="00DC17FD" w:rsidRDefault="00DC17FD" w:rsidP="00DC17FD">
            <w:pPr>
              <w:jc w:val="center"/>
            </w:pPr>
            <w:r w:rsidRPr="00DC17FD">
              <w:t>Response(s)</w:t>
            </w:r>
          </w:p>
        </w:tc>
      </w:tr>
      <w:tr w:rsidR="009C680C" w:rsidRPr="00DC17FD" w14:paraId="043893BD" w14:textId="77777777" w:rsidTr="00A43880">
        <w:tc>
          <w:tcPr>
            <w:tcW w:w="4585"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6E38CDC" w14:textId="2FBD227C" w:rsidR="009C680C" w:rsidRPr="009C680C" w:rsidRDefault="009C680C" w:rsidP="009C680C">
            <w:pPr>
              <w:jc w:val="center"/>
            </w:pPr>
            <w:r w:rsidRPr="009C680C">
              <w:t>High cost of consultations, laboratory tests, treatment, and transportation for vulnerable patients</w:t>
            </w:r>
          </w:p>
        </w:tc>
        <w:tc>
          <w:tcPr>
            <w:tcW w:w="6205"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429FB6E7" w14:textId="05E0BA47" w:rsidR="009C680C" w:rsidRPr="009C680C" w:rsidRDefault="009C680C" w:rsidP="009C680C">
            <w:pPr>
              <w:jc w:val="center"/>
            </w:pPr>
            <w:r w:rsidRPr="009C680C">
              <w:t>Maintained subsidized services and coordinated with available partners to reduce out-of-pocket costs where possible.</w:t>
            </w:r>
          </w:p>
        </w:tc>
      </w:tr>
      <w:tr w:rsidR="009C680C" w:rsidRPr="00DC17FD" w14:paraId="4E2142EA" w14:textId="77777777" w:rsidTr="00A43880">
        <w:tc>
          <w:tcPr>
            <w:tcW w:w="4585"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98868A5" w14:textId="1956F75C" w:rsidR="009C680C" w:rsidRPr="009C680C" w:rsidRDefault="009C680C" w:rsidP="009C680C">
            <w:pPr>
              <w:jc w:val="center"/>
            </w:pPr>
            <w:r w:rsidRPr="009C680C">
              <w:t>High demand for healthcare services among vulnerable communities</w:t>
            </w:r>
          </w:p>
        </w:tc>
        <w:tc>
          <w:tcPr>
            <w:tcW w:w="6205"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51233125" w14:textId="385C356D" w:rsidR="009C680C" w:rsidRPr="009C680C" w:rsidRDefault="009C680C" w:rsidP="009C680C">
            <w:pPr>
              <w:jc w:val="center"/>
            </w:pPr>
            <w:r w:rsidRPr="009C680C">
              <w:t>Continued center-based and available PSU services, with prioritization of urgent needs and regular service monitoring.</w:t>
            </w:r>
          </w:p>
        </w:tc>
      </w:tr>
      <w:tr w:rsidR="009C680C" w:rsidRPr="00DC17FD" w14:paraId="79A10418" w14:textId="77777777" w:rsidTr="00A43880">
        <w:tc>
          <w:tcPr>
            <w:tcW w:w="4585"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D10E91E" w14:textId="447A687F" w:rsidR="009C680C" w:rsidRPr="009C680C" w:rsidRDefault="009C680C" w:rsidP="009C680C">
            <w:pPr>
              <w:jc w:val="center"/>
            </w:pPr>
            <w:r w:rsidRPr="009C680C">
              <w:t>End of MSF support at the end of June</w:t>
            </w:r>
          </w:p>
        </w:tc>
        <w:tc>
          <w:tcPr>
            <w:tcW w:w="6205"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CCC0322" w14:textId="27079812" w:rsidR="009C680C" w:rsidRPr="009C680C" w:rsidRDefault="009C680C" w:rsidP="009C680C">
            <w:pPr>
              <w:jc w:val="center"/>
            </w:pPr>
            <w:r w:rsidRPr="009C680C">
              <w:t>Maintained MSF-supported services through the final month, informed patients, and coordinated alternative pathways for continuity of care.</w:t>
            </w:r>
          </w:p>
        </w:tc>
      </w:tr>
      <w:tr w:rsidR="009C680C" w:rsidRPr="00DC17FD" w14:paraId="04A42384" w14:textId="77777777" w:rsidTr="00A43880">
        <w:tc>
          <w:tcPr>
            <w:tcW w:w="4585"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126F745" w14:textId="6961AC66" w:rsidR="009C680C" w:rsidRPr="009C680C" w:rsidRDefault="009C680C" w:rsidP="009C680C">
            <w:pPr>
              <w:jc w:val="center"/>
            </w:pPr>
            <w:r w:rsidRPr="009C680C">
              <w:lastRenderedPageBreak/>
              <w:t>Growing need for chronic disease and medication follow-up</w:t>
            </w:r>
          </w:p>
        </w:tc>
        <w:tc>
          <w:tcPr>
            <w:tcW w:w="6205"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EE8D0EE" w14:textId="631FB84B" w:rsidR="009C680C" w:rsidRPr="009C680C" w:rsidRDefault="009C680C" w:rsidP="009C680C">
            <w:pPr>
              <w:jc w:val="center"/>
            </w:pPr>
            <w:r w:rsidRPr="009C680C">
              <w:t>Continued medication dispensing and coordination with MoPH, YMCA, MSF during its final month, and other available sources.</w:t>
            </w:r>
          </w:p>
        </w:tc>
      </w:tr>
      <w:tr w:rsidR="009C680C" w:rsidRPr="00DC17FD" w14:paraId="12386245" w14:textId="77777777" w:rsidTr="00A43880">
        <w:tc>
          <w:tcPr>
            <w:tcW w:w="4585"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7F32565" w14:textId="52EDFD05" w:rsidR="009C680C" w:rsidRPr="009C680C" w:rsidRDefault="009C680C" w:rsidP="009C680C">
            <w:pPr>
              <w:jc w:val="center"/>
            </w:pPr>
            <w:r w:rsidRPr="009C680C">
              <w:t>Limited access to laboratory services for chronic patients</w:t>
            </w:r>
          </w:p>
        </w:tc>
        <w:tc>
          <w:tcPr>
            <w:tcW w:w="6205"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5EE4E23" w14:textId="0F10989D" w:rsidR="009C680C" w:rsidRPr="009C680C" w:rsidRDefault="009C680C" w:rsidP="009C680C">
            <w:pPr>
              <w:jc w:val="center"/>
            </w:pPr>
            <w:r w:rsidRPr="009C680C">
              <w:t>Continued use of YMCA/MoPH registration pathways for eligible laboratory support.</w:t>
            </w:r>
          </w:p>
        </w:tc>
      </w:tr>
      <w:tr w:rsidR="009C680C" w:rsidRPr="00DC17FD" w14:paraId="71CCF31E" w14:textId="77777777" w:rsidTr="00A43880">
        <w:tc>
          <w:tcPr>
            <w:tcW w:w="4585"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81EA478" w14:textId="0ABB72D0" w:rsidR="009C680C" w:rsidRPr="009C680C" w:rsidRDefault="009C680C" w:rsidP="009C680C">
            <w:pPr>
              <w:jc w:val="center"/>
            </w:pPr>
            <w:r w:rsidRPr="009C680C">
              <w:t>Reduced external referral options after partner service changes</w:t>
            </w:r>
          </w:p>
        </w:tc>
        <w:tc>
          <w:tcPr>
            <w:tcW w:w="6205"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A985A4C" w14:textId="54305CBE" w:rsidR="009C680C" w:rsidRPr="009C680C" w:rsidRDefault="009C680C" w:rsidP="009C680C">
            <w:pPr>
              <w:jc w:val="center"/>
            </w:pPr>
            <w:r w:rsidRPr="009C680C">
              <w:t>Prioritized internal guidance and follow-up with available partners for feasible alternatives.</w:t>
            </w:r>
          </w:p>
        </w:tc>
      </w:tr>
      <w:tr w:rsidR="009C680C" w:rsidRPr="00DC17FD" w14:paraId="0FF51F4F" w14:textId="77777777" w:rsidTr="00A43880">
        <w:tc>
          <w:tcPr>
            <w:tcW w:w="4585"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20A9BD0" w14:textId="5E62D44A" w:rsidR="009C680C" w:rsidRPr="009C680C" w:rsidRDefault="009C680C" w:rsidP="009C680C">
            <w:pPr>
              <w:jc w:val="center"/>
            </w:pPr>
            <w:r w:rsidRPr="009C680C">
              <w:t>Need to prepare for a new support mechanism after MSF closure</w:t>
            </w:r>
          </w:p>
        </w:tc>
        <w:tc>
          <w:tcPr>
            <w:tcW w:w="6205"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C08280B" w14:textId="107710F9" w:rsidR="009C680C" w:rsidRPr="009C680C" w:rsidRDefault="009C680C" w:rsidP="009C680C">
            <w:pPr>
              <w:jc w:val="center"/>
            </w:pPr>
            <w:r w:rsidRPr="009C680C">
              <w:t>Prepared staff and service workflows for the Hashasha / Mini-LPSP project planned to start in July.</w:t>
            </w:r>
          </w:p>
        </w:tc>
      </w:tr>
      <w:tr w:rsidR="009C680C" w:rsidRPr="00DC17FD" w14:paraId="48494D32" w14:textId="77777777" w:rsidTr="00A43880">
        <w:tc>
          <w:tcPr>
            <w:tcW w:w="4585"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FEAB3B5" w14:textId="42D2DE20" w:rsidR="009C680C" w:rsidRPr="009C680C" w:rsidRDefault="009C680C" w:rsidP="009C680C">
            <w:pPr>
              <w:jc w:val="center"/>
            </w:pPr>
            <w:r w:rsidRPr="009C680C">
              <w:t>Operational constraints, including electricity interruptions and medicine gaps</w:t>
            </w:r>
          </w:p>
        </w:tc>
        <w:tc>
          <w:tcPr>
            <w:tcW w:w="6205"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9FCF4D5" w14:textId="2EA037E9" w:rsidR="009C680C" w:rsidRPr="009C680C" w:rsidRDefault="009C680C" w:rsidP="009C680C">
            <w:pPr>
              <w:jc w:val="center"/>
            </w:pPr>
            <w:r w:rsidRPr="009C680C">
              <w:t>Used available contingency energy support and coordinated with partners to address medicine availability when possible.</w:t>
            </w:r>
          </w:p>
        </w:tc>
      </w:tr>
    </w:tbl>
    <w:p w14:paraId="5DF5C103" w14:textId="77777777" w:rsidR="002843CA" w:rsidRPr="005E64F5" w:rsidRDefault="002843CA">
      <w:pPr>
        <w:rPr>
          <w:sz w:val="2"/>
          <w:szCs w:val="2"/>
        </w:rPr>
      </w:pPr>
    </w:p>
    <w:p w14:paraId="13F90876" w14:textId="77777777" w:rsidR="009B5775" w:rsidRDefault="009B5775" w:rsidP="005E64F5">
      <w:pPr>
        <w:pStyle w:val="Heading2"/>
      </w:pPr>
    </w:p>
    <w:p w14:paraId="1E0EF201" w14:textId="37780F8B" w:rsidR="002843CA" w:rsidRPr="005E64F5" w:rsidRDefault="00CD6E72" w:rsidP="005E64F5">
      <w:pPr>
        <w:pStyle w:val="Heading2"/>
      </w:pPr>
      <w:r>
        <w:t>Monitoring</w:t>
      </w:r>
    </w:p>
    <w:tbl>
      <w:tblPr>
        <w:tblW w:w="108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100" w:type="dxa"/>
          <w:left w:w="100" w:type="dxa"/>
          <w:bottom w:w="100" w:type="dxa"/>
          <w:right w:w="100" w:type="dxa"/>
        </w:tblCellMar>
        <w:tblLook w:val="0400" w:firstRow="0" w:lastRow="0" w:firstColumn="0" w:lastColumn="0" w:noHBand="0" w:noVBand="1"/>
      </w:tblPr>
      <w:tblGrid>
        <w:gridCol w:w="5035"/>
        <w:gridCol w:w="2250"/>
        <w:gridCol w:w="1620"/>
        <w:gridCol w:w="1980"/>
      </w:tblGrid>
      <w:tr w:rsidR="002843CA" w14:paraId="0A7A9290" w14:textId="77777777" w:rsidTr="00DD61D5">
        <w:tc>
          <w:tcPr>
            <w:tcW w:w="5035" w:type="dxa"/>
            <w:shd w:val="clear" w:color="auto" w:fill="E7E6E6"/>
            <w:vAlign w:val="center"/>
          </w:tcPr>
          <w:p w14:paraId="3E66D3F3" w14:textId="77777777" w:rsidR="002843CA" w:rsidRDefault="00CD6E72">
            <w:pPr>
              <w:jc w:val="center"/>
            </w:pPr>
            <w:r>
              <w:t>Indicators</w:t>
            </w:r>
          </w:p>
        </w:tc>
        <w:tc>
          <w:tcPr>
            <w:tcW w:w="2250" w:type="dxa"/>
            <w:shd w:val="clear" w:color="auto" w:fill="E7E6E6"/>
            <w:vAlign w:val="center"/>
          </w:tcPr>
          <w:p w14:paraId="09DDE4FA" w14:textId="77777777" w:rsidR="002843CA" w:rsidRDefault="00CD6E72">
            <w:pPr>
              <w:jc w:val="center"/>
            </w:pPr>
            <w:r>
              <w:t>Number achieved during the reporting period</w:t>
            </w:r>
          </w:p>
        </w:tc>
        <w:tc>
          <w:tcPr>
            <w:tcW w:w="1620" w:type="dxa"/>
            <w:shd w:val="clear" w:color="auto" w:fill="E7E6E6"/>
            <w:vAlign w:val="center"/>
          </w:tcPr>
          <w:p w14:paraId="20A5FA2D" w14:textId="77777777" w:rsidR="002843CA" w:rsidRDefault="00CD6E72">
            <w:pPr>
              <w:jc w:val="center"/>
            </w:pPr>
            <w:r>
              <w:t>Overall target</w:t>
            </w:r>
          </w:p>
        </w:tc>
        <w:tc>
          <w:tcPr>
            <w:tcW w:w="1980" w:type="dxa"/>
            <w:shd w:val="clear" w:color="auto" w:fill="E7E6E6"/>
            <w:vAlign w:val="center"/>
          </w:tcPr>
          <w:p w14:paraId="1A7B6266" w14:textId="77777777" w:rsidR="002843CA" w:rsidRDefault="00CD6E72">
            <w:pPr>
              <w:jc w:val="center"/>
            </w:pPr>
            <w:r>
              <w:t>Progress towards target</w:t>
            </w:r>
          </w:p>
        </w:tc>
      </w:tr>
      <w:tr w:rsidR="002843CA" w14:paraId="6576736A" w14:textId="77777777" w:rsidTr="00DD61D5">
        <w:trPr>
          <w:trHeight w:val="385"/>
        </w:trPr>
        <w:tc>
          <w:tcPr>
            <w:tcW w:w="5035" w:type="dxa"/>
          </w:tcPr>
          <w:p w14:paraId="341B3973" w14:textId="6ADD6046" w:rsidR="002843CA" w:rsidRPr="00A31AD9" w:rsidRDefault="00CD6E72" w:rsidP="00A31AD9">
            <w:pPr>
              <w:rPr>
                <w:rFonts w:cstheme="minorBidi"/>
                <w:lang w:bidi="ar-LB"/>
              </w:rPr>
            </w:pPr>
            <w:r w:rsidRPr="00D332CE">
              <w:rPr>
                <w:b/>
                <w:bCs/>
                <w:sz w:val="26"/>
                <w:szCs w:val="26"/>
              </w:rPr>
              <w:t>Health activity 1:</w:t>
            </w:r>
            <w:r w:rsidRPr="00D332CE">
              <w:t xml:space="preserve"> </w:t>
            </w:r>
            <w:r w:rsidR="00D332CE">
              <w:t>Services</w:t>
            </w:r>
          </w:p>
        </w:tc>
        <w:tc>
          <w:tcPr>
            <w:tcW w:w="2250" w:type="dxa"/>
          </w:tcPr>
          <w:p w14:paraId="1377D183" w14:textId="688315BB" w:rsidR="002843CA" w:rsidRDefault="00EC78D1" w:rsidP="00072048">
            <w:r>
              <w:t>3,468</w:t>
            </w:r>
          </w:p>
        </w:tc>
        <w:tc>
          <w:tcPr>
            <w:tcW w:w="1620" w:type="dxa"/>
          </w:tcPr>
          <w:p w14:paraId="76AD552B" w14:textId="7845982A" w:rsidR="002843CA" w:rsidRDefault="00D332CE">
            <w:r>
              <w:t>6,000</w:t>
            </w:r>
          </w:p>
        </w:tc>
        <w:tc>
          <w:tcPr>
            <w:tcW w:w="1980" w:type="dxa"/>
          </w:tcPr>
          <w:p w14:paraId="72A956DE" w14:textId="19DB0C03" w:rsidR="002843CA" w:rsidRDefault="00E877D4" w:rsidP="00072048">
            <w:r>
              <w:t>57.80 %</w:t>
            </w:r>
          </w:p>
        </w:tc>
      </w:tr>
      <w:tr w:rsidR="002843CA" w14:paraId="4FAC929F" w14:textId="77777777" w:rsidTr="007E6C20">
        <w:trPr>
          <w:trHeight w:val="1033"/>
        </w:trPr>
        <w:tc>
          <w:tcPr>
            <w:tcW w:w="5035" w:type="dxa"/>
          </w:tcPr>
          <w:p w14:paraId="247BE66F" w14:textId="3190B0D1" w:rsidR="002843CA" w:rsidRDefault="00CD6E72" w:rsidP="00DD61D5">
            <w:r w:rsidRPr="00D332CE">
              <w:rPr>
                <w:b/>
                <w:bCs/>
                <w:sz w:val="26"/>
                <w:szCs w:val="26"/>
              </w:rPr>
              <w:t>Health activity 2:</w:t>
            </w:r>
            <w:r>
              <w:t xml:space="preserve"> </w:t>
            </w:r>
            <w:r w:rsidR="00D332CE" w:rsidRPr="00D332CE">
              <w:t>Individuals (with duplication) who benefited from services, disaggregation between male and female.</w:t>
            </w:r>
          </w:p>
        </w:tc>
        <w:tc>
          <w:tcPr>
            <w:tcW w:w="2250" w:type="dxa"/>
          </w:tcPr>
          <w:p w14:paraId="1E6FDF6A" w14:textId="7CBC1499" w:rsidR="00015703" w:rsidRDefault="00D21277" w:rsidP="00A31AD9">
            <w:r>
              <w:t>Female: 2,027</w:t>
            </w:r>
            <w:r>
              <w:br/>
              <w:t>Male: 1,441</w:t>
            </w:r>
          </w:p>
        </w:tc>
        <w:tc>
          <w:tcPr>
            <w:tcW w:w="1620" w:type="dxa"/>
          </w:tcPr>
          <w:p w14:paraId="123A0111" w14:textId="1D788909" w:rsidR="00015703" w:rsidRDefault="00D21277" w:rsidP="00A31AD9">
            <w:r>
              <w:t>Female: 3,000</w:t>
            </w:r>
            <w:r>
              <w:br/>
              <w:t>Male: 3,000</w:t>
            </w:r>
          </w:p>
        </w:tc>
        <w:tc>
          <w:tcPr>
            <w:tcW w:w="1980" w:type="dxa"/>
          </w:tcPr>
          <w:p w14:paraId="3CDE8C86" w14:textId="7F26F5F3" w:rsidR="00C0643D" w:rsidRDefault="00D21277" w:rsidP="00A31AD9">
            <w:r>
              <w:t>Female: 67.57%</w:t>
            </w:r>
            <w:r>
              <w:br/>
              <w:t>Male: 48.03%</w:t>
            </w:r>
          </w:p>
        </w:tc>
      </w:tr>
      <w:tr w:rsidR="002843CA" w14:paraId="1D39B47F" w14:textId="77777777" w:rsidTr="00A31AD9">
        <w:trPr>
          <w:trHeight w:val="898"/>
        </w:trPr>
        <w:tc>
          <w:tcPr>
            <w:tcW w:w="5035" w:type="dxa"/>
          </w:tcPr>
          <w:p w14:paraId="5013C218" w14:textId="05711566" w:rsidR="002843CA" w:rsidRPr="00A31AD9" w:rsidRDefault="00CD6E72" w:rsidP="00A31AD9">
            <w:pPr>
              <w:rPr>
                <w:b/>
                <w:bCs/>
                <w:sz w:val="26"/>
                <w:szCs w:val="26"/>
              </w:rPr>
            </w:pPr>
            <w:r w:rsidRPr="00D332CE">
              <w:rPr>
                <w:b/>
                <w:bCs/>
                <w:sz w:val="26"/>
                <w:szCs w:val="26"/>
              </w:rPr>
              <w:t xml:space="preserve">Health activity 3: </w:t>
            </w:r>
            <w:r w:rsidR="00D21277" w:rsidRPr="00D21277">
              <w:t xml:space="preserve">Individuals who benefited from medication </w:t>
            </w:r>
            <w:r w:rsidR="00DB42D8" w:rsidRPr="00D21277">
              <w:t>chronic.</w:t>
            </w:r>
          </w:p>
        </w:tc>
        <w:tc>
          <w:tcPr>
            <w:tcW w:w="2250" w:type="dxa"/>
          </w:tcPr>
          <w:p w14:paraId="210A04FD" w14:textId="783099E1" w:rsidR="002843CA" w:rsidRDefault="00AC4861">
            <w:r>
              <w:t>Not separately verified for June</w:t>
            </w:r>
          </w:p>
        </w:tc>
        <w:tc>
          <w:tcPr>
            <w:tcW w:w="1620" w:type="dxa"/>
          </w:tcPr>
          <w:p w14:paraId="186E1177" w14:textId="2712848A" w:rsidR="002843CA" w:rsidRDefault="00A459BF" w:rsidP="00072048">
            <w:r>
              <w:t>1,019</w:t>
            </w:r>
          </w:p>
        </w:tc>
        <w:tc>
          <w:tcPr>
            <w:tcW w:w="1980" w:type="dxa"/>
          </w:tcPr>
          <w:p w14:paraId="51A0B482" w14:textId="48FE8FAB" w:rsidR="002843CA" w:rsidRDefault="00E710E2" w:rsidP="00072048">
            <w:r>
              <w:t>N/A</w:t>
            </w:r>
          </w:p>
        </w:tc>
      </w:tr>
      <w:tr w:rsidR="00B32C43" w14:paraId="778CDA6E" w14:textId="77777777" w:rsidTr="00A31AD9">
        <w:trPr>
          <w:trHeight w:val="898"/>
        </w:trPr>
        <w:tc>
          <w:tcPr>
            <w:tcW w:w="5035" w:type="dxa"/>
          </w:tcPr>
          <w:p w14:paraId="23C58ECD" w14:textId="536C3858" w:rsidR="00B32C43" w:rsidRPr="00D332CE" w:rsidRDefault="00B32C43" w:rsidP="00B32C43">
            <w:pPr>
              <w:rPr>
                <w:b/>
                <w:bCs/>
                <w:sz w:val="26"/>
                <w:szCs w:val="26"/>
              </w:rPr>
            </w:pPr>
            <w:r w:rsidRPr="00D332CE">
              <w:rPr>
                <w:b/>
                <w:bCs/>
                <w:sz w:val="26"/>
                <w:szCs w:val="26"/>
              </w:rPr>
              <w:t>Health activity 4: Program transition – MSF-supported package</w:t>
            </w:r>
          </w:p>
        </w:tc>
        <w:tc>
          <w:tcPr>
            <w:tcW w:w="2250" w:type="dxa"/>
          </w:tcPr>
          <w:p w14:paraId="52A7937B" w14:textId="4DC0ABC8" w:rsidR="00B32C43" w:rsidRDefault="004F61A5" w:rsidP="00B32C43">
            <w:pPr>
              <w:spacing w:after="0"/>
            </w:pPr>
            <w:r>
              <w:t>MSF support continued through June and ended at month-end</w:t>
            </w:r>
          </w:p>
        </w:tc>
        <w:tc>
          <w:tcPr>
            <w:tcW w:w="1620" w:type="dxa"/>
          </w:tcPr>
          <w:p w14:paraId="504C9C1C" w14:textId="478B5A20" w:rsidR="00B32C43" w:rsidRDefault="00781387" w:rsidP="00B32C43">
            <w:r w:rsidRPr="00781387">
              <w:t>Transition / close-out</w:t>
            </w:r>
          </w:p>
        </w:tc>
        <w:tc>
          <w:tcPr>
            <w:tcW w:w="1980" w:type="dxa"/>
          </w:tcPr>
          <w:p w14:paraId="260DB95D" w14:textId="106F4A6C" w:rsidR="00B32C43" w:rsidRDefault="00B32C43" w:rsidP="00B32C43">
            <w:r w:rsidRPr="00B32C43">
              <w:t>Completed at end of June</w:t>
            </w:r>
          </w:p>
        </w:tc>
      </w:tr>
    </w:tbl>
    <w:p w14:paraId="0B29942E" w14:textId="730B9A8A" w:rsidR="000A2B62" w:rsidRDefault="00E80813" w:rsidP="00B57309">
      <w:r>
        <w:rPr>
          <w:noProof/>
        </w:rPr>
        <w:lastRenderedPageBreak/>
        <w:br/>
      </w:r>
      <w:r w:rsidR="00CC627B" w:rsidRPr="00CC627B">
        <w:rPr>
          <w:noProof/>
        </w:rPr>
        <w:drawing>
          <wp:inline distT="0" distB="0" distL="0" distR="0" wp14:anchorId="4894F09D" wp14:editId="58E88E08">
            <wp:extent cx="6677025" cy="4377386"/>
            <wp:effectExtent l="0" t="0" r="0" b="4445"/>
            <wp:docPr id="3486015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0">
                      <a:extLst>
                        <a:ext uri="{28A0092B-C50C-407E-A947-70E740481C1C}">
                          <a14:useLocalDpi xmlns:a14="http://schemas.microsoft.com/office/drawing/2010/main" val="0"/>
                        </a:ext>
                      </a:extLst>
                    </a:blip>
                    <a:srcRect l="2500" t="31480" r="51528" b="11595"/>
                    <a:stretch>
                      <a:fillRect/>
                    </a:stretch>
                  </pic:blipFill>
                  <pic:spPr bwMode="auto">
                    <a:xfrm>
                      <a:off x="0" y="0"/>
                      <a:ext cx="6704312" cy="4395275"/>
                    </a:xfrm>
                    <a:prstGeom prst="rect">
                      <a:avLst/>
                    </a:prstGeom>
                    <a:noFill/>
                    <a:ln>
                      <a:noFill/>
                    </a:ln>
                    <a:extLst>
                      <a:ext uri="{53640926-AAD7-44D8-BBD7-CCE9431645EC}">
                        <a14:shadowObscured xmlns:a14="http://schemas.microsoft.com/office/drawing/2010/main"/>
                      </a:ext>
                    </a:extLst>
                  </pic:spPr>
                </pic:pic>
              </a:graphicData>
            </a:graphic>
          </wp:inline>
        </w:drawing>
      </w:r>
    </w:p>
    <w:p w14:paraId="70BE1DAB" w14:textId="77777777" w:rsidR="000A2B62" w:rsidRDefault="000A2B62"/>
    <w:tbl>
      <w:tblPr>
        <w:tblW w:w="107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100" w:type="dxa"/>
          <w:left w:w="100" w:type="dxa"/>
          <w:bottom w:w="100" w:type="dxa"/>
          <w:right w:w="100" w:type="dxa"/>
        </w:tblCellMar>
        <w:tblLook w:val="0400" w:firstRow="0" w:lastRow="0" w:firstColumn="0" w:lastColumn="0" w:noHBand="0" w:noVBand="1"/>
      </w:tblPr>
      <w:tblGrid>
        <w:gridCol w:w="3145"/>
        <w:gridCol w:w="810"/>
        <w:gridCol w:w="2250"/>
        <w:gridCol w:w="4590"/>
      </w:tblGrid>
      <w:tr w:rsidR="002843CA" w14:paraId="4AB7217C" w14:textId="77777777" w:rsidTr="00A31AD9">
        <w:tc>
          <w:tcPr>
            <w:tcW w:w="3145" w:type="dxa"/>
            <w:shd w:val="clear" w:color="auto" w:fill="D9E2F3"/>
          </w:tcPr>
          <w:p w14:paraId="07B02CE5" w14:textId="77777777" w:rsidR="002843CA" w:rsidRDefault="00CD6E72">
            <w:r>
              <w:t>Monitoring tools used (satisfaction surveys, discussions with beneficiaries…)</w:t>
            </w:r>
          </w:p>
        </w:tc>
        <w:tc>
          <w:tcPr>
            <w:tcW w:w="810" w:type="dxa"/>
            <w:shd w:val="clear" w:color="auto" w:fill="D9E2F3"/>
          </w:tcPr>
          <w:p w14:paraId="0CB70491" w14:textId="77777777" w:rsidR="002843CA" w:rsidRDefault="00CD6E72">
            <w:r>
              <w:t>Sample size</w:t>
            </w:r>
          </w:p>
        </w:tc>
        <w:tc>
          <w:tcPr>
            <w:tcW w:w="2250" w:type="dxa"/>
            <w:shd w:val="clear" w:color="auto" w:fill="D9E2F3"/>
          </w:tcPr>
          <w:p w14:paraId="6436EB11" w14:textId="77777777" w:rsidR="002843CA" w:rsidRDefault="00CD6E72">
            <w:r>
              <w:t>Primary findings from these tools</w:t>
            </w:r>
          </w:p>
        </w:tc>
        <w:tc>
          <w:tcPr>
            <w:tcW w:w="4590" w:type="dxa"/>
            <w:shd w:val="clear" w:color="auto" w:fill="D9E2F3"/>
          </w:tcPr>
          <w:p w14:paraId="29E4D474" w14:textId="77777777" w:rsidR="002843CA" w:rsidRDefault="00CD6E72">
            <w:r>
              <w:t>Actions taken/to be taken in response to these findings</w:t>
            </w:r>
          </w:p>
        </w:tc>
      </w:tr>
      <w:tr w:rsidR="001A77E7" w14:paraId="1590F93D" w14:textId="77777777" w:rsidTr="00A31AD9">
        <w:trPr>
          <w:trHeight w:val="475"/>
        </w:trPr>
        <w:tc>
          <w:tcPr>
            <w:tcW w:w="3145" w:type="dxa"/>
          </w:tcPr>
          <w:p w14:paraId="6E8C667D" w14:textId="0EE65913" w:rsidR="001A77E7" w:rsidRDefault="001A77E7" w:rsidP="001A77E7">
            <w:r w:rsidRPr="001A77E7">
              <w:t>Complaints Box</w:t>
            </w:r>
          </w:p>
        </w:tc>
        <w:tc>
          <w:tcPr>
            <w:tcW w:w="810" w:type="dxa"/>
          </w:tcPr>
          <w:p w14:paraId="1B44BE73" w14:textId="6B085627" w:rsidR="001A77E7" w:rsidRDefault="001A77E7" w:rsidP="001A77E7">
            <w:pPr>
              <w:rPr>
                <w:rtl/>
              </w:rPr>
            </w:pPr>
            <w:r w:rsidRPr="001A77E7">
              <w:t>Not reported</w:t>
            </w:r>
          </w:p>
        </w:tc>
        <w:tc>
          <w:tcPr>
            <w:tcW w:w="2250" w:type="dxa"/>
          </w:tcPr>
          <w:p w14:paraId="374B1121" w14:textId="17C52F92" w:rsidR="001A77E7" w:rsidRPr="001A77E7" w:rsidRDefault="001A77E7" w:rsidP="001A77E7">
            <w:r w:rsidRPr="001A77E7">
              <w:t>No separate verified June count was provided for this report.</w:t>
            </w:r>
          </w:p>
        </w:tc>
        <w:tc>
          <w:tcPr>
            <w:tcW w:w="4590" w:type="dxa"/>
          </w:tcPr>
          <w:p w14:paraId="55DCE02D" w14:textId="6763E22A" w:rsidR="001A77E7" w:rsidRDefault="001A77E7" w:rsidP="001A77E7">
            <w:r w:rsidRPr="001A77E7">
              <w:t>Continue regular checking and documentation of any complaint received.</w:t>
            </w:r>
          </w:p>
        </w:tc>
      </w:tr>
      <w:tr w:rsidR="001A77E7" w14:paraId="0F55EBE6" w14:textId="77777777" w:rsidTr="00A31AD9">
        <w:tc>
          <w:tcPr>
            <w:tcW w:w="3145" w:type="dxa"/>
          </w:tcPr>
          <w:p w14:paraId="75B6594C" w14:textId="573BAC08" w:rsidR="001A77E7" w:rsidRDefault="001A77E7" w:rsidP="001A77E7">
            <w:r w:rsidRPr="001A77E7">
              <w:t>Hot line</w:t>
            </w:r>
          </w:p>
        </w:tc>
        <w:tc>
          <w:tcPr>
            <w:tcW w:w="810" w:type="dxa"/>
          </w:tcPr>
          <w:p w14:paraId="6F8CA507" w14:textId="68A7AD9A" w:rsidR="001A77E7" w:rsidRDefault="001A77E7" w:rsidP="001A77E7">
            <w:r w:rsidRPr="001A77E7">
              <w:t>Not reported</w:t>
            </w:r>
          </w:p>
        </w:tc>
        <w:tc>
          <w:tcPr>
            <w:tcW w:w="2250" w:type="dxa"/>
          </w:tcPr>
          <w:p w14:paraId="01A3F775" w14:textId="5AEA6375" w:rsidR="001A77E7" w:rsidRDefault="001A77E7" w:rsidP="001A77E7">
            <w:r w:rsidRPr="001A77E7">
              <w:t>No separate verified June hotline count was provided for this report.</w:t>
            </w:r>
          </w:p>
        </w:tc>
        <w:tc>
          <w:tcPr>
            <w:tcW w:w="4590" w:type="dxa"/>
          </w:tcPr>
          <w:p w14:paraId="0A58E500" w14:textId="4657A265" w:rsidR="001A77E7" w:rsidRDefault="001A77E7" w:rsidP="001A77E7">
            <w:r w:rsidRPr="001A77E7">
              <w:t>Maintain hotline availability and document feedback received.</w:t>
            </w:r>
          </w:p>
        </w:tc>
      </w:tr>
      <w:tr w:rsidR="001A77E7" w14:paraId="18B649C7" w14:textId="77777777" w:rsidTr="00A31AD9">
        <w:trPr>
          <w:trHeight w:val="1933"/>
        </w:trPr>
        <w:tc>
          <w:tcPr>
            <w:tcW w:w="3145" w:type="dxa"/>
          </w:tcPr>
          <w:p w14:paraId="6E478CB0" w14:textId="64C60BFA" w:rsidR="001A77E7" w:rsidRDefault="001A77E7" w:rsidP="001A77E7">
            <w:r w:rsidRPr="001A77E7">
              <w:lastRenderedPageBreak/>
              <w:t>Monthly operational review</w:t>
            </w:r>
          </w:p>
        </w:tc>
        <w:tc>
          <w:tcPr>
            <w:tcW w:w="810" w:type="dxa"/>
          </w:tcPr>
          <w:p w14:paraId="49ED31FD" w14:textId="00D38216" w:rsidR="001A77E7" w:rsidRDefault="001A77E7" w:rsidP="001A77E7">
            <w:r w:rsidRPr="001A77E7">
              <w:t>1</w:t>
            </w:r>
          </w:p>
        </w:tc>
        <w:tc>
          <w:tcPr>
            <w:tcW w:w="2250" w:type="dxa"/>
          </w:tcPr>
          <w:p w14:paraId="19411460" w14:textId="77777777" w:rsidR="001A77E7" w:rsidRPr="001A77E7" w:rsidRDefault="001A77E7" w:rsidP="001A77E7">
            <w:pPr>
              <w:spacing w:after="0" w:line="240" w:lineRule="auto"/>
            </w:pPr>
            <w:r w:rsidRPr="001A77E7">
              <w:t>- MSF closure at end of June</w:t>
            </w:r>
            <w:r w:rsidRPr="001A77E7">
              <w:br/>
              <w:t>- Need for continuity of chronic care</w:t>
            </w:r>
            <w:r w:rsidRPr="001A77E7">
              <w:br/>
              <w:t>- Medication and electricity constraints</w:t>
            </w:r>
          </w:p>
        </w:tc>
        <w:tc>
          <w:tcPr>
            <w:tcW w:w="4590" w:type="dxa"/>
          </w:tcPr>
          <w:p w14:paraId="4E94035A" w14:textId="77777777" w:rsidR="001A77E7" w:rsidRDefault="001A77E7" w:rsidP="001A77E7">
            <w:pPr>
              <w:spacing w:after="0" w:line="240" w:lineRule="auto"/>
              <w:rPr>
                <w:rtl/>
              </w:rPr>
            </w:pPr>
            <w:r w:rsidRPr="001A77E7">
              <w:t>- Transition planning</w:t>
            </w:r>
            <w:r w:rsidRPr="001A77E7">
              <w:br/>
              <w:t>- Partner coordination</w:t>
            </w:r>
            <w:r w:rsidRPr="001A77E7">
              <w:br/>
              <w:t>- Maintain contingency energy support</w:t>
            </w:r>
          </w:p>
        </w:tc>
      </w:tr>
      <w:tr w:rsidR="001A77E7" w14:paraId="288DCABD" w14:textId="77777777" w:rsidTr="00A31AD9">
        <w:trPr>
          <w:trHeight w:val="448"/>
        </w:trPr>
        <w:tc>
          <w:tcPr>
            <w:tcW w:w="3145" w:type="dxa"/>
          </w:tcPr>
          <w:p w14:paraId="3BCF1432" w14:textId="14D230B1" w:rsidR="001A77E7" w:rsidRDefault="001A77E7" w:rsidP="001A77E7">
            <w:r w:rsidRPr="001A77E7">
              <w:t>Service data verification</w:t>
            </w:r>
          </w:p>
        </w:tc>
        <w:tc>
          <w:tcPr>
            <w:tcW w:w="810" w:type="dxa"/>
          </w:tcPr>
          <w:p w14:paraId="1246944A" w14:textId="21102C33" w:rsidR="001A77E7" w:rsidRDefault="001A77E7" w:rsidP="001A77E7">
            <w:r w:rsidRPr="001A77E7">
              <w:t>3,468 contacts</w:t>
            </w:r>
          </w:p>
        </w:tc>
        <w:tc>
          <w:tcPr>
            <w:tcW w:w="2250" w:type="dxa"/>
          </w:tcPr>
          <w:p w14:paraId="25AC2DD0" w14:textId="348F2F6B" w:rsidR="001A77E7" w:rsidRPr="00B223DB" w:rsidRDefault="001A77E7" w:rsidP="001A77E7">
            <w:r w:rsidRPr="001A77E7">
              <w:t>Monthly Odoo service total verified by service category.</w:t>
            </w:r>
          </w:p>
        </w:tc>
        <w:tc>
          <w:tcPr>
            <w:tcW w:w="4590" w:type="dxa"/>
          </w:tcPr>
          <w:p w14:paraId="5BDC2BEB" w14:textId="48E6BD93" w:rsidR="001A77E7" w:rsidRDefault="001A77E7" w:rsidP="001A77E7">
            <w:r w:rsidRPr="001A77E7">
              <w:t>Continue monthly data reconciliation before reporting.</w:t>
            </w:r>
          </w:p>
        </w:tc>
      </w:tr>
    </w:tbl>
    <w:p w14:paraId="7E9C4CCB" w14:textId="77777777" w:rsidR="00076BD5" w:rsidRDefault="00076BD5"/>
    <w:p w14:paraId="4D3AF3DE" w14:textId="77777777" w:rsidR="002843CA" w:rsidRDefault="00CD6E72">
      <w:pPr>
        <w:pStyle w:val="Heading2"/>
      </w:pPr>
      <w:r>
        <w:t>Annex II: Success Story</w:t>
      </w:r>
    </w:p>
    <w:p w14:paraId="69AA69AE" w14:textId="77777777" w:rsidR="002843CA" w:rsidRDefault="002843CA">
      <w:bookmarkStart w:id="0" w:name="_heading=h.3dmtkkamdvj9" w:colFirst="0" w:colLast="0"/>
      <w:bookmarkEnd w:id="0"/>
    </w:p>
    <w:p w14:paraId="34174B72" w14:textId="7B2DAC37" w:rsidR="00FB0349" w:rsidRDefault="005F624F" w:rsidP="00B17B47">
      <w:pPr>
        <w:tabs>
          <w:tab w:val="left" w:pos="1455"/>
        </w:tabs>
      </w:pPr>
      <w:bookmarkStart w:id="1" w:name="_heading=h.30j0zll" w:colFirst="0" w:colLast="0"/>
      <w:bookmarkEnd w:id="1"/>
      <w:r>
        <w:t>(</w:t>
      </w:r>
      <w:r w:rsidR="001B130F">
        <w:t>About</w:t>
      </w:r>
      <w:r w:rsidR="00076BD5">
        <w:t xml:space="preserve"> your </w:t>
      </w:r>
      <w:r>
        <w:t>team activity,</w:t>
      </w:r>
      <w:r w:rsidR="00076BD5">
        <w:t xml:space="preserve"> or may be from </w:t>
      </w:r>
      <w:r>
        <w:t>beneficiary or</w:t>
      </w:r>
      <w:r w:rsidR="00076BD5">
        <w:t xml:space="preserve"> good implementation for activity …) </w:t>
      </w:r>
    </w:p>
    <w:p w14:paraId="2234A521" w14:textId="77777777" w:rsidR="00B17B47" w:rsidRDefault="00B17B47" w:rsidP="00B17B47">
      <w:pPr>
        <w:tabs>
          <w:tab w:val="left" w:pos="1455"/>
        </w:tabs>
      </w:pPr>
    </w:p>
    <w:p w14:paraId="77A7AA0F" w14:textId="77777777" w:rsidR="00096E74" w:rsidRDefault="00096E74" w:rsidP="00096E74">
      <w:pPr>
        <w:tabs>
          <w:tab w:val="left" w:pos="1455"/>
        </w:tabs>
        <w:spacing w:after="120"/>
      </w:pPr>
      <w:r>
        <w:rPr>
          <w:sz w:val="22"/>
        </w:rPr>
        <w:t>Maintaining Service Continuity During the Final Month of MSF Support</w:t>
      </w:r>
    </w:p>
    <w:p w14:paraId="7634095E" w14:textId="77777777" w:rsidR="00096E74" w:rsidRDefault="00096E74" w:rsidP="00096E74">
      <w:pPr>
        <w:tabs>
          <w:tab w:val="left" w:pos="1455"/>
        </w:tabs>
      </w:pPr>
    </w:p>
    <w:p w14:paraId="7E310B80" w14:textId="77777777" w:rsidR="00876754" w:rsidRPr="00876754" w:rsidRDefault="00876754" w:rsidP="00876754">
      <w:pPr>
        <w:tabs>
          <w:tab w:val="left" w:pos="1455"/>
        </w:tabs>
        <w:spacing w:after="120"/>
      </w:pPr>
      <w:r w:rsidRPr="00876754">
        <w:t>During June 2026, AMC continued providing essential primary healthcare while the MSF-supported package entered its final month. The center maintained access to consultations, pharmacy, laboratory, chronic disease follow-up, and other specialized services while also preparing patients and staff for the end of MSF support.</w:t>
      </w:r>
    </w:p>
    <w:p w14:paraId="3A93192C" w14:textId="77777777" w:rsidR="00876754" w:rsidRPr="00876754" w:rsidRDefault="00876754" w:rsidP="00876754">
      <w:pPr>
        <w:tabs>
          <w:tab w:val="left" w:pos="1455"/>
        </w:tabs>
        <w:spacing w:after="120"/>
      </w:pPr>
      <w:r w:rsidRPr="00876754">
        <w:t>AMC recorded 3,468 service contacts during June, including 2,027 female and 1,441 male contacts. Pharmacy, General Medicine, and Laboratory remained the largest service categories, reflecting the continued demand for medication, primary care, and diagnostic support among the population served by the center.</w:t>
      </w:r>
    </w:p>
    <w:p w14:paraId="38398793" w14:textId="77777777" w:rsidR="00876754" w:rsidRPr="00876754" w:rsidRDefault="00876754" w:rsidP="00876754">
      <w:pPr>
        <w:tabs>
          <w:tab w:val="left" w:pos="1455"/>
        </w:tabs>
        <w:spacing w:after="120"/>
      </w:pPr>
      <w:r w:rsidRPr="00876754">
        <w:t>By combining service continuity with early transition planning, AMC reduced the risk of abrupt interruption when MSF support ended at the close of June. The team continued coordinating with MoPH, YMCA, internal AMC services, and other available partners to guide vulnerable patients toward feasible alternatives for ongoing care.</w:t>
      </w:r>
    </w:p>
    <w:p w14:paraId="2C80AE5B" w14:textId="61BF0174" w:rsidR="00883BD7" w:rsidRPr="00076BD5" w:rsidRDefault="0071256B" w:rsidP="003114A5">
      <w:pPr>
        <w:tabs>
          <w:tab w:val="left" w:pos="1455"/>
        </w:tabs>
      </w:pPr>
      <w:r>
        <w:br/>
      </w:r>
      <w:r w:rsidR="008E1DD4">
        <w:t xml:space="preserve">         </w:t>
      </w:r>
    </w:p>
    <w:sectPr w:rsidR="00883BD7" w:rsidRPr="00076BD5">
      <w:pgSz w:w="12240" w:h="15840"/>
      <w:pgMar w:top="720" w:right="720" w:bottom="720" w:left="72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CEB78D" w14:textId="77777777" w:rsidR="00AB1275" w:rsidRDefault="00AB1275">
      <w:pPr>
        <w:spacing w:after="0" w:line="240" w:lineRule="auto"/>
      </w:pPr>
      <w:r>
        <w:separator/>
      </w:r>
    </w:p>
  </w:endnote>
  <w:endnote w:type="continuationSeparator" w:id="0">
    <w:p w14:paraId="1DBA2A11" w14:textId="77777777" w:rsidR="00AB1275" w:rsidRDefault="00AB1275">
      <w:pPr>
        <w:spacing w:after="0" w:line="240" w:lineRule="auto"/>
      </w:pPr>
      <w:r>
        <w:continuationSeparator/>
      </w:r>
    </w:p>
  </w:endnote>
  <w:endnote w:type="continuationNotice" w:id="1">
    <w:p w14:paraId="529B254D" w14:textId="77777777" w:rsidR="00AB1275" w:rsidRDefault="00AB127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Noto Sans Symbols">
    <w:altName w:val="Times New Roman"/>
    <w:charset w:val="00"/>
    <w:family w:val="auto"/>
    <w:pitch w:val="default"/>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C6BDE5" w14:textId="77777777" w:rsidR="00AB1275" w:rsidRDefault="00AB1275">
      <w:pPr>
        <w:spacing w:after="0" w:line="240" w:lineRule="auto"/>
      </w:pPr>
      <w:r>
        <w:separator/>
      </w:r>
    </w:p>
  </w:footnote>
  <w:footnote w:type="continuationSeparator" w:id="0">
    <w:p w14:paraId="12BB81DB" w14:textId="77777777" w:rsidR="00AB1275" w:rsidRDefault="00AB1275">
      <w:pPr>
        <w:spacing w:after="0" w:line="240" w:lineRule="auto"/>
      </w:pPr>
      <w:r>
        <w:continuationSeparator/>
      </w:r>
    </w:p>
  </w:footnote>
  <w:footnote w:type="continuationNotice" w:id="1">
    <w:p w14:paraId="211AEA4D" w14:textId="77777777" w:rsidR="00AB1275" w:rsidRDefault="00AB1275">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D624E2"/>
    <w:multiLevelType w:val="hybridMultilevel"/>
    <w:tmpl w:val="63341688"/>
    <w:lvl w:ilvl="0" w:tplc="4072CBE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C1B1162"/>
    <w:multiLevelType w:val="multilevel"/>
    <w:tmpl w:val="117895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2B8591E"/>
    <w:multiLevelType w:val="hybridMultilevel"/>
    <w:tmpl w:val="DACC40FC"/>
    <w:lvl w:ilvl="0" w:tplc="136201CA">
      <w:numFmt w:val="bullet"/>
      <w:lvlText w:val=""/>
      <w:lvlJc w:val="left"/>
      <w:pPr>
        <w:ind w:left="720" w:hanging="360"/>
      </w:pPr>
      <w:rPr>
        <w:rFonts w:ascii="Symbol" w:eastAsia="Calibri"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44305FA"/>
    <w:multiLevelType w:val="multilevel"/>
    <w:tmpl w:val="D302AE98"/>
    <w:lvl w:ilvl="0">
      <w:start w:val="1"/>
      <w:numFmt w:val="decimal"/>
      <w:lvlText w:val="%1."/>
      <w:lvlJc w:val="left"/>
      <w:pPr>
        <w:tabs>
          <w:tab w:val="num" w:pos="-3240"/>
        </w:tabs>
        <w:ind w:left="-3240" w:hanging="360"/>
      </w:pPr>
    </w:lvl>
    <w:lvl w:ilvl="1">
      <w:start w:val="1"/>
      <w:numFmt w:val="decimal"/>
      <w:lvlText w:val="%2."/>
      <w:lvlJc w:val="left"/>
      <w:pPr>
        <w:tabs>
          <w:tab w:val="num" w:pos="-2520"/>
        </w:tabs>
        <w:ind w:left="-2520" w:hanging="360"/>
      </w:pPr>
    </w:lvl>
    <w:lvl w:ilvl="2">
      <w:start w:val="1"/>
      <w:numFmt w:val="decimal"/>
      <w:lvlText w:val="%3."/>
      <w:lvlJc w:val="left"/>
      <w:pPr>
        <w:tabs>
          <w:tab w:val="num" w:pos="-1800"/>
        </w:tabs>
        <w:ind w:left="-1800" w:hanging="360"/>
      </w:pPr>
    </w:lvl>
    <w:lvl w:ilvl="3">
      <w:start w:val="1"/>
      <w:numFmt w:val="decimal"/>
      <w:lvlText w:val="%4."/>
      <w:lvlJc w:val="left"/>
      <w:pPr>
        <w:tabs>
          <w:tab w:val="num" w:pos="-1080"/>
        </w:tabs>
        <w:ind w:left="-1080" w:hanging="360"/>
      </w:pPr>
    </w:lvl>
    <w:lvl w:ilvl="4">
      <w:start w:val="1"/>
      <w:numFmt w:val="decimal"/>
      <w:lvlText w:val="%5."/>
      <w:lvlJc w:val="left"/>
      <w:pPr>
        <w:tabs>
          <w:tab w:val="num" w:pos="-360"/>
        </w:tabs>
        <w:ind w:left="-360" w:hanging="360"/>
      </w:pPr>
    </w:lvl>
    <w:lvl w:ilvl="5">
      <w:start w:val="1"/>
      <w:numFmt w:val="decimal"/>
      <w:lvlText w:val="%6."/>
      <w:lvlJc w:val="left"/>
      <w:pPr>
        <w:tabs>
          <w:tab w:val="num" w:pos="360"/>
        </w:tabs>
        <w:ind w:left="360" w:hanging="360"/>
      </w:pPr>
    </w:lvl>
    <w:lvl w:ilvl="6">
      <w:start w:val="1"/>
      <w:numFmt w:val="decimal"/>
      <w:lvlText w:val="%7."/>
      <w:lvlJc w:val="left"/>
      <w:pPr>
        <w:tabs>
          <w:tab w:val="num" w:pos="1080"/>
        </w:tabs>
        <w:ind w:left="1080" w:hanging="360"/>
      </w:pPr>
    </w:lvl>
    <w:lvl w:ilvl="7">
      <w:start w:val="1"/>
      <w:numFmt w:val="decimal"/>
      <w:lvlText w:val="%8."/>
      <w:lvlJc w:val="left"/>
      <w:pPr>
        <w:tabs>
          <w:tab w:val="num" w:pos="1800"/>
        </w:tabs>
        <w:ind w:left="1800" w:hanging="360"/>
      </w:pPr>
    </w:lvl>
    <w:lvl w:ilvl="8" w:tentative="1">
      <w:start w:val="1"/>
      <w:numFmt w:val="decimal"/>
      <w:lvlText w:val="%9."/>
      <w:lvlJc w:val="left"/>
      <w:pPr>
        <w:tabs>
          <w:tab w:val="num" w:pos="2520"/>
        </w:tabs>
        <w:ind w:left="2520" w:hanging="360"/>
      </w:pPr>
    </w:lvl>
  </w:abstractNum>
  <w:abstractNum w:abstractNumId="4" w15:restartNumberingAfterBreak="0">
    <w:nsid w:val="19367308"/>
    <w:multiLevelType w:val="multilevel"/>
    <w:tmpl w:val="A6C08F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9B90956"/>
    <w:multiLevelType w:val="multilevel"/>
    <w:tmpl w:val="AB4E7B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C8E20A0"/>
    <w:multiLevelType w:val="hybridMultilevel"/>
    <w:tmpl w:val="C69287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FE30AA5"/>
    <w:multiLevelType w:val="hybridMultilevel"/>
    <w:tmpl w:val="F8509F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62A2EED"/>
    <w:multiLevelType w:val="hybridMultilevel"/>
    <w:tmpl w:val="D5A2315A"/>
    <w:lvl w:ilvl="0" w:tplc="04090001">
      <w:start w:val="1"/>
      <w:numFmt w:val="bullet"/>
      <w:lvlText w:val=""/>
      <w:lvlJc w:val="left"/>
      <w:pPr>
        <w:ind w:left="720" w:hanging="360"/>
      </w:pPr>
      <w:rPr>
        <w:rFonts w:ascii="Symbol" w:hAnsi="Symbol" w:hint="default"/>
      </w:rPr>
    </w:lvl>
    <w:lvl w:ilvl="1" w:tplc="9940D886">
      <w:numFmt w:val="bullet"/>
      <w:lvlText w:val="-"/>
      <w:lvlJc w:val="left"/>
      <w:pPr>
        <w:ind w:left="1440" w:hanging="360"/>
      </w:pPr>
      <w:rPr>
        <w:rFonts w:ascii="Calibri" w:eastAsia="Calibri" w:hAnsi="Calibri" w:cs="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FB82BFD"/>
    <w:multiLevelType w:val="multilevel"/>
    <w:tmpl w:val="6EA631DA"/>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0" w15:restartNumberingAfterBreak="0">
    <w:nsid w:val="72057BF2"/>
    <w:multiLevelType w:val="hybridMultilevel"/>
    <w:tmpl w:val="67382C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93127843">
    <w:abstractNumId w:val="9"/>
  </w:num>
  <w:num w:numId="2" w16cid:durableId="1194345807">
    <w:abstractNumId w:val="2"/>
  </w:num>
  <w:num w:numId="3" w16cid:durableId="817455358">
    <w:abstractNumId w:val="3"/>
  </w:num>
  <w:num w:numId="4" w16cid:durableId="1075131017">
    <w:abstractNumId w:val="10"/>
  </w:num>
  <w:num w:numId="5" w16cid:durableId="1706907010">
    <w:abstractNumId w:val="8"/>
  </w:num>
  <w:num w:numId="6" w16cid:durableId="1469128886">
    <w:abstractNumId w:val="0"/>
  </w:num>
  <w:num w:numId="7" w16cid:durableId="1524367559">
    <w:abstractNumId w:val="4"/>
  </w:num>
  <w:num w:numId="8" w16cid:durableId="1183278294">
    <w:abstractNumId w:val="7"/>
  </w:num>
  <w:num w:numId="9" w16cid:durableId="1606691569">
    <w:abstractNumId w:val="6"/>
  </w:num>
  <w:num w:numId="10" w16cid:durableId="779685149">
    <w:abstractNumId w:val="1"/>
  </w:num>
  <w:num w:numId="11" w16cid:durableId="29518702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43CA"/>
    <w:rsid w:val="000004D1"/>
    <w:rsid w:val="000011E2"/>
    <w:rsid w:val="00004327"/>
    <w:rsid w:val="000049DC"/>
    <w:rsid w:val="00006D64"/>
    <w:rsid w:val="000145F5"/>
    <w:rsid w:val="00015703"/>
    <w:rsid w:val="000202F2"/>
    <w:rsid w:val="000206E5"/>
    <w:rsid w:val="00022956"/>
    <w:rsid w:val="00024CE6"/>
    <w:rsid w:val="00030A11"/>
    <w:rsid w:val="000316E8"/>
    <w:rsid w:val="00034CD8"/>
    <w:rsid w:val="00035750"/>
    <w:rsid w:val="0003747B"/>
    <w:rsid w:val="00042C85"/>
    <w:rsid w:val="000448AB"/>
    <w:rsid w:val="00045321"/>
    <w:rsid w:val="00046151"/>
    <w:rsid w:val="00046B65"/>
    <w:rsid w:val="00055CB0"/>
    <w:rsid w:val="0005686D"/>
    <w:rsid w:val="00057A55"/>
    <w:rsid w:val="00060EBF"/>
    <w:rsid w:val="00063FFF"/>
    <w:rsid w:val="00065856"/>
    <w:rsid w:val="00067C6E"/>
    <w:rsid w:val="00072048"/>
    <w:rsid w:val="00076A0A"/>
    <w:rsid w:val="00076BD5"/>
    <w:rsid w:val="000813B6"/>
    <w:rsid w:val="00083775"/>
    <w:rsid w:val="00084E22"/>
    <w:rsid w:val="00087DD0"/>
    <w:rsid w:val="00090006"/>
    <w:rsid w:val="000940A4"/>
    <w:rsid w:val="00096E74"/>
    <w:rsid w:val="000A0D9A"/>
    <w:rsid w:val="000A2B62"/>
    <w:rsid w:val="000B17D3"/>
    <w:rsid w:val="000B2154"/>
    <w:rsid w:val="000B2312"/>
    <w:rsid w:val="000B3C1E"/>
    <w:rsid w:val="000B4511"/>
    <w:rsid w:val="000B5A8E"/>
    <w:rsid w:val="000C1D76"/>
    <w:rsid w:val="000C2965"/>
    <w:rsid w:val="000C424C"/>
    <w:rsid w:val="000C5984"/>
    <w:rsid w:val="000C7F08"/>
    <w:rsid w:val="000D118A"/>
    <w:rsid w:val="000D280B"/>
    <w:rsid w:val="000D2DFE"/>
    <w:rsid w:val="000E1E31"/>
    <w:rsid w:val="000E25E7"/>
    <w:rsid w:val="000E276C"/>
    <w:rsid w:val="000E51FE"/>
    <w:rsid w:val="000F179E"/>
    <w:rsid w:val="000F2731"/>
    <w:rsid w:val="000F2C6A"/>
    <w:rsid w:val="000F375B"/>
    <w:rsid w:val="000F463C"/>
    <w:rsid w:val="000F48F3"/>
    <w:rsid w:val="000F5BA5"/>
    <w:rsid w:val="000F6241"/>
    <w:rsid w:val="001005F9"/>
    <w:rsid w:val="0010182A"/>
    <w:rsid w:val="001054E3"/>
    <w:rsid w:val="00106808"/>
    <w:rsid w:val="00110A4A"/>
    <w:rsid w:val="00111370"/>
    <w:rsid w:val="00126E24"/>
    <w:rsid w:val="001319AF"/>
    <w:rsid w:val="001326E7"/>
    <w:rsid w:val="00133BEF"/>
    <w:rsid w:val="001342B3"/>
    <w:rsid w:val="00135A0A"/>
    <w:rsid w:val="00137474"/>
    <w:rsid w:val="00140580"/>
    <w:rsid w:val="0014263B"/>
    <w:rsid w:val="001431AD"/>
    <w:rsid w:val="00143A3D"/>
    <w:rsid w:val="001445EA"/>
    <w:rsid w:val="001445F3"/>
    <w:rsid w:val="001446E0"/>
    <w:rsid w:val="00144A03"/>
    <w:rsid w:val="00145EBE"/>
    <w:rsid w:val="001516F5"/>
    <w:rsid w:val="00151A46"/>
    <w:rsid w:val="00152501"/>
    <w:rsid w:val="001527A1"/>
    <w:rsid w:val="00153891"/>
    <w:rsid w:val="00154BC7"/>
    <w:rsid w:val="0016110C"/>
    <w:rsid w:val="001620CE"/>
    <w:rsid w:val="001653D1"/>
    <w:rsid w:val="001666C1"/>
    <w:rsid w:val="001679EB"/>
    <w:rsid w:val="00173C64"/>
    <w:rsid w:val="00176211"/>
    <w:rsid w:val="00177AEF"/>
    <w:rsid w:val="00177BDE"/>
    <w:rsid w:val="00183B17"/>
    <w:rsid w:val="001927C0"/>
    <w:rsid w:val="00192B41"/>
    <w:rsid w:val="00193848"/>
    <w:rsid w:val="001967BE"/>
    <w:rsid w:val="001A338C"/>
    <w:rsid w:val="001A4051"/>
    <w:rsid w:val="001A6C47"/>
    <w:rsid w:val="001A77E7"/>
    <w:rsid w:val="001B130F"/>
    <w:rsid w:val="001B3B1E"/>
    <w:rsid w:val="001B3F2A"/>
    <w:rsid w:val="001B5C28"/>
    <w:rsid w:val="001C05D3"/>
    <w:rsid w:val="001C0D00"/>
    <w:rsid w:val="001C1F3D"/>
    <w:rsid w:val="001D24E0"/>
    <w:rsid w:val="001D4F3D"/>
    <w:rsid w:val="001D5214"/>
    <w:rsid w:val="001E0AEB"/>
    <w:rsid w:val="001E3858"/>
    <w:rsid w:val="001E661A"/>
    <w:rsid w:val="001E78DC"/>
    <w:rsid w:val="001F2A1A"/>
    <w:rsid w:val="001F46EF"/>
    <w:rsid w:val="001F6E1C"/>
    <w:rsid w:val="001F7893"/>
    <w:rsid w:val="00206220"/>
    <w:rsid w:val="002064E6"/>
    <w:rsid w:val="00207EF5"/>
    <w:rsid w:val="00213A22"/>
    <w:rsid w:val="00215F08"/>
    <w:rsid w:val="00224347"/>
    <w:rsid w:val="00225359"/>
    <w:rsid w:val="002256DD"/>
    <w:rsid w:val="002275A5"/>
    <w:rsid w:val="00231AF2"/>
    <w:rsid w:val="0023431C"/>
    <w:rsid w:val="00234343"/>
    <w:rsid w:val="00235FDF"/>
    <w:rsid w:val="00236CCF"/>
    <w:rsid w:val="002377A5"/>
    <w:rsid w:val="00244F56"/>
    <w:rsid w:val="002455D2"/>
    <w:rsid w:val="00251363"/>
    <w:rsid w:val="002556EF"/>
    <w:rsid w:val="00256278"/>
    <w:rsid w:val="00261159"/>
    <w:rsid w:val="002626CB"/>
    <w:rsid w:val="002628A9"/>
    <w:rsid w:val="00265C92"/>
    <w:rsid w:val="00265ED6"/>
    <w:rsid w:val="00267018"/>
    <w:rsid w:val="00274A73"/>
    <w:rsid w:val="00274B5F"/>
    <w:rsid w:val="00280C5F"/>
    <w:rsid w:val="00281029"/>
    <w:rsid w:val="00281652"/>
    <w:rsid w:val="0028409D"/>
    <w:rsid w:val="002843CA"/>
    <w:rsid w:val="002875BA"/>
    <w:rsid w:val="00292774"/>
    <w:rsid w:val="00292BF9"/>
    <w:rsid w:val="00296551"/>
    <w:rsid w:val="002A7BED"/>
    <w:rsid w:val="002B304A"/>
    <w:rsid w:val="002B5DD2"/>
    <w:rsid w:val="002C1212"/>
    <w:rsid w:val="002C160F"/>
    <w:rsid w:val="002C2C42"/>
    <w:rsid w:val="002C31C9"/>
    <w:rsid w:val="002C4681"/>
    <w:rsid w:val="002C4F5C"/>
    <w:rsid w:val="002D2B93"/>
    <w:rsid w:val="002D6E20"/>
    <w:rsid w:val="002E1DF6"/>
    <w:rsid w:val="002F1A77"/>
    <w:rsid w:val="002F2606"/>
    <w:rsid w:val="002F29C3"/>
    <w:rsid w:val="002F31D4"/>
    <w:rsid w:val="002F691C"/>
    <w:rsid w:val="00300178"/>
    <w:rsid w:val="003014DD"/>
    <w:rsid w:val="00303A7F"/>
    <w:rsid w:val="00303EDC"/>
    <w:rsid w:val="0030541D"/>
    <w:rsid w:val="00307226"/>
    <w:rsid w:val="003114A5"/>
    <w:rsid w:val="00312189"/>
    <w:rsid w:val="003142A7"/>
    <w:rsid w:val="00315015"/>
    <w:rsid w:val="00315A20"/>
    <w:rsid w:val="003213DA"/>
    <w:rsid w:val="00323746"/>
    <w:rsid w:val="00325F1E"/>
    <w:rsid w:val="00326917"/>
    <w:rsid w:val="003269EB"/>
    <w:rsid w:val="0033272C"/>
    <w:rsid w:val="00333961"/>
    <w:rsid w:val="003356CD"/>
    <w:rsid w:val="00337506"/>
    <w:rsid w:val="003375AC"/>
    <w:rsid w:val="003412B2"/>
    <w:rsid w:val="003424DF"/>
    <w:rsid w:val="00343B98"/>
    <w:rsid w:val="00343E33"/>
    <w:rsid w:val="00344512"/>
    <w:rsid w:val="00345B3C"/>
    <w:rsid w:val="00347FE9"/>
    <w:rsid w:val="00353090"/>
    <w:rsid w:val="0035468B"/>
    <w:rsid w:val="00354A7E"/>
    <w:rsid w:val="00356C16"/>
    <w:rsid w:val="00357D74"/>
    <w:rsid w:val="00364FC5"/>
    <w:rsid w:val="0036785B"/>
    <w:rsid w:val="00373DBD"/>
    <w:rsid w:val="003759A6"/>
    <w:rsid w:val="00376DCB"/>
    <w:rsid w:val="00381C01"/>
    <w:rsid w:val="00387159"/>
    <w:rsid w:val="00387E05"/>
    <w:rsid w:val="00391526"/>
    <w:rsid w:val="0039213E"/>
    <w:rsid w:val="00397A34"/>
    <w:rsid w:val="003A12C8"/>
    <w:rsid w:val="003A22FF"/>
    <w:rsid w:val="003A29A9"/>
    <w:rsid w:val="003A3BC1"/>
    <w:rsid w:val="003A4D03"/>
    <w:rsid w:val="003A6E66"/>
    <w:rsid w:val="003B2541"/>
    <w:rsid w:val="003B2952"/>
    <w:rsid w:val="003B3348"/>
    <w:rsid w:val="003C12A1"/>
    <w:rsid w:val="003C2277"/>
    <w:rsid w:val="003C79DE"/>
    <w:rsid w:val="003C7BB7"/>
    <w:rsid w:val="003C7CFE"/>
    <w:rsid w:val="003D00C1"/>
    <w:rsid w:val="003D4659"/>
    <w:rsid w:val="003D7E6D"/>
    <w:rsid w:val="003E049D"/>
    <w:rsid w:val="003E0A10"/>
    <w:rsid w:val="003E33B3"/>
    <w:rsid w:val="003E3F1E"/>
    <w:rsid w:val="003E7338"/>
    <w:rsid w:val="003F18F2"/>
    <w:rsid w:val="003F2719"/>
    <w:rsid w:val="003F38A0"/>
    <w:rsid w:val="003F7620"/>
    <w:rsid w:val="00402D13"/>
    <w:rsid w:val="004044D4"/>
    <w:rsid w:val="004074BF"/>
    <w:rsid w:val="00411500"/>
    <w:rsid w:val="0041181A"/>
    <w:rsid w:val="00411EC6"/>
    <w:rsid w:val="004133C6"/>
    <w:rsid w:val="0041432D"/>
    <w:rsid w:val="00420EDF"/>
    <w:rsid w:val="00424E52"/>
    <w:rsid w:val="0042578F"/>
    <w:rsid w:val="004260D1"/>
    <w:rsid w:val="00427C67"/>
    <w:rsid w:val="00427E08"/>
    <w:rsid w:val="0043290C"/>
    <w:rsid w:val="0043533D"/>
    <w:rsid w:val="004500D2"/>
    <w:rsid w:val="004524FA"/>
    <w:rsid w:val="00457A36"/>
    <w:rsid w:val="004649F4"/>
    <w:rsid w:val="00471B46"/>
    <w:rsid w:val="00474431"/>
    <w:rsid w:val="00474B91"/>
    <w:rsid w:val="004779BB"/>
    <w:rsid w:val="0048096D"/>
    <w:rsid w:val="0048145A"/>
    <w:rsid w:val="00481A5F"/>
    <w:rsid w:val="004824B6"/>
    <w:rsid w:val="00483C14"/>
    <w:rsid w:val="00485859"/>
    <w:rsid w:val="004903A8"/>
    <w:rsid w:val="0049211F"/>
    <w:rsid w:val="00492FDE"/>
    <w:rsid w:val="00495035"/>
    <w:rsid w:val="004953E6"/>
    <w:rsid w:val="00495608"/>
    <w:rsid w:val="00497221"/>
    <w:rsid w:val="00497F52"/>
    <w:rsid w:val="004A122E"/>
    <w:rsid w:val="004A2E38"/>
    <w:rsid w:val="004A783B"/>
    <w:rsid w:val="004A7D41"/>
    <w:rsid w:val="004B6571"/>
    <w:rsid w:val="004B66BB"/>
    <w:rsid w:val="004B7116"/>
    <w:rsid w:val="004C48E0"/>
    <w:rsid w:val="004C4987"/>
    <w:rsid w:val="004C4AF3"/>
    <w:rsid w:val="004C7495"/>
    <w:rsid w:val="004D01D4"/>
    <w:rsid w:val="004D0725"/>
    <w:rsid w:val="004D33CC"/>
    <w:rsid w:val="004D6434"/>
    <w:rsid w:val="004E13FE"/>
    <w:rsid w:val="004E23CA"/>
    <w:rsid w:val="004E3F2A"/>
    <w:rsid w:val="004F1FB3"/>
    <w:rsid w:val="004F26D7"/>
    <w:rsid w:val="004F4CD5"/>
    <w:rsid w:val="004F61A5"/>
    <w:rsid w:val="004F755E"/>
    <w:rsid w:val="004F78FB"/>
    <w:rsid w:val="00500130"/>
    <w:rsid w:val="00511E72"/>
    <w:rsid w:val="00513C52"/>
    <w:rsid w:val="005145D9"/>
    <w:rsid w:val="00514943"/>
    <w:rsid w:val="00514BF6"/>
    <w:rsid w:val="005164C4"/>
    <w:rsid w:val="00516C74"/>
    <w:rsid w:val="00522BD2"/>
    <w:rsid w:val="005237D9"/>
    <w:rsid w:val="00523F1E"/>
    <w:rsid w:val="00524603"/>
    <w:rsid w:val="0052624C"/>
    <w:rsid w:val="005272B4"/>
    <w:rsid w:val="00531FCF"/>
    <w:rsid w:val="005324E2"/>
    <w:rsid w:val="005326E9"/>
    <w:rsid w:val="00534752"/>
    <w:rsid w:val="00540054"/>
    <w:rsid w:val="00542E3B"/>
    <w:rsid w:val="00544556"/>
    <w:rsid w:val="005445C7"/>
    <w:rsid w:val="00545A29"/>
    <w:rsid w:val="0054718B"/>
    <w:rsid w:val="0054744F"/>
    <w:rsid w:val="00551EFC"/>
    <w:rsid w:val="00552CCA"/>
    <w:rsid w:val="00552FA7"/>
    <w:rsid w:val="00557FDB"/>
    <w:rsid w:val="005604FC"/>
    <w:rsid w:val="00562006"/>
    <w:rsid w:val="005622F0"/>
    <w:rsid w:val="00562CB3"/>
    <w:rsid w:val="00565753"/>
    <w:rsid w:val="0056631C"/>
    <w:rsid w:val="00566A5A"/>
    <w:rsid w:val="00572193"/>
    <w:rsid w:val="005733B8"/>
    <w:rsid w:val="00573A7A"/>
    <w:rsid w:val="00573F99"/>
    <w:rsid w:val="00580F8F"/>
    <w:rsid w:val="00581717"/>
    <w:rsid w:val="005822CD"/>
    <w:rsid w:val="0058355D"/>
    <w:rsid w:val="0058377D"/>
    <w:rsid w:val="00591665"/>
    <w:rsid w:val="00591E8E"/>
    <w:rsid w:val="00592749"/>
    <w:rsid w:val="00594A2E"/>
    <w:rsid w:val="005952FB"/>
    <w:rsid w:val="005958E9"/>
    <w:rsid w:val="005A09F0"/>
    <w:rsid w:val="005A21AD"/>
    <w:rsid w:val="005A3AEE"/>
    <w:rsid w:val="005A43D6"/>
    <w:rsid w:val="005A7B4E"/>
    <w:rsid w:val="005A7C9E"/>
    <w:rsid w:val="005B0217"/>
    <w:rsid w:val="005B0B97"/>
    <w:rsid w:val="005B1164"/>
    <w:rsid w:val="005B262E"/>
    <w:rsid w:val="005B3D2D"/>
    <w:rsid w:val="005B4A0B"/>
    <w:rsid w:val="005B576D"/>
    <w:rsid w:val="005C3120"/>
    <w:rsid w:val="005C4FC1"/>
    <w:rsid w:val="005C5E18"/>
    <w:rsid w:val="005D0969"/>
    <w:rsid w:val="005D0E29"/>
    <w:rsid w:val="005D1FBE"/>
    <w:rsid w:val="005D23E0"/>
    <w:rsid w:val="005D41CE"/>
    <w:rsid w:val="005D70CF"/>
    <w:rsid w:val="005E10BB"/>
    <w:rsid w:val="005E42CE"/>
    <w:rsid w:val="005E64F5"/>
    <w:rsid w:val="005F0103"/>
    <w:rsid w:val="005F19AF"/>
    <w:rsid w:val="005F22B1"/>
    <w:rsid w:val="005F624F"/>
    <w:rsid w:val="005F62A3"/>
    <w:rsid w:val="00601843"/>
    <w:rsid w:val="0060267C"/>
    <w:rsid w:val="0060411A"/>
    <w:rsid w:val="006066BC"/>
    <w:rsid w:val="00607232"/>
    <w:rsid w:val="006119D9"/>
    <w:rsid w:val="00616543"/>
    <w:rsid w:val="00621688"/>
    <w:rsid w:val="0062469C"/>
    <w:rsid w:val="00632236"/>
    <w:rsid w:val="00635A84"/>
    <w:rsid w:val="006378B1"/>
    <w:rsid w:val="0064014F"/>
    <w:rsid w:val="00641EFF"/>
    <w:rsid w:val="00645C63"/>
    <w:rsid w:val="0064660A"/>
    <w:rsid w:val="00653299"/>
    <w:rsid w:val="006537AD"/>
    <w:rsid w:val="00654F3F"/>
    <w:rsid w:val="0065706C"/>
    <w:rsid w:val="00657DD8"/>
    <w:rsid w:val="006650F1"/>
    <w:rsid w:val="006679CF"/>
    <w:rsid w:val="00677EE3"/>
    <w:rsid w:val="00681D98"/>
    <w:rsid w:val="0068266D"/>
    <w:rsid w:val="0068487A"/>
    <w:rsid w:val="00685253"/>
    <w:rsid w:val="006868F8"/>
    <w:rsid w:val="00690213"/>
    <w:rsid w:val="0069065D"/>
    <w:rsid w:val="00691287"/>
    <w:rsid w:val="00696C6E"/>
    <w:rsid w:val="006A28E5"/>
    <w:rsid w:val="006A64A8"/>
    <w:rsid w:val="006B06DF"/>
    <w:rsid w:val="006B2D93"/>
    <w:rsid w:val="006B4CF7"/>
    <w:rsid w:val="006B6445"/>
    <w:rsid w:val="006B7983"/>
    <w:rsid w:val="006B7DC6"/>
    <w:rsid w:val="006B7EC6"/>
    <w:rsid w:val="006C1864"/>
    <w:rsid w:val="006C32C9"/>
    <w:rsid w:val="006C3C39"/>
    <w:rsid w:val="006C4B74"/>
    <w:rsid w:val="006C5760"/>
    <w:rsid w:val="006D04F1"/>
    <w:rsid w:val="006D1C6D"/>
    <w:rsid w:val="006D2191"/>
    <w:rsid w:val="006D4E16"/>
    <w:rsid w:val="006D6497"/>
    <w:rsid w:val="006E306C"/>
    <w:rsid w:val="006E7429"/>
    <w:rsid w:val="006E7981"/>
    <w:rsid w:val="006F10F2"/>
    <w:rsid w:val="006F4521"/>
    <w:rsid w:val="006F60F1"/>
    <w:rsid w:val="006F6EAC"/>
    <w:rsid w:val="006F76A7"/>
    <w:rsid w:val="0070048C"/>
    <w:rsid w:val="007007EE"/>
    <w:rsid w:val="007034AE"/>
    <w:rsid w:val="00710D5E"/>
    <w:rsid w:val="00711D6B"/>
    <w:rsid w:val="0071256B"/>
    <w:rsid w:val="00712F6D"/>
    <w:rsid w:val="007133A9"/>
    <w:rsid w:val="0071534A"/>
    <w:rsid w:val="007154EC"/>
    <w:rsid w:val="0072070F"/>
    <w:rsid w:val="007229A2"/>
    <w:rsid w:val="007270BA"/>
    <w:rsid w:val="00733F4E"/>
    <w:rsid w:val="0073408C"/>
    <w:rsid w:val="00737D47"/>
    <w:rsid w:val="00741B84"/>
    <w:rsid w:val="00743A4B"/>
    <w:rsid w:val="00751ADE"/>
    <w:rsid w:val="00755687"/>
    <w:rsid w:val="00756198"/>
    <w:rsid w:val="00761D25"/>
    <w:rsid w:val="00762525"/>
    <w:rsid w:val="00763767"/>
    <w:rsid w:val="00763C79"/>
    <w:rsid w:val="00765838"/>
    <w:rsid w:val="0078071B"/>
    <w:rsid w:val="00781149"/>
    <w:rsid w:val="00781387"/>
    <w:rsid w:val="007826B7"/>
    <w:rsid w:val="007831C7"/>
    <w:rsid w:val="007845B6"/>
    <w:rsid w:val="00786193"/>
    <w:rsid w:val="00787262"/>
    <w:rsid w:val="0079018C"/>
    <w:rsid w:val="007916D2"/>
    <w:rsid w:val="00791883"/>
    <w:rsid w:val="007A3962"/>
    <w:rsid w:val="007A6320"/>
    <w:rsid w:val="007A661A"/>
    <w:rsid w:val="007B2AA7"/>
    <w:rsid w:val="007B4610"/>
    <w:rsid w:val="007C261E"/>
    <w:rsid w:val="007C2DFB"/>
    <w:rsid w:val="007C5A41"/>
    <w:rsid w:val="007C65A6"/>
    <w:rsid w:val="007C6818"/>
    <w:rsid w:val="007C71DD"/>
    <w:rsid w:val="007D1514"/>
    <w:rsid w:val="007D6528"/>
    <w:rsid w:val="007D74A1"/>
    <w:rsid w:val="007E5DBD"/>
    <w:rsid w:val="007E6C20"/>
    <w:rsid w:val="007E79A9"/>
    <w:rsid w:val="007F1E3B"/>
    <w:rsid w:val="007F4599"/>
    <w:rsid w:val="007F4A83"/>
    <w:rsid w:val="0080139D"/>
    <w:rsid w:val="00801A7E"/>
    <w:rsid w:val="00803748"/>
    <w:rsid w:val="00803A70"/>
    <w:rsid w:val="0080465F"/>
    <w:rsid w:val="00806A4B"/>
    <w:rsid w:val="00806DF5"/>
    <w:rsid w:val="008177DA"/>
    <w:rsid w:val="008203C1"/>
    <w:rsid w:val="00824F94"/>
    <w:rsid w:val="00830440"/>
    <w:rsid w:val="00830BB2"/>
    <w:rsid w:val="00832496"/>
    <w:rsid w:val="008331C9"/>
    <w:rsid w:val="00834E3D"/>
    <w:rsid w:val="008376BB"/>
    <w:rsid w:val="00841825"/>
    <w:rsid w:val="00841E40"/>
    <w:rsid w:val="008449D6"/>
    <w:rsid w:val="008472FF"/>
    <w:rsid w:val="00850855"/>
    <w:rsid w:val="008538E4"/>
    <w:rsid w:val="00853A2E"/>
    <w:rsid w:val="00857D28"/>
    <w:rsid w:val="0086102F"/>
    <w:rsid w:val="008610CB"/>
    <w:rsid w:val="00864992"/>
    <w:rsid w:val="00867800"/>
    <w:rsid w:val="008726D3"/>
    <w:rsid w:val="0087306F"/>
    <w:rsid w:val="008738C0"/>
    <w:rsid w:val="00873A5A"/>
    <w:rsid w:val="008754D5"/>
    <w:rsid w:val="00876754"/>
    <w:rsid w:val="008837CF"/>
    <w:rsid w:val="00883BD7"/>
    <w:rsid w:val="00885240"/>
    <w:rsid w:val="00886D78"/>
    <w:rsid w:val="00887286"/>
    <w:rsid w:val="00893B2E"/>
    <w:rsid w:val="00895ED0"/>
    <w:rsid w:val="00896F57"/>
    <w:rsid w:val="008A0C68"/>
    <w:rsid w:val="008A35D2"/>
    <w:rsid w:val="008A4EB9"/>
    <w:rsid w:val="008B304A"/>
    <w:rsid w:val="008B4303"/>
    <w:rsid w:val="008B52CE"/>
    <w:rsid w:val="008B5EA5"/>
    <w:rsid w:val="008C174D"/>
    <w:rsid w:val="008C5D59"/>
    <w:rsid w:val="008C5D63"/>
    <w:rsid w:val="008C6D76"/>
    <w:rsid w:val="008D0FF7"/>
    <w:rsid w:val="008D2A76"/>
    <w:rsid w:val="008D40A9"/>
    <w:rsid w:val="008D5819"/>
    <w:rsid w:val="008E12B2"/>
    <w:rsid w:val="008E1DD4"/>
    <w:rsid w:val="008E4EA5"/>
    <w:rsid w:val="008E7A4E"/>
    <w:rsid w:val="008F40F8"/>
    <w:rsid w:val="008F4510"/>
    <w:rsid w:val="008F6CE9"/>
    <w:rsid w:val="00900891"/>
    <w:rsid w:val="009009EA"/>
    <w:rsid w:val="00900F45"/>
    <w:rsid w:val="009025DD"/>
    <w:rsid w:val="009032E1"/>
    <w:rsid w:val="00904D41"/>
    <w:rsid w:val="00904E4F"/>
    <w:rsid w:val="009060C8"/>
    <w:rsid w:val="00907B41"/>
    <w:rsid w:val="00910015"/>
    <w:rsid w:val="009155C2"/>
    <w:rsid w:val="00921231"/>
    <w:rsid w:val="009257E4"/>
    <w:rsid w:val="00930EC6"/>
    <w:rsid w:val="0093150E"/>
    <w:rsid w:val="009318FD"/>
    <w:rsid w:val="009324E2"/>
    <w:rsid w:val="00933D5B"/>
    <w:rsid w:val="00934411"/>
    <w:rsid w:val="00934869"/>
    <w:rsid w:val="009410C3"/>
    <w:rsid w:val="00942383"/>
    <w:rsid w:val="00943AE5"/>
    <w:rsid w:val="00944D06"/>
    <w:rsid w:val="00947273"/>
    <w:rsid w:val="00950288"/>
    <w:rsid w:val="00951FFD"/>
    <w:rsid w:val="009538B3"/>
    <w:rsid w:val="009541EB"/>
    <w:rsid w:val="00955B65"/>
    <w:rsid w:val="0096031C"/>
    <w:rsid w:val="009609C7"/>
    <w:rsid w:val="00974660"/>
    <w:rsid w:val="00974B35"/>
    <w:rsid w:val="00981621"/>
    <w:rsid w:val="00981AC6"/>
    <w:rsid w:val="00985224"/>
    <w:rsid w:val="009855B6"/>
    <w:rsid w:val="009921A9"/>
    <w:rsid w:val="009A3E8E"/>
    <w:rsid w:val="009A4162"/>
    <w:rsid w:val="009A5563"/>
    <w:rsid w:val="009A7A4E"/>
    <w:rsid w:val="009B0D6F"/>
    <w:rsid w:val="009B45B6"/>
    <w:rsid w:val="009B53BF"/>
    <w:rsid w:val="009B5775"/>
    <w:rsid w:val="009C0F8B"/>
    <w:rsid w:val="009C23D5"/>
    <w:rsid w:val="009C3B68"/>
    <w:rsid w:val="009C3ED1"/>
    <w:rsid w:val="009C5F44"/>
    <w:rsid w:val="009C680C"/>
    <w:rsid w:val="009D02B7"/>
    <w:rsid w:val="009D390B"/>
    <w:rsid w:val="009D3D2F"/>
    <w:rsid w:val="009D52A1"/>
    <w:rsid w:val="009D6B83"/>
    <w:rsid w:val="009E11DE"/>
    <w:rsid w:val="009E1E3E"/>
    <w:rsid w:val="009E27E6"/>
    <w:rsid w:val="009E47BB"/>
    <w:rsid w:val="009E4EBA"/>
    <w:rsid w:val="009E6A4B"/>
    <w:rsid w:val="009E7C47"/>
    <w:rsid w:val="009F2D3F"/>
    <w:rsid w:val="009F3BFD"/>
    <w:rsid w:val="009F53F6"/>
    <w:rsid w:val="009F7CD4"/>
    <w:rsid w:val="00A022DB"/>
    <w:rsid w:val="00A02B9B"/>
    <w:rsid w:val="00A110CC"/>
    <w:rsid w:val="00A12D24"/>
    <w:rsid w:val="00A15BFC"/>
    <w:rsid w:val="00A2208C"/>
    <w:rsid w:val="00A229EB"/>
    <w:rsid w:val="00A274D7"/>
    <w:rsid w:val="00A275F9"/>
    <w:rsid w:val="00A31AD9"/>
    <w:rsid w:val="00A33A20"/>
    <w:rsid w:val="00A33EAA"/>
    <w:rsid w:val="00A361A9"/>
    <w:rsid w:val="00A419A9"/>
    <w:rsid w:val="00A43880"/>
    <w:rsid w:val="00A45357"/>
    <w:rsid w:val="00A459BF"/>
    <w:rsid w:val="00A464D1"/>
    <w:rsid w:val="00A474E6"/>
    <w:rsid w:val="00A506BC"/>
    <w:rsid w:val="00A53E2F"/>
    <w:rsid w:val="00A55B34"/>
    <w:rsid w:val="00A566A3"/>
    <w:rsid w:val="00A61B29"/>
    <w:rsid w:val="00A6508B"/>
    <w:rsid w:val="00A703B1"/>
    <w:rsid w:val="00A7262B"/>
    <w:rsid w:val="00A73E7B"/>
    <w:rsid w:val="00A75152"/>
    <w:rsid w:val="00A7603D"/>
    <w:rsid w:val="00A76CED"/>
    <w:rsid w:val="00A8421E"/>
    <w:rsid w:val="00A865DE"/>
    <w:rsid w:val="00A87292"/>
    <w:rsid w:val="00A92C6E"/>
    <w:rsid w:val="00A93CE8"/>
    <w:rsid w:val="00A93F7F"/>
    <w:rsid w:val="00A943C5"/>
    <w:rsid w:val="00AA0270"/>
    <w:rsid w:val="00AA3F6A"/>
    <w:rsid w:val="00AA5E5B"/>
    <w:rsid w:val="00AB1275"/>
    <w:rsid w:val="00AB36A5"/>
    <w:rsid w:val="00AB38BF"/>
    <w:rsid w:val="00AB588E"/>
    <w:rsid w:val="00AB59D6"/>
    <w:rsid w:val="00AB5CBA"/>
    <w:rsid w:val="00AB671E"/>
    <w:rsid w:val="00AC070D"/>
    <w:rsid w:val="00AC17E8"/>
    <w:rsid w:val="00AC4861"/>
    <w:rsid w:val="00AC70B3"/>
    <w:rsid w:val="00AC73C7"/>
    <w:rsid w:val="00AD0D5E"/>
    <w:rsid w:val="00AD0E89"/>
    <w:rsid w:val="00AD5C74"/>
    <w:rsid w:val="00AE3A60"/>
    <w:rsid w:val="00AE578E"/>
    <w:rsid w:val="00AE7103"/>
    <w:rsid w:val="00AF1BD2"/>
    <w:rsid w:val="00AF2D65"/>
    <w:rsid w:val="00AF2DCC"/>
    <w:rsid w:val="00AF4BBC"/>
    <w:rsid w:val="00AF6836"/>
    <w:rsid w:val="00AF78BE"/>
    <w:rsid w:val="00AF7AC5"/>
    <w:rsid w:val="00AF7E28"/>
    <w:rsid w:val="00B01F15"/>
    <w:rsid w:val="00B02FDB"/>
    <w:rsid w:val="00B03BB5"/>
    <w:rsid w:val="00B04C31"/>
    <w:rsid w:val="00B06889"/>
    <w:rsid w:val="00B0731B"/>
    <w:rsid w:val="00B14F2D"/>
    <w:rsid w:val="00B17945"/>
    <w:rsid w:val="00B17B47"/>
    <w:rsid w:val="00B21AEE"/>
    <w:rsid w:val="00B21B69"/>
    <w:rsid w:val="00B223DB"/>
    <w:rsid w:val="00B22D4C"/>
    <w:rsid w:val="00B24435"/>
    <w:rsid w:val="00B24CD2"/>
    <w:rsid w:val="00B25BA2"/>
    <w:rsid w:val="00B27D92"/>
    <w:rsid w:val="00B32A6C"/>
    <w:rsid w:val="00B32C43"/>
    <w:rsid w:val="00B338C7"/>
    <w:rsid w:val="00B375E3"/>
    <w:rsid w:val="00B40245"/>
    <w:rsid w:val="00B432F2"/>
    <w:rsid w:val="00B433FC"/>
    <w:rsid w:val="00B452C6"/>
    <w:rsid w:val="00B51EA3"/>
    <w:rsid w:val="00B52DD5"/>
    <w:rsid w:val="00B52FDE"/>
    <w:rsid w:val="00B53104"/>
    <w:rsid w:val="00B533B3"/>
    <w:rsid w:val="00B57309"/>
    <w:rsid w:val="00B576F0"/>
    <w:rsid w:val="00B62A7D"/>
    <w:rsid w:val="00B635C4"/>
    <w:rsid w:val="00B73C0E"/>
    <w:rsid w:val="00B73FF2"/>
    <w:rsid w:val="00B7471C"/>
    <w:rsid w:val="00B7618D"/>
    <w:rsid w:val="00B769CC"/>
    <w:rsid w:val="00B7796A"/>
    <w:rsid w:val="00B8128D"/>
    <w:rsid w:val="00B91401"/>
    <w:rsid w:val="00B92243"/>
    <w:rsid w:val="00B933FF"/>
    <w:rsid w:val="00B93948"/>
    <w:rsid w:val="00B95C1C"/>
    <w:rsid w:val="00B970D5"/>
    <w:rsid w:val="00B97757"/>
    <w:rsid w:val="00BA0345"/>
    <w:rsid w:val="00BA17C9"/>
    <w:rsid w:val="00BA1D25"/>
    <w:rsid w:val="00BA4227"/>
    <w:rsid w:val="00BA707F"/>
    <w:rsid w:val="00BA79EC"/>
    <w:rsid w:val="00BB2EEA"/>
    <w:rsid w:val="00BB2F19"/>
    <w:rsid w:val="00BB4AE8"/>
    <w:rsid w:val="00BB6069"/>
    <w:rsid w:val="00BC000E"/>
    <w:rsid w:val="00BC2137"/>
    <w:rsid w:val="00BC2582"/>
    <w:rsid w:val="00BC2747"/>
    <w:rsid w:val="00BC6F75"/>
    <w:rsid w:val="00BD352D"/>
    <w:rsid w:val="00BD3F8A"/>
    <w:rsid w:val="00BD5481"/>
    <w:rsid w:val="00BE15C5"/>
    <w:rsid w:val="00BE4C17"/>
    <w:rsid w:val="00BE4FF7"/>
    <w:rsid w:val="00BE760C"/>
    <w:rsid w:val="00BF1B09"/>
    <w:rsid w:val="00BF5D88"/>
    <w:rsid w:val="00BF73F3"/>
    <w:rsid w:val="00C03648"/>
    <w:rsid w:val="00C04A99"/>
    <w:rsid w:val="00C06233"/>
    <w:rsid w:val="00C0643D"/>
    <w:rsid w:val="00C07351"/>
    <w:rsid w:val="00C10907"/>
    <w:rsid w:val="00C15B34"/>
    <w:rsid w:val="00C16CEC"/>
    <w:rsid w:val="00C232E2"/>
    <w:rsid w:val="00C24751"/>
    <w:rsid w:val="00C27F83"/>
    <w:rsid w:val="00C33DD4"/>
    <w:rsid w:val="00C34C1D"/>
    <w:rsid w:val="00C406F6"/>
    <w:rsid w:val="00C40898"/>
    <w:rsid w:val="00C416C0"/>
    <w:rsid w:val="00C44A50"/>
    <w:rsid w:val="00C46AD9"/>
    <w:rsid w:val="00C503AD"/>
    <w:rsid w:val="00C522F6"/>
    <w:rsid w:val="00C52A89"/>
    <w:rsid w:val="00C53C47"/>
    <w:rsid w:val="00C53CB9"/>
    <w:rsid w:val="00C611C8"/>
    <w:rsid w:val="00C64E73"/>
    <w:rsid w:val="00C6522D"/>
    <w:rsid w:val="00C6652C"/>
    <w:rsid w:val="00C67D21"/>
    <w:rsid w:val="00C7025D"/>
    <w:rsid w:val="00C74AD6"/>
    <w:rsid w:val="00C7549C"/>
    <w:rsid w:val="00C8011A"/>
    <w:rsid w:val="00C85D59"/>
    <w:rsid w:val="00C86664"/>
    <w:rsid w:val="00C871FA"/>
    <w:rsid w:val="00C87A9A"/>
    <w:rsid w:val="00C93556"/>
    <w:rsid w:val="00C9737B"/>
    <w:rsid w:val="00C97390"/>
    <w:rsid w:val="00CA518E"/>
    <w:rsid w:val="00CA7BE7"/>
    <w:rsid w:val="00CB0230"/>
    <w:rsid w:val="00CB5663"/>
    <w:rsid w:val="00CB6E2F"/>
    <w:rsid w:val="00CB76B4"/>
    <w:rsid w:val="00CC0480"/>
    <w:rsid w:val="00CC1A5C"/>
    <w:rsid w:val="00CC1C97"/>
    <w:rsid w:val="00CC627B"/>
    <w:rsid w:val="00CC70A8"/>
    <w:rsid w:val="00CC73F6"/>
    <w:rsid w:val="00CD0526"/>
    <w:rsid w:val="00CD2ACA"/>
    <w:rsid w:val="00CD311F"/>
    <w:rsid w:val="00CD6E72"/>
    <w:rsid w:val="00CE0EE1"/>
    <w:rsid w:val="00CE239F"/>
    <w:rsid w:val="00CE4AC3"/>
    <w:rsid w:val="00CE7B06"/>
    <w:rsid w:val="00D00B31"/>
    <w:rsid w:val="00D00E8F"/>
    <w:rsid w:val="00D01C80"/>
    <w:rsid w:val="00D079D8"/>
    <w:rsid w:val="00D10781"/>
    <w:rsid w:val="00D10D52"/>
    <w:rsid w:val="00D10EB0"/>
    <w:rsid w:val="00D15D78"/>
    <w:rsid w:val="00D179C4"/>
    <w:rsid w:val="00D21277"/>
    <w:rsid w:val="00D2145B"/>
    <w:rsid w:val="00D21EE9"/>
    <w:rsid w:val="00D222B5"/>
    <w:rsid w:val="00D2253F"/>
    <w:rsid w:val="00D22612"/>
    <w:rsid w:val="00D25A9E"/>
    <w:rsid w:val="00D3079A"/>
    <w:rsid w:val="00D309C7"/>
    <w:rsid w:val="00D313E2"/>
    <w:rsid w:val="00D31686"/>
    <w:rsid w:val="00D327A7"/>
    <w:rsid w:val="00D332CE"/>
    <w:rsid w:val="00D33AD8"/>
    <w:rsid w:val="00D402B3"/>
    <w:rsid w:val="00D40AF7"/>
    <w:rsid w:val="00D417F7"/>
    <w:rsid w:val="00D45033"/>
    <w:rsid w:val="00D45C2D"/>
    <w:rsid w:val="00D479D0"/>
    <w:rsid w:val="00D52949"/>
    <w:rsid w:val="00D6175B"/>
    <w:rsid w:val="00D621FE"/>
    <w:rsid w:val="00D631F2"/>
    <w:rsid w:val="00D70CF5"/>
    <w:rsid w:val="00D757BD"/>
    <w:rsid w:val="00D80CCD"/>
    <w:rsid w:val="00D8103A"/>
    <w:rsid w:val="00D8385B"/>
    <w:rsid w:val="00D90FAF"/>
    <w:rsid w:val="00D934C4"/>
    <w:rsid w:val="00D948DF"/>
    <w:rsid w:val="00DA114E"/>
    <w:rsid w:val="00DA332D"/>
    <w:rsid w:val="00DA3889"/>
    <w:rsid w:val="00DB092C"/>
    <w:rsid w:val="00DB0D1B"/>
    <w:rsid w:val="00DB1E7E"/>
    <w:rsid w:val="00DB42D8"/>
    <w:rsid w:val="00DB44AB"/>
    <w:rsid w:val="00DB5635"/>
    <w:rsid w:val="00DB6158"/>
    <w:rsid w:val="00DB6964"/>
    <w:rsid w:val="00DB781F"/>
    <w:rsid w:val="00DB7DD7"/>
    <w:rsid w:val="00DC17FD"/>
    <w:rsid w:val="00DC2095"/>
    <w:rsid w:val="00DC46DB"/>
    <w:rsid w:val="00DC4948"/>
    <w:rsid w:val="00DC6E41"/>
    <w:rsid w:val="00DC7D73"/>
    <w:rsid w:val="00DD0536"/>
    <w:rsid w:val="00DD055D"/>
    <w:rsid w:val="00DD198A"/>
    <w:rsid w:val="00DD2296"/>
    <w:rsid w:val="00DD61D5"/>
    <w:rsid w:val="00DE283E"/>
    <w:rsid w:val="00DE3FA4"/>
    <w:rsid w:val="00DE40D8"/>
    <w:rsid w:val="00DE59CF"/>
    <w:rsid w:val="00DE5CA5"/>
    <w:rsid w:val="00DE6372"/>
    <w:rsid w:val="00DF0D55"/>
    <w:rsid w:val="00DF126E"/>
    <w:rsid w:val="00DF4893"/>
    <w:rsid w:val="00DF55DF"/>
    <w:rsid w:val="00DF77FA"/>
    <w:rsid w:val="00DF7F9B"/>
    <w:rsid w:val="00E05D1C"/>
    <w:rsid w:val="00E06970"/>
    <w:rsid w:val="00E07CA0"/>
    <w:rsid w:val="00E15FB0"/>
    <w:rsid w:val="00E20E28"/>
    <w:rsid w:val="00E215C5"/>
    <w:rsid w:val="00E23E91"/>
    <w:rsid w:val="00E24D89"/>
    <w:rsid w:val="00E315BA"/>
    <w:rsid w:val="00E3200E"/>
    <w:rsid w:val="00E329BC"/>
    <w:rsid w:val="00E361A8"/>
    <w:rsid w:val="00E366E0"/>
    <w:rsid w:val="00E36A65"/>
    <w:rsid w:val="00E37224"/>
    <w:rsid w:val="00E41DA5"/>
    <w:rsid w:val="00E5627E"/>
    <w:rsid w:val="00E56C15"/>
    <w:rsid w:val="00E617D5"/>
    <w:rsid w:val="00E619E0"/>
    <w:rsid w:val="00E63151"/>
    <w:rsid w:val="00E63250"/>
    <w:rsid w:val="00E64EC9"/>
    <w:rsid w:val="00E67BA4"/>
    <w:rsid w:val="00E70F8F"/>
    <w:rsid w:val="00E710E2"/>
    <w:rsid w:val="00E756B9"/>
    <w:rsid w:val="00E76C13"/>
    <w:rsid w:val="00E76ECB"/>
    <w:rsid w:val="00E80813"/>
    <w:rsid w:val="00E83914"/>
    <w:rsid w:val="00E84B4E"/>
    <w:rsid w:val="00E84C05"/>
    <w:rsid w:val="00E84FF4"/>
    <w:rsid w:val="00E86336"/>
    <w:rsid w:val="00E866D9"/>
    <w:rsid w:val="00E877D4"/>
    <w:rsid w:val="00EA1F03"/>
    <w:rsid w:val="00EA3402"/>
    <w:rsid w:val="00EA45FE"/>
    <w:rsid w:val="00EA5C83"/>
    <w:rsid w:val="00EB06B0"/>
    <w:rsid w:val="00EB59BE"/>
    <w:rsid w:val="00EB7291"/>
    <w:rsid w:val="00EC00B8"/>
    <w:rsid w:val="00EC1A21"/>
    <w:rsid w:val="00EC704E"/>
    <w:rsid w:val="00EC78D1"/>
    <w:rsid w:val="00ED6BEF"/>
    <w:rsid w:val="00ED6FA8"/>
    <w:rsid w:val="00EE1D4C"/>
    <w:rsid w:val="00EE2048"/>
    <w:rsid w:val="00EE3006"/>
    <w:rsid w:val="00EE43B9"/>
    <w:rsid w:val="00EF0477"/>
    <w:rsid w:val="00EF1108"/>
    <w:rsid w:val="00EF1E00"/>
    <w:rsid w:val="00EF4A45"/>
    <w:rsid w:val="00EF57AD"/>
    <w:rsid w:val="00EF65DD"/>
    <w:rsid w:val="00EF68BB"/>
    <w:rsid w:val="00EF6B5C"/>
    <w:rsid w:val="00F007ED"/>
    <w:rsid w:val="00F00E6E"/>
    <w:rsid w:val="00F01523"/>
    <w:rsid w:val="00F01739"/>
    <w:rsid w:val="00F040AF"/>
    <w:rsid w:val="00F04C0C"/>
    <w:rsid w:val="00F055C4"/>
    <w:rsid w:val="00F0603D"/>
    <w:rsid w:val="00F07966"/>
    <w:rsid w:val="00F1697D"/>
    <w:rsid w:val="00F2682F"/>
    <w:rsid w:val="00F27C78"/>
    <w:rsid w:val="00F334DC"/>
    <w:rsid w:val="00F335F0"/>
    <w:rsid w:val="00F33F21"/>
    <w:rsid w:val="00F34946"/>
    <w:rsid w:val="00F4078D"/>
    <w:rsid w:val="00F41B6C"/>
    <w:rsid w:val="00F43171"/>
    <w:rsid w:val="00F446B3"/>
    <w:rsid w:val="00F45174"/>
    <w:rsid w:val="00F46E3D"/>
    <w:rsid w:val="00F5378A"/>
    <w:rsid w:val="00F60E9B"/>
    <w:rsid w:val="00F6317A"/>
    <w:rsid w:val="00F64AC4"/>
    <w:rsid w:val="00F64BE7"/>
    <w:rsid w:val="00F66B1A"/>
    <w:rsid w:val="00F7037A"/>
    <w:rsid w:val="00F73E25"/>
    <w:rsid w:val="00F74B18"/>
    <w:rsid w:val="00F76A52"/>
    <w:rsid w:val="00F820EF"/>
    <w:rsid w:val="00F82455"/>
    <w:rsid w:val="00F84DF8"/>
    <w:rsid w:val="00F859D3"/>
    <w:rsid w:val="00F92523"/>
    <w:rsid w:val="00FA1BDE"/>
    <w:rsid w:val="00FA3D44"/>
    <w:rsid w:val="00FA480B"/>
    <w:rsid w:val="00FB0349"/>
    <w:rsid w:val="00FB24AF"/>
    <w:rsid w:val="00FB314F"/>
    <w:rsid w:val="00FC080B"/>
    <w:rsid w:val="00FC30A1"/>
    <w:rsid w:val="00FC47DE"/>
    <w:rsid w:val="00FC50FD"/>
    <w:rsid w:val="00FD0CDC"/>
    <w:rsid w:val="00FD37F9"/>
    <w:rsid w:val="00FD3E9A"/>
    <w:rsid w:val="00FD6D21"/>
    <w:rsid w:val="00FE12A7"/>
    <w:rsid w:val="00FE1555"/>
    <w:rsid w:val="00FE2AC4"/>
    <w:rsid w:val="00FE4EEB"/>
    <w:rsid w:val="00FF11DB"/>
    <w:rsid w:val="00FF17BD"/>
    <w:rsid w:val="00FF337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868B93"/>
  <w15:docId w15:val="{286591FF-AFBD-4E3E-8E0B-BDB193D1A5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F4521"/>
  </w:style>
  <w:style w:type="paragraph" w:styleId="Heading1">
    <w:name w:val="heading 1"/>
    <w:basedOn w:val="Normal"/>
    <w:next w:val="Normal"/>
    <w:link w:val="Heading1Char"/>
    <w:uiPriority w:val="9"/>
    <w:qFormat/>
    <w:rsid w:val="004D2A4A"/>
    <w:pPr>
      <w:keepNext/>
      <w:keepLines/>
      <w:spacing w:before="240" w:after="0"/>
      <w:outlineLvl w:val="0"/>
    </w:pPr>
    <w:rPr>
      <w:rFonts w:asciiTheme="majorHAnsi" w:eastAsiaTheme="majorEastAsia" w:hAnsiTheme="majorHAnsi" w:cstheme="majorBidi"/>
      <w:color w:val="A5A5A5" w:themeColor="accent1" w:themeShade="BF"/>
      <w:sz w:val="32"/>
      <w:szCs w:val="32"/>
    </w:rPr>
  </w:style>
  <w:style w:type="paragraph" w:styleId="Heading2">
    <w:name w:val="heading 2"/>
    <w:basedOn w:val="Normal"/>
    <w:next w:val="Normal"/>
    <w:link w:val="Heading2Char"/>
    <w:uiPriority w:val="9"/>
    <w:unhideWhenUsed/>
    <w:qFormat/>
    <w:rsid w:val="004D2A4A"/>
    <w:pPr>
      <w:keepNext/>
      <w:keepLines/>
      <w:spacing w:before="40" w:after="0"/>
      <w:outlineLvl w:val="1"/>
    </w:pPr>
    <w:rPr>
      <w:rFonts w:asciiTheme="majorHAnsi" w:eastAsiaTheme="majorEastAsia" w:hAnsiTheme="majorHAnsi" w:cstheme="majorBidi"/>
      <w:color w:val="A5A5A5" w:themeColor="accent1" w:themeShade="BF"/>
      <w:sz w:val="26"/>
      <w:szCs w:val="26"/>
    </w:rPr>
  </w:style>
  <w:style w:type="paragraph" w:styleId="Heading3">
    <w:name w:val="heading 3"/>
    <w:basedOn w:val="Normal"/>
    <w:next w:val="Normal"/>
    <w:pPr>
      <w:keepNext/>
      <w:keepLines/>
      <w:spacing w:before="280" w:after="80"/>
      <w:outlineLvl w:val="2"/>
    </w:pPr>
    <w:rPr>
      <w:sz w:val="28"/>
      <w:szCs w:val="28"/>
    </w:rPr>
  </w:style>
  <w:style w:type="paragraph" w:styleId="Heading4">
    <w:name w:val="heading 4"/>
    <w:basedOn w:val="Normal"/>
    <w:next w:val="Normal"/>
    <w:pPr>
      <w:keepNext/>
      <w:keepLines/>
      <w:spacing w:before="240" w:after="40"/>
      <w:outlineLvl w:val="3"/>
    </w:pPr>
  </w:style>
  <w:style w:type="paragraph" w:styleId="Heading5">
    <w:name w:val="heading 5"/>
    <w:basedOn w:val="Normal"/>
    <w:next w:val="Normal"/>
    <w:pPr>
      <w:keepNext/>
      <w:keepLines/>
      <w:spacing w:before="220" w:after="40"/>
      <w:outlineLvl w:val="4"/>
    </w:pPr>
    <w:rPr>
      <w:sz w:val="22"/>
      <w:szCs w:val="22"/>
    </w:rPr>
  </w:style>
  <w:style w:type="paragraph" w:styleId="Heading6">
    <w:name w:val="heading 6"/>
    <w:basedOn w:val="Normal"/>
    <w:next w:val="Normal"/>
    <w:pPr>
      <w:keepNext/>
      <w:keepLines/>
      <w:spacing w:before="200" w:after="40"/>
      <w:outlineLvl w:val="5"/>
    </w:pPr>
    <w:rPr>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sz w:val="72"/>
      <w:szCs w:val="72"/>
    </w:rPr>
  </w:style>
  <w:style w:type="table" w:styleId="TableGrid">
    <w:name w:val="Table Grid"/>
    <w:basedOn w:val="TableNormal"/>
    <w:uiPriority w:val="39"/>
    <w:rsid w:val="000240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B69CA"/>
    <w:pPr>
      <w:ind w:left="720"/>
      <w:contextualSpacing/>
    </w:pPr>
  </w:style>
  <w:style w:type="paragraph" w:styleId="BalloonText">
    <w:name w:val="Balloon Text"/>
    <w:basedOn w:val="Normal"/>
    <w:link w:val="BalloonTextChar"/>
    <w:uiPriority w:val="99"/>
    <w:semiHidden/>
    <w:unhideWhenUsed/>
    <w:rsid w:val="006B69C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B69CA"/>
    <w:rPr>
      <w:rFonts w:ascii="Segoe UI" w:hAnsi="Segoe UI" w:cs="Segoe UI"/>
      <w:sz w:val="18"/>
      <w:szCs w:val="18"/>
    </w:rPr>
  </w:style>
  <w:style w:type="character" w:customStyle="1" w:styleId="Heading1Char">
    <w:name w:val="Heading 1 Char"/>
    <w:basedOn w:val="DefaultParagraphFont"/>
    <w:link w:val="Heading1"/>
    <w:uiPriority w:val="9"/>
    <w:rsid w:val="004D2A4A"/>
    <w:rPr>
      <w:rFonts w:asciiTheme="majorHAnsi" w:eastAsiaTheme="majorEastAsia" w:hAnsiTheme="majorHAnsi" w:cstheme="majorBidi"/>
      <w:color w:val="A5A5A5" w:themeColor="accent1" w:themeShade="BF"/>
      <w:sz w:val="32"/>
      <w:szCs w:val="32"/>
    </w:rPr>
  </w:style>
  <w:style w:type="character" w:customStyle="1" w:styleId="Heading2Char">
    <w:name w:val="Heading 2 Char"/>
    <w:basedOn w:val="DefaultParagraphFont"/>
    <w:link w:val="Heading2"/>
    <w:uiPriority w:val="9"/>
    <w:rsid w:val="004D2A4A"/>
    <w:rPr>
      <w:rFonts w:asciiTheme="majorHAnsi" w:eastAsiaTheme="majorEastAsia" w:hAnsiTheme="majorHAnsi" w:cstheme="majorBidi"/>
      <w:color w:val="A5A5A5" w:themeColor="accent1" w:themeShade="BF"/>
      <w:sz w:val="26"/>
      <w:szCs w:val="26"/>
    </w:rPr>
  </w:style>
  <w:style w:type="character" w:styleId="CommentReference">
    <w:name w:val="annotation reference"/>
    <w:basedOn w:val="DefaultParagraphFont"/>
    <w:uiPriority w:val="99"/>
    <w:semiHidden/>
    <w:unhideWhenUsed/>
    <w:rsid w:val="00FE33A5"/>
    <w:rPr>
      <w:sz w:val="16"/>
      <w:szCs w:val="16"/>
    </w:rPr>
  </w:style>
  <w:style w:type="paragraph" w:styleId="CommentText">
    <w:name w:val="annotation text"/>
    <w:basedOn w:val="Normal"/>
    <w:link w:val="CommentTextChar"/>
    <w:uiPriority w:val="99"/>
    <w:unhideWhenUsed/>
    <w:rsid w:val="00FE33A5"/>
    <w:pPr>
      <w:spacing w:line="240" w:lineRule="auto"/>
    </w:pPr>
    <w:rPr>
      <w:sz w:val="20"/>
      <w:szCs w:val="20"/>
    </w:rPr>
  </w:style>
  <w:style w:type="character" w:customStyle="1" w:styleId="CommentTextChar">
    <w:name w:val="Comment Text Char"/>
    <w:basedOn w:val="DefaultParagraphFont"/>
    <w:link w:val="CommentText"/>
    <w:uiPriority w:val="99"/>
    <w:rsid w:val="00FE33A5"/>
    <w:rPr>
      <w:sz w:val="20"/>
      <w:szCs w:val="20"/>
    </w:rPr>
  </w:style>
  <w:style w:type="paragraph" w:styleId="CommentSubject">
    <w:name w:val="annotation subject"/>
    <w:basedOn w:val="CommentText"/>
    <w:next w:val="CommentText"/>
    <w:link w:val="CommentSubjectChar"/>
    <w:uiPriority w:val="99"/>
    <w:semiHidden/>
    <w:unhideWhenUsed/>
    <w:rsid w:val="00FE33A5"/>
    <w:rPr>
      <w:bCs/>
    </w:rPr>
  </w:style>
  <w:style w:type="character" w:customStyle="1" w:styleId="CommentSubjectChar">
    <w:name w:val="Comment Subject Char"/>
    <w:basedOn w:val="CommentTextChar"/>
    <w:link w:val="CommentSubject"/>
    <w:uiPriority w:val="99"/>
    <w:semiHidden/>
    <w:rsid w:val="00FE33A5"/>
    <w:rPr>
      <w:b w:val="0"/>
      <w:bCs/>
      <w:sz w:val="20"/>
      <w:szCs w:val="20"/>
    </w:rPr>
  </w:style>
  <w:style w:type="paragraph" w:styleId="EndnoteText">
    <w:name w:val="endnote text"/>
    <w:basedOn w:val="Normal"/>
    <w:link w:val="EndnoteTextChar"/>
    <w:uiPriority w:val="99"/>
    <w:semiHidden/>
    <w:unhideWhenUsed/>
    <w:rsid w:val="0093535E"/>
    <w:pPr>
      <w:spacing w:after="0" w:line="240" w:lineRule="auto"/>
    </w:pPr>
    <w:rPr>
      <w:sz w:val="20"/>
      <w:szCs w:val="20"/>
    </w:rPr>
  </w:style>
  <w:style w:type="character" w:customStyle="1" w:styleId="EndnoteTextChar">
    <w:name w:val="Endnote Text Char"/>
    <w:basedOn w:val="DefaultParagraphFont"/>
    <w:link w:val="EndnoteText"/>
    <w:uiPriority w:val="99"/>
    <w:semiHidden/>
    <w:rsid w:val="0093535E"/>
    <w:rPr>
      <w:sz w:val="20"/>
      <w:szCs w:val="20"/>
    </w:rPr>
  </w:style>
  <w:style w:type="character" w:styleId="EndnoteReference">
    <w:name w:val="endnote reference"/>
    <w:basedOn w:val="DefaultParagraphFont"/>
    <w:uiPriority w:val="99"/>
    <w:semiHidden/>
    <w:unhideWhenUsed/>
    <w:rsid w:val="0093535E"/>
    <w:rPr>
      <w:vertAlign w:val="superscript"/>
    </w:rPr>
  </w:style>
  <w:style w:type="paragraph" w:styleId="FootnoteText">
    <w:name w:val="footnote text"/>
    <w:basedOn w:val="Normal"/>
    <w:link w:val="FootnoteTextChar"/>
    <w:uiPriority w:val="99"/>
    <w:semiHidden/>
    <w:unhideWhenUsed/>
    <w:rsid w:val="004F08B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F08BE"/>
    <w:rPr>
      <w:sz w:val="20"/>
      <w:szCs w:val="20"/>
    </w:rPr>
  </w:style>
  <w:style w:type="character" w:styleId="FootnoteReference">
    <w:name w:val="footnote reference"/>
    <w:basedOn w:val="DefaultParagraphFont"/>
    <w:uiPriority w:val="99"/>
    <w:semiHidden/>
    <w:unhideWhenUsed/>
    <w:rsid w:val="004F08BE"/>
    <w:rPr>
      <w:vertAlign w:val="superscript"/>
    </w:rPr>
  </w:style>
  <w:style w:type="paragraph" w:styleId="Header">
    <w:name w:val="header"/>
    <w:basedOn w:val="Normal"/>
    <w:link w:val="HeaderChar"/>
    <w:uiPriority w:val="99"/>
    <w:unhideWhenUsed/>
    <w:rsid w:val="00CE530A"/>
    <w:pPr>
      <w:tabs>
        <w:tab w:val="center" w:pos="4680"/>
        <w:tab w:val="right" w:pos="9360"/>
      </w:tabs>
      <w:spacing w:after="0" w:line="240" w:lineRule="auto"/>
    </w:pPr>
  </w:style>
  <w:style w:type="character" w:customStyle="1" w:styleId="HeaderChar">
    <w:name w:val="Header Char"/>
    <w:basedOn w:val="DefaultParagraphFont"/>
    <w:link w:val="Header"/>
    <w:uiPriority w:val="99"/>
    <w:rsid w:val="00CE530A"/>
  </w:style>
  <w:style w:type="paragraph" w:styleId="Footer">
    <w:name w:val="footer"/>
    <w:basedOn w:val="Normal"/>
    <w:link w:val="FooterChar"/>
    <w:uiPriority w:val="99"/>
    <w:unhideWhenUsed/>
    <w:rsid w:val="00CE530A"/>
    <w:pPr>
      <w:tabs>
        <w:tab w:val="center" w:pos="4680"/>
        <w:tab w:val="right" w:pos="9360"/>
      </w:tabs>
      <w:spacing w:after="0" w:line="240" w:lineRule="auto"/>
    </w:pPr>
  </w:style>
  <w:style w:type="character" w:customStyle="1" w:styleId="FooterChar">
    <w:name w:val="Footer Char"/>
    <w:basedOn w:val="DefaultParagraphFont"/>
    <w:link w:val="Footer"/>
    <w:uiPriority w:val="99"/>
    <w:rsid w:val="00CE530A"/>
  </w:style>
  <w:style w:type="paragraph" w:styleId="NormalWeb">
    <w:name w:val="Normal (Web)"/>
    <w:basedOn w:val="Normal"/>
    <w:uiPriority w:val="99"/>
    <w:semiHidden/>
    <w:unhideWhenUsed/>
    <w:rsid w:val="00980022"/>
    <w:pPr>
      <w:spacing w:before="100" w:beforeAutospacing="1" w:after="100" w:afterAutospacing="1" w:line="240" w:lineRule="auto"/>
    </w:pPr>
    <w:rPr>
      <w:rFonts w:ascii="Times New Roman" w:eastAsia="Times New Roman" w:hAnsi="Times New Roman" w:cs="Times New Roman"/>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pPr>
      <w:spacing w:after="0" w:line="240" w:lineRule="auto"/>
    </w:pPr>
    <w:tblPr>
      <w:tblStyleRowBandSize w:val="1"/>
      <w:tblStyleColBandSize w:val="1"/>
    </w:tblPr>
  </w:style>
  <w:style w:type="table" w:customStyle="1" w:styleId="a2">
    <w:basedOn w:val="TableNormal"/>
    <w:pPr>
      <w:spacing w:after="0" w:line="240" w:lineRule="auto"/>
    </w:pPr>
    <w:tblPr>
      <w:tblStyleRowBandSize w:val="1"/>
      <w:tblStyleColBandSize w:val="1"/>
    </w:tblPr>
  </w:style>
  <w:style w:type="table" w:customStyle="1" w:styleId="a3">
    <w:basedOn w:val="TableNormal"/>
    <w:pPr>
      <w:spacing w:after="0" w:line="240" w:lineRule="auto"/>
    </w:pPr>
    <w:tblPr>
      <w:tblStyleRowBandSize w:val="1"/>
      <w:tblStyleColBandSize w:val="1"/>
    </w:tblPr>
  </w:style>
  <w:style w:type="table" w:customStyle="1" w:styleId="a4">
    <w:basedOn w:val="TableNormal"/>
    <w:pPr>
      <w:spacing w:after="0" w:line="240" w:lineRule="auto"/>
    </w:pPr>
    <w:tblPr>
      <w:tblStyleRowBandSize w:val="1"/>
      <w:tblStyleColBandSize w:val="1"/>
    </w:tblPr>
  </w:style>
  <w:style w:type="table" w:customStyle="1" w:styleId="a5">
    <w:basedOn w:val="TableNormal"/>
    <w:tblPr>
      <w:tblStyleRowBandSize w:val="1"/>
      <w:tblStyleColBandSize w:val="1"/>
      <w:tblCellMar>
        <w:top w:w="100" w:type="dxa"/>
        <w:left w:w="100" w:type="dxa"/>
        <w:bottom w:w="100" w:type="dxa"/>
        <w:right w:w="100" w:type="dxa"/>
      </w:tblCellMar>
    </w:tblPr>
  </w:style>
  <w:style w:type="table" w:customStyle="1" w:styleId="a6">
    <w:basedOn w:val="TableNormal"/>
    <w:pPr>
      <w:spacing w:after="0" w:line="240" w:lineRule="auto"/>
    </w:pPr>
    <w:tblPr>
      <w:tblStyleRowBandSize w:val="1"/>
      <w:tblStyleColBandSize w:val="1"/>
      <w:tblCellMar>
        <w:top w:w="100" w:type="dxa"/>
        <w:left w:w="100" w:type="dxa"/>
        <w:bottom w:w="100" w:type="dxa"/>
        <w:right w:w="100" w:type="dxa"/>
      </w:tblCellMar>
    </w:tblPr>
  </w:style>
  <w:style w:type="table" w:customStyle="1" w:styleId="a7">
    <w:basedOn w:val="TableNormal"/>
    <w:pPr>
      <w:spacing w:after="0" w:line="240" w:lineRule="auto"/>
    </w:pPr>
    <w:tblPr>
      <w:tblStyleRowBandSize w:val="1"/>
      <w:tblStyleColBandSize w:val="1"/>
      <w:tblCellMar>
        <w:top w:w="100" w:type="dxa"/>
        <w:left w:w="100" w:type="dxa"/>
        <w:bottom w:w="100" w:type="dxa"/>
        <w:right w:w="100" w:type="dxa"/>
      </w:tblCellMar>
    </w:tblPr>
  </w:style>
  <w:style w:type="table" w:customStyle="1" w:styleId="a8">
    <w:basedOn w:val="TableNormal"/>
    <w:pPr>
      <w:spacing w:after="0" w:line="240" w:lineRule="auto"/>
    </w:pPr>
    <w:tblPr>
      <w:tblStyleRowBandSize w:val="1"/>
      <w:tblStyleColBandSize w:val="1"/>
      <w:tblCellMar>
        <w:top w:w="100" w:type="dxa"/>
        <w:left w:w="100" w:type="dxa"/>
        <w:bottom w:w="100" w:type="dxa"/>
        <w:right w:w="100" w:type="dxa"/>
      </w:tblCellMar>
    </w:tblPr>
  </w:style>
  <w:style w:type="table" w:customStyle="1" w:styleId="a9">
    <w:basedOn w:val="TableNormal"/>
    <w:pPr>
      <w:spacing w:after="0" w:line="240" w:lineRule="auto"/>
    </w:pPr>
    <w:tblPr>
      <w:tblStyleRowBandSize w:val="1"/>
      <w:tblStyleColBandSize w:val="1"/>
      <w:tblCellMar>
        <w:top w:w="100" w:type="dxa"/>
        <w:left w:w="100" w:type="dxa"/>
        <w:bottom w:w="100" w:type="dxa"/>
        <w:right w:w="100" w:type="dxa"/>
      </w:tblCellMar>
    </w:tblPr>
  </w:style>
  <w:style w:type="table" w:customStyle="1" w:styleId="aa">
    <w:basedOn w:val="TableNormal"/>
    <w:pPr>
      <w:spacing w:after="0" w:line="240" w:lineRule="auto"/>
    </w:pPr>
    <w:tblPr>
      <w:tblStyleRowBandSize w:val="1"/>
      <w:tblStyleColBandSize w:val="1"/>
      <w:tblCellMar>
        <w:top w:w="100" w:type="dxa"/>
        <w:left w:w="100" w:type="dxa"/>
        <w:bottom w:w="100" w:type="dxa"/>
        <w:right w:w="100" w:type="dxa"/>
      </w:tblCellMar>
    </w:tblPr>
  </w:style>
  <w:style w:type="table" w:customStyle="1" w:styleId="ab">
    <w:basedOn w:val="TableNormal"/>
    <w:pPr>
      <w:spacing w:after="0" w:line="240" w:lineRule="auto"/>
    </w:pPr>
    <w:tblPr>
      <w:tblStyleRowBandSize w:val="1"/>
      <w:tblStyleColBandSize w:val="1"/>
      <w:tblCellMar>
        <w:top w:w="100" w:type="dxa"/>
        <w:left w:w="100" w:type="dxa"/>
        <w:bottom w:w="100" w:type="dxa"/>
        <w:right w:w="100" w:type="dxa"/>
      </w:tblCellMar>
    </w:tblPr>
  </w:style>
  <w:style w:type="character" w:styleId="Strong">
    <w:name w:val="Strong"/>
    <w:basedOn w:val="DefaultParagraphFont"/>
    <w:uiPriority w:val="22"/>
    <w:qFormat/>
    <w:rsid w:val="003A3BC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412214">
      <w:bodyDiv w:val="1"/>
      <w:marLeft w:val="0"/>
      <w:marRight w:val="0"/>
      <w:marTop w:val="0"/>
      <w:marBottom w:val="0"/>
      <w:divBdr>
        <w:top w:val="none" w:sz="0" w:space="0" w:color="auto"/>
        <w:left w:val="none" w:sz="0" w:space="0" w:color="auto"/>
        <w:bottom w:val="none" w:sz="0" w:space="0" w:color="auto"/>
        <w:right w:val="none" w:sz="0" w:space="0" w:color="auto"/>
      </w:divBdr>
    </w:div>
    <w:div w:id="111218842">
      <w:bodyDiv w:val="1"/>
      <w:marLeft w:val="0"/>
      <w:marRight w:val="0"/>
      <w:marTop w:val="0"/>
      <w:marBottom w:val="0"/>
      <w:divBdr>
        <w:top w:val="none" w:sz="0" w:space="0" w:color="auto"/>
        <w:left w:val="none" w:sz="0" w:space="0" w:color="auto"/>
        <w:bottom w:val="none" w:sz="0" w:space="0" w:color="auto"/>
        <w:right w:val="none" w:sz="0" w:space="0" w:color="auto"/>
      </w:divBdr>
    </w:div>
    <w:div w:id="135421079">
      <w:bodyDiv w:val="1"/>
      <w:marLeft w:val="0"/>
      <w:marRight w:val="0"/>
      <w:marTop w:val="0"/>
      <w:marBottom w:val="0"/>
      <w:divBdr>
        <w:top w:val="none" w:sz="0" w:space="0" w:color="auto"/>
        <w:left w:val="none" w:sz="0" w:space="0" w:color="auto"/>
        <w:bottom w:val="none" w:sz="0" w:space="0" w:color="auto"/>
        <w:right w:val="none" w:sz="0" w:space="0" w:color="auto"/>
      </w:divBdr>
    </w:div>
    <w:div w:id="136842234">
      <w:bodyDiv w:val="1"/>
      <w:marLeft w:val="0"/>
      <w:marRight w:val="0"/>
      <w:marTop w:val="0"/>
      <w:marBottom w:val="0"/>
      <w:divBdr>
        <w:top w:val="none" w:sz="0" w:space="0" w:color="auto"/>
        <w:left w:val="none" w:sz="0" w:space="0" w:color="auto"/>
        <w:bottom w:val="none" w:sz="0" w:space="0" w:color="auto"/>
        <w:right w:val="none" w:sz="0" w:space="0" w:color="auto"/>
      </w:divBdr>
    </w:div>
    <w:div w:id="154227803">
      <w:bodyDiv w:val="1"/>
      <w:marLeft w:val="0"/>
      <w:marRight w:val="0"/>
      <w:marTop w:val="0"/>
      <w:marBottom w:val="0"/>
      <w:divBdr>
        <w:top w:val="none" w:sz="0" w:space="0" w:color="auto"/>
        <w:left w:val="none" w:sz="0" w:space="0" w:color="auto"/>
        <w:bottom w:val="none" w:sz="0" w:space="0" w:color="auto"/>
        <w:right w:val="none" w:sz="0" w:space="0" w:color="auto"/>
      </w:divBdr>
    </w:div>
    <w:div w:id="211353840">
      <w:bodyDiv w:val="1"/>
      <w:marLeft w:val="0"/>
      <w:marRight w:val="0"/>
      <w:marTop w:val="0"/>
      <w:marBottom w:val="0"/>
      <w:divBdr>
        <w:top w:val="none" w:sz="0" w:space="0" w:color="auto"/>
        <w:left w:val="none" w:sz="0" w:space="0" w:color="auto"/>
        <w:bottom w:val="none" w:sz="0" w:space="0" w:color="auto"/>
        <w:right w:val="none" w:sz="0" w:space="0" w:color="auto"/>
      </w:divBdr>
    </w:div>
    <w:div w:id="226720692">
      <w:bodyDiv w:val="1"/>
      <w:marLeft w:val="0"/>
      <w:marRight w:val="0"/>
      <w:marTop w:val="0"/>
      <w:marBottom w:val="0"/>
      <w:divBdr>
        <w:top w:val="none" w:sz="0" w:space="0" w:color="auto"/>
        <w:left w:val="none" w:sz="0" w:space="0" w:color="auto"/>
        <w:bottom w:val="none" w:sz="0" w:space="0" w:color="auto"/>
        <w:right w:val="none" w:sz="0" w:space="0" w:color="auto"/>
      </w:divBdr>
    </w:div>
    <w:div w:id="260531869">
      <w:bodyDiv w:val="1"/>
      <w:marLeft w:val="0"/>
      <w:marRight w:val="0"/>
      <w:marTop w:val="0"/>
      <w:marBottom w:val="0"/>
      <w:divBdr>
        <w:top w:val="none" w:sz="0" w:space="0" w:color="auto"/>
        <w:left w:val="none" w:sz="0" w:space="0" w:color="auto"/>
        <w:bottom w:val="none" w:sz="0" w:space="0" w:color="auto"/>
        <w:right w:val="none" w:sz="0" w:space="0" w:color="auto"/>
      </w:divBdr>
    </w:div>
    <w:div w:id="266885251">
      <w:bodyDiv w:val="1"/>
      <w:marLeft w:val="0"/>
      <w:marRight w:val="0"/>
      <w:marTop w:val="0"/>
      <w:marBottom w:val="0"/>
      <w:divBdr>
        <w:top w:val="none" w:sz="0" w:space="0" w:color="auto"/>
        <w:left w:val="none" w:sz="0" w:space="0" w:color="auto"/>
        <w:bottom w:val="none" w:sz="0" w:space="0" w:color="auto"/>
        <w:right w:val="none" w:sz="0" w:space="0" w:color="auto"/>
      </w:divBdr>
    </w:div>
    <w:div w:id="275139679">
      <w:bodyDiv w:val="1"/>
      <w:marLeft w:val="0"/>
      <w:marRight w:val="0"/>
      <w:marTop w:val="0"/>
      <w:marBottom w:val="0"/>
      <w:divBdr>
        <w:top w:val="none" w:sz="0" w:space="0" w:color="auto"/>
        <w:left w:val="none" w:sz="0" w:space="0" w:color="auto"/>
        <w:bottom w:val="none" w:sz="0" w:space="0" w:color="auto"/>
        <w:right w:val="none" w:sz="0" w:space="0" w:color="auto"/>
      </w:divBdr>
    </w:div>
    <w:div w:id="287900070">
      <w:bodyDiv w:val="1"/>
      <w:marLeft w:val="0"/>
      <w:marRight w:val="0"/>
      <w:marTop w:val="0"/>
      <w:marBottom w:val="0"/>
      <w:divBdr>
        <w:top w:val="none" w:sz="0" w:space="0" w:color="auto"/>
        <w:left w:val="none" w:sz="0" w:space="0" w:color="auto"/>
        <w:bottom w:val="none" w:sz="0" w:space="0" w:color="auto"/>
        <w:right w:val="none" w:sz="0" w:space="0" w:color="auto"/>
      </w:divBdr>
    </w:div>
    <w:div w:id="319113389">
      <w:bodyDiv w:val="1"/>
      <w:marLeft w:val="0"/>
      <w:marRight w:val="0"/>
      <w:marTop w:val="0"/>
      <w:marBottom w:val="0"/>
      <w:divBdr>
        <w:top w:val="none" w:sz="0" w:space="0" w:color="auto"/>
        <w:left w:val="none" w:sz="0" w:space="0" w:color="auto"/>
        <w:bottom w:val="none" w:sz="0" w:space="0" w:color="auto"/>
        <w:right w:val="none" w:sz="0" w:space="0" w:color="auto"/>
      </w:divBdr>
    </w:div>
    <w:div w:id="372534152">
      <w:bodyDiv w:val="1"/>
      <w:marLeft w:val="0"/>
      <w:marRight w:val="0"/>
      <w:marTop w:val="0"/>
      <w:marBottom w:val="0"/>
      <w:divBdr>
        <w:top w:val="none" w:sz="0" w:space="0" w:color="auto"/>
        <w:left w:val="none" w:sz="0" w:space="0" w:color="auto"/>
        <w:bottom w:val="none" w:sz="0" w:space="0" w:color="auto"/>
        <w:right w:val="none" w:sz="0" w:space="0" w:color="auto"/>
      </w:divBdr>
    </w:div>
    <w:div w:id="382410981">
      <w:bodyDiv w:val="1"/>
      <w:marLeft w:val="0"/>
      <w:marRight w:val="0"/>
      <w:marTop w:val="0"/>
      <w:marBottom w:val="0"/>
      <w:divBdr>
        <w:top w:val="none" w:sz="0" w:space="0" w:color="auto"/>
        <w:left w:val="none" w:sz="0" w:space="0" w:color="auto"/>
        <w:bottom w:val="none" w:sz="0" w:space="0" w:color="auto"/>
        <w:right w:val="none" w:sz="0" w:space="0" w:color="auto"/>
      </w:divBdr>
    </w:div>
    <w:div w:id="406612124">
      <w:bodyDiv w:val="1"/>
      <w:marLeft w:val="0"/>
      <w:marRight w:val="0"/>
      <w:marTop w:val="0"/>
      <w:marBottom w:val="0"/>
      <w:divBdr>
        <w:top w:val="none" w:sz="0" w:space="0" w:color="auto"/>
        <w:left w:val="none" w:sz="0" w:space="0" w:color="auto"/>
        <w:bottom w:val="none" w:sz="0" w:space="0" w:color="auto"/>
        <w:right w:val="none" w:sz="0" w:space="0" w:color="auto"/>
      </w:divBdr>
    </w:div>
    <w:div w:id="505633335">
      <w:bodyDiv w:val="1"/>
      <w:marLeft w:val="0"/>
      <w:marRight w:val="0"/>
      <w:marTop w:val="0"/>
      <w:marBottom w:val="0"/>
      <w:divBdr>
        <w:top w:val="none" w:sz="0" w:space="0" w:color="auto"/>
        <w:left w:val="none" w:sz="0" w:space="0" w:color="auto"/>
        <w:bottom w:val="none" w:sz="0" w:space="0" w:color="auto"/>
        <w:right w:val="none" w:sz="0" w:space="0" w:color="auto"/>
      </w:divBdr>
    </w:div>
    <w:div w:id="517430308">
      <w:bodyDiv w:val="1"/>
      <w:marLeft w:val="0"/>
      <w:marRight w:val="0"/>
      <w:marTop w:val="0"/>
      <w:marBottom w:val="0"/>
      <w:divBdr>
        <w:top w:val="none" w:sz="0" w:space="0" w:color="auto"/>
        <w:left w:val="none" w:sz="0" w:space="0" w:color="auto"/>
        <w:bottom w:val="none" w:sz="0" w:space="0" w:color="auto"/>
        <w:right w:val="none" w:sz="0" w:space="0" w:color="auto"/>
      </w:divBdr>
    </w:div>
    <w:div w:id="525674210">
      <w:bodyDiv w:val="1"/>
      <w:marLeft w:val="0"/>
      <w:marRight w:val="0"/>
      <w:marTop w:val="0"/>
      <w:marBottom w:val="0"/>
      <w:divBdr>
        <w:top w:val="none" w:sz="0" w:space="0" w:color="auto"/>
        <w:left w:val="none" w:sz="0" w:space="0" w:color="auto"/>
        <w:bottom w:val="none" w:sz="0" w:space="0" w:color="auto"/>
        <w:right w:val="none" w:sz="0" w:space="0" w:color="auto"/>
      </w:divBdr>
    </w:div>
    <w:div w:id="558368241">
      <w:bodyDiv w:val="1"/>
      <w:marLeft w:val="0"/>
      <w:marRight w:val="0"/>
      <w:marTop w:val="0"/>
      <w:marBottom w:val="0"/>
      <w:divBdr>
        <w:top w:val="none" w:sz="0" w:space="0" w:color="auto"/>
        <w:left w:val="none" w:sz="0" w:space="0" w:color="auto"/>
        <w:bottom w:val="none" w:sz="0" w:space="0" w:color="auto"/>
        <w:right w:val="none" w:sz="0" w:space="0" w:color="auto"/>
      </w:divBdr>
    </w:div>
    <w:div w:id="618536459">
      <w:bodyDiv w:val="1"/>
      <w:marLeft w:val="0"/>
      <w:marRight w:val="0"/>
      <w:marTop w:val="0"/>
      <w:marBottom w:val="0"/>
      <w:divBdr>
        <w:top w:val="none" w:sz="0" w:space="0" w:color="auto"/>
        <w:left w:val="none" w:sz="0" w:space="0" w:color="auto"/>
        <w:bottom w:val="none" w:sz="0" w:space="0" w:color="auto"/>
        <w:right w:val="none" w:sz="0" w:space="0" w:color="auto"/>
      </w:divBdr>
    </w:div>
    <w:div w:id="637223326">
      <w:bodyDiv w:val="1"/>
      <w:marLeft w:val="0"/>
      <w:marRight w:val="0"/>
      <w:marTop w:val="0"/>
      <w:marBottom w:val="0"/>
      <w:divBdr>
        <w:top w:val="none" w:sz="0" w:space="0" w:color="auto"/>
        <w:left w:val="none" w:sz="0" w:space="0" w:color="auto"/>
        <w:bottom w:val="none" w:sz="0" w:space="0" w:color="auto"/>
        <w:right w:val="none" w:sz="0" w:space="0" w:color="auto"/>
      </w:divBdr>
    </w:div>
    <w:div w:id="706948739">
      <w:bodyDiv w:val="1"/>
      <w:marLeft w:val="0"/>
      <w:marRight w:val="0"/>
      <w:marTop w:val="0"/>
      <w:marBottom w:val="0"/>
      <w:divBdr>
        <w:top w:val="none" w:sz="0" w:space="0" w:color="auto"/>
        <w:left w:val="none" w:sz="0" w:space="0" w:color="auto"/>
        <w:bottom w:val="none" w:sz="0" w:space="0" w:color="auto"/>
        <w:right w:val="none" w:sz="0" w:space="0" w:color="auto"/>
      </w:divBdr>
    </w:div>
    <w:div w:id="746195593">
      <w:bodyDiv w:val="1"/>
      <w:marLeft w:val="0"/>
      <w:marRight w:val="0"/>
      <w:marTop w:val="0"/>
      <w:marBottom w:val="0"/>
      <w:divBdr>
        <w:top w:val="none" w:sz="0" w:space="0" w:color="auto"/>
        <w:left w:val="none" w:sz="0" w:space="0" w:color="auto"/>
        <w:bottom w:val="none" w:sz="0" w:space="0" w:color="auto"/>
        <w:right w:val="none" w:sz="0" w:space="0" w:color="auto"/>
      </w:divBdr>
    </w:div>
    <w:div w:id="753552488">
      <w:bodyDiv w:val="1"/>
      <w:marLeft w:val="0"/>
      <w:marRight w:val="0"/>
      <w:marTop w:val="0"/>
      <w:marBottom w:val="0"/>
      <w:divBdr>
        <w:top w:val="none" w:sz="0" w:space="0" w:color="auto"/>
        <w:left w:val="none" w:sz="0" w:space="0" w:color="auto"/>
        <w:bottom w:val="none" w:sz="0" w:space="0" w:color="auto"/>
        <w:right w:val="none" w:sz="0" w:space="0" w:color="auto"/>
      </w:divBdr>
    </w:div>
    <w:div w:id="784424630">
      <w:bodyDiv w:val="1"/>
      <w:marLeft w:val="0"/>
      <w:marRight w:val="0"/>
      <w:marTop w:val="0"/>
      <w:marBottom w:val="0"/>
      <w:divBdr>
        <w:top w:val="none" w:sz="0" w:space="0" w:color="auto"/>
        <w:left w:val="none" w:sz="0" w:space="0" w:color="auto"/>
        <w:bottom w:val="none" w:sz="0" w:space="0" w:color="auto"/>
        <w:right w:val="none" w:sz="0" w:space="0" w:color="auto"/>
      </w:divBdr>
    </w:div>
    <w:div w:id="831144900">
      <w:bodyDiv w:val="1"/>
      <w:marLeft w:val="0"/>
      <w:marRight w:val="0"/>
      <w:marTop w:val="0"/>
      <w:marBottom w:val="0"/>
      <w:divBdr>
        <w:top w:val="none" w:sz="0" w:space="0" w:color="auto"/>
        <w:left w:val="none" w:sz="0" w:space="0" w:color="auto"/>
        <w:bottom w:val="none" w:sz="0" w:space="0" w:color="auto"/>
        <w:right w:val="none" w:sz="0" w:space="0" w:color="auto"/>
      </w:divBdr>
    </w:div>
    <w:div w:id="838739119">
      <w:bodyDiv w:val="1"/>
      <w:marLeft w:val="0"/>
      <w:marRight w:val="0"/>
      <w:marTop w:val="0"/>
      <w:marBottom w:val="0"/>
      <w:divBdr>
        <w:top w:val="none" w:sz="0" w:space="0" w:color="auto"/>
        <w:left w:val="none" w:sz="0" w:space="0" w:color="auto"/>
        <w:bottom w:val="none" w:sz="0" w:space="0" w:color="auto"/>
        <w:right w:val="none" w:sz="0" w:space="0" w:color="auto"/>
      </w:divBdr>
    </w:div>
    <w:div w:id="865170341">
      <w:bodyDiv w:val="1"/>
      <w:marLeft w:val="0"/>
      <w:marRight w:val="0"/>
      <w:marTop w:val="0"/>
      <w:marBottom w:val="0"/>
      <w:divBdr>
        <w:top w:val="none" w:sz="0" w:space="0" w:color="auto"/>
        <w:left w:val="none" w:sz="0" w:space="0" w:color="auto"/>
        <w:bottom w:val="none" w:sz="0" w:space="0" w:color="auto"/>
        <w:right w:val="none" w:sz="0" w:space="0" w:color="auto"/>
      </w:divBdr>
    </w:div>
    <w:div w:id="873427246">
      <w:bodyDiv w:val="1"/>
      <w:marLeft w:val="0"/>
      <w:marRight w:val="0"/>
      <w:marTop w:val="0"/>
      <w:marBottom w:val="0"/>
      <w:divBdr>
        <w:top w:val="none" w:sz="0" w:space="0" w:color="auto"/>
        <w:left w:val="none" w:sz="0" w:space="0" w:color="auto"/>
        <w:bottom w:val="none" w:sz="0" w:space="0" w:color="auto"/>
        <w:right w:val="none" w:sz="0" w:space="0" w:color="auto"/>
      </w:divBdr>
    </w:div>
    <w:div w:id="920331981">
      <w:bodyDiv w:val="1"/>
      <w:marLeft w:val="0"/>
      <w:marRight w:val="0"/>
      <w:marTop w:val="0"/>
      <w:marBottom w:val="0"/>
      <w:divBdr>
        <w:top w:val="none" w:sz="0" w:space="0" w:color="auto"/>
        <w:left w:val="none" w:sz="0" w:space="0" w:color="auto"/>
        <w:bottom w:val="none" w:sz="0" w:space="0" w:color="auto"/>
        <w:right w:val="none" w:sz="0" w:space="0" w:color="auto"/>
      </w:divBdr>
    </w:div>
    <w:div w:id="938759809">
      <w:bodyDiv w:val="1"/>
      <w:marLeft w:val="0"/>
      <w:marRight w:val="0"/>
      <w:marTop w:val="0"/>
      <w:marBottom w:val="0"/>
      <w:divBdr>
        <w:top w:val="none" w:sz="0" w:space="0" w:color="auto"/>
        <w:left w:val="none" w:sz="0" w:space="0" w:color="auto"/>
        <w:bottom w:val="none" w:sz="0" w:space="0" w:color="auto"/>
        <w:right w:val="none" w:sz="0" w:space="0" w:color="auto"/>
      </w:divBdr>
    </w:div>
    <w:div w:id="972370497">
      <w:bodyDiv w:val="1"/>
      <w:marLeft w:val="0"/>
      <w:marRight w:val="0"/>
      <w:marTop w:val="0"/>
      <w:marBottom w:val="0"/>
      <w:divBdr>
        <w:top w:val="none" w:sz="0" w:space="0" w:color="auto"/>
        <w:left w:val="none" w:sz="0" w:space="0" w:color="auto"/>
        <w:bottom w:val="none" w:sz="0" w:space="0" w:color="auto"/>
        <w:right w:val="none" w:sz="0" w:space="0" w:color="auto"/>
      </w:divBdr>
    </w:div>
    <w:div w:id="981498032">
      <w:bodyDiv w:val="1"/>
      <w:marLeft w:val="0"/>
      <w:marRight w:val="0"/>
      <w:marTop w:val="0"/>
      <w:marBottom w:val="0"/>
      <w:divBdr>
        <w:top w:val="none" w:sz="0" w:space="0" w:color="auto"/>
        <w:left w:val="none" w:sz="0" w:space="0" w:color="auto"/>
        <w:bottom w:val="none" w:sz="0" w:space="0" w:color="auto"/>
        <w:right w:val="none" w:sz="0" w:space="0" w:color="auto"/>
      </w:divBdr>
    </w:div>
    <w:div w:id="1009453440">
      <w:bodyDiv w:val="1"/>
      <w:marLeft w:val="0"/>
      <w:marRight w:val="0"/>
      <w:marTop w:val="0"/>
      <w:marBottom w:val="0"/>
      <w:divBdr>
        <w:top w:val="none" w:sz="0" w:space="0" w:color="auto"/>
        <w:left w:val="none" w:sz="0" w:space="0" w:color="auto"/>
        <w:bottom w:val="none" w:sz="0" w:space="0" w:color="auto"/>
        <w:right w:val="none" w:sz="0" w:space="0" w:color="auto"/>
      </w:divBdr>
    </w:div>
    <w:div w:id="1030296250">
      <w:bodyDiv w:val="1"/>
      <w:marLeft w:val="0"/>
      <w:marRight w:val="0"/>
      <w:marTop w:val="0"/>
      <w:marBottom w:val="0"/>
      <w:divBdr>
        <w:top w:val="none" w:sz="0" w:space="0" w:color="auto"/>
        <w:left w:val="none" w:sz="0" w:space="0" w:color="auto"/>
        <w:bottom w:val="none" w:sz="0" w:space="0" w:color="auto"/>
        <w:right w:val="none" w:sz="0" w:space="0" w:color="auto"/>
      </w:divBdr>
    </w:div>
    <w:div w:id="1074742621">
      <w:bodyDiv w:val="1"/>
      <w:marLeft w:val="0"/>
      <w:marRight w:val="0"/>
      <w:marTop w:val="0"/>
      <w:marBottom w:val="0"/>
      <w:divBdr>
        <w:top w:val="none" w:sz="0" w:space="0" w:color="auto"/>
        <w:left w:val="none" w:sz="0" w:space="0" w:color="auto"/>
        <w:bottom w:val="none" w:sz="0" w:space="0" w:color="auto"/>
        <w:right w:val="none" w:sz="0" w:space="0" w:color="auto"/>
      </w:divBdr>
    </w:div>
    <w:div w:id="1154417915">
      <w:bodyDiv w:val="1"/>
      <w:marLeft w:val="0"/>
      <w:marRight w:val="0"/>
      <w:marTop w:val="0"/>
      <w:marBottom w:val="0"/>
      <w:divBdr>
        <w:top w:val="none" w:sz="0" w:space="0" w:color="auto"/>
        <w:left w:val="none" w:sz="0" w:space="0" w:color="auto"/>
        <w:bottom w:val="none" w:sz="0" w:space="0" w:color="auto"/>
        <w:right w:val="none" w:sz="0" w:space="0" w:color="auto"/>
      </w:divBdr>
    </w:div>
    <w:div w:id="1203905539">
      <w:bodyDiv w:val="1"/>
      <w:marLeft w:val="0"/>
      <w:marRight w:val="0"/>
      <w:marTop w:val="0"/>
      <w:marBottom w:val="0"/>
      <w:divBdr>
        <w:top w:val="none" w:sz="0" w:space="0" w:color="auto"/>
        <w:left w:val="none" w:sz="0" w:space="0" w:color="auto"/>
        <w:bottom w:val="none" w:sz="0" w:space="0" w:color="auto"/>
        <w:right w:val="none" w:sz="0" w:space="0" w:color="auto"/>
      </w:divBdr>
    </w:div>
    <w:div w:id="1224828725">
      <w:bodyDiv w:val="1"/>
      <w:marLeft w:val="0"/>
      <w:marRight w:val="0"/>
      <w:marTop w:val="0"/>
      <w:marBottom w:val="0"/>
      <w:divBdr>
        <w:top w:val="none" w:sz="0" w:space="0" w:color="auto"/>
        <w:left w:val="none" w:sz="0" w:space="0" w:color="auto"/>
        <w:bottom w:val="none" w:sz="0" w:space="0" w:color="auto"/>
        <w:right w:val="none" w:sz="0" w:space="0" w:color="auto"/>
      </w:divBdr>
    </w:div>
    <w:div w:id="1237396914">
      <w:bodyDiv w:val="1"/>
      <w:marLeft w:val="0"/>
      <w:marRight w:val="0"/>
      <w:marTop w:val="0"/>
      <w:marBottom w:val="0"/>
      <w:divBdr>
        <w:top w:val="none" w:sz="0" w:space="0" w:color="auto"/>
        <w:left w:val="none" w:sz="0" w:space="0" w:color="auto"/>
        <w:bottom w:val="none" w:sz="0" w:space="0" w:color="auto"/>
        <w:right w:val="none" w:sz="0" w:space="0" w:color="auto"/>
      </w:divBdr>
    </w:div>
    <w:div w:id="1242257683">
      <w:bodyDiv w:val="1"/>
      <w:marLeft w:val="0"/>
      <w:marRight w:val="0"/>
      <w:marTop w:val="0"/>
      <w:marBottom w:val="0"/>
      <w:divBdr>
        <w:top w:val="none" w:sz="0" w:space="0" w:color="auto"/>
        <w:left w:val="none" w:sz="0" w:space="0" w:color="auto"/>
        <w:bottom w:val="none" w:sz="0" w:space="0" w:color="auto"/>
        <w:right w:val="none" w:sz="0" w:space="0" w:color="auto"/>
      </w:divBdr>
    </w:div>
    <w:div w:id="1271549792">
      <w:bodyDiv w:val="1"/>
      <w:marLeft w:val="0"/>
      <w:marRight w:val="0"/>
      <w:marTop w:val="0"/>
      <w:marBottom w:val="0"/>
      <w:divBdr>
        <w:top w:val="none" w:sz="0" w:space="0" w:color="auto"/>
        <w:left w:val="none" w:sz="0" w:space="0" w:color="auto"/>
        <w:bottom w:val="none" w:sz="0" w:space="0" w:color="auto"/>
        <w:right w:val="none" w:sz="0" w:space="0" w:color="auto"/>
      </w:divBdr>
    </w:div>
    <w:div w:id="1277519860">
      <w:bodyDiv w:val="1"/>
      <w:marLeft w:val="0"/>
      <w:marRight w:val="0"/>
      <w:marTop w:val="0"/>
      <w:marBottom w:val="0"/>
      <w:divBdr>
        <w:top w:val="none" w:sz="0" w:space="0" w:color="auto"/>
        <w:left w:val="none" w:sz="0" w:space="0" w:color="auto"/>
        <w:bottom w:val="none" w:sz="0" w:space="0" w:color="auto"/>
        <w:right w:val="none" w:sz="0" w:space="0" w:color="auto"/>
      </w:divBdr>
    </w:div>
    <w:div w:id="1364020833">
      <w:bodyDiv w:val="1"/>
      <w:marLeft w:val="0"/>
      <w:marRight w:val="0"/>
      <w:marTop w:val="0"/>
      <w:marBottom w:val="0"/>
      <w:divBdr>
        <w:top w:val="none" w:sz="0" w:space="0" w:color="auto"/>
        <w:left w:val="none" w:sz="0" w:space="0" w:color="auto"/>
        <w:bottom w:val="none" w:sz="0" w:space="0" w:color="auto"/>
        <w:right w:val="none" w:sz="0" w:space="0" w:color="auto"/>
      </w:divBdr>
    </w:div>
    <w:div w:id="1372341163">
      <w:bodyDiv w:val="1"/>
      <w:marLeft w:val="0"/>
      <w:marRight w:val="0"/>
      <w:marTop w:val="0"/>
      <w:marBottom w:val="0"/>
      <w:divBdr>
        <w:top w:val="none" w:sz="0" w:space="0" w:color="auto"/>
        <w:left w:val="none" w:sz="0" w:space="0" w:color="auto"/>
        <w:bottom w:val="none" w:sz="0" w:space="0" w:color="auto"/>
        <w:right w:val="none" w:sz="0" w:space="0" w:color="auto"/>
      </w:divBdr>
    </w:div>
    <w:div w:id="1390110730">
      <w:bodyDiv w:val="1"/>
      <w:marLeft w:val="0"/>
      <w:marRight w:val="0"/>
      <w:marTop w:val="0"/>
      <w:marBottom w:val="0"/>
      <w:divBdr>
        <w:top w:val="none" w:sz="0" w:space="0" w:color="auto"/>
        <w:left w:val="none" w:sz="0" w:space="0" w:color="auto"/>
        <w:bottom w:val="none" w:sz="0" w:space="0" w:color="auto"/>
        <w:right w:val="none" w:sz="0" w:space="0" w:color="auto"/>
      </w:divBdr>
    </w:div>
    <w:div w:id="1393577922">
      <w:bodyDiv w:val="1"/>
      <w:marLeft w:val="0"/>
      <w:marRight w:val="0"/>
      <w:marTop w:val="0"/>
      <w:marBottom w:val="0"/>
      <w:divBdr>
        <w:top w:val="none" w:sz="0" w:space="0" w:color="auto"/>
        <w:left w:val="none" w:sz="0" w:space="0" w:color="auto"/>
        <w:bottom w:val="none" w:sz="0" w:space="0" w:color="auto"/>
        <w:right w:val="none" w:sz="0" w:space="0" w:color="auto"/>
      </w:divBdr>
    </w:div>
    <w:div w:id="1393849922">
      <w:bodyDiv w:val="1"/>
      <w:marLeft w:val="0"/>
      <w:marRight w:val="0"/>
      <w:marTop w:val="0"/>
      <w:marBottom w:val="0"/>
      <w:divBdr>
        <w:top w:val="none" w:sz="0" w:space="0" w:color="auto"/>
        <w:left w:val="none" w:sz="0" w:space="0" w:color="auto"/>
        <w:bottom w:val="none" w:sz="0" w:space="0" w:color="auto"/>
        <w:right w:val="none" w:sz="0" w:space="0" w:color="auto"/>
      </w:divBdr>
    </w:div>
    <w:div w:id="1444956900">
      <w:bodyDiv w:val="1"/>
      <w:marLeft w:val="0"/>
      <w:marRight w:val="0"/>
      <w:marTop w:val="0"/>
      <w:marBottom w:val="0"/>
      <w:divBdr>
        <w:top w:val="none" w:sz="0" w:space="0" w:color="auto"/>
        <w:left w:val="none" w:sz="0" w:space="0" w:color="auto"/>
        <w:bottom w:val="none" w:sz="0" w:space="0" w:color="auto"/>
        <w:right w:val="none" w:sz="0" w:space="0" w:color="auto"/>
      </w:divBdr>
    </w:div>
    <w:div w:id="1487089189">
      <w:bodyDiv w:val="1"/>
      <w:marLeft w:val="0"/>
      <w:marRight w:val="0"/>
      <w:marTop w:val="0"/>
      <w:marBottom w:val="0"/>
      <w:divBdr>
        <w:top w:val="none" w:sz="0" w:space="0" w:color="auto"/>
        <w:left w:val="none" w:sz="0" w:space="0" w:color="auto"/>
        <w:bottom w:val="none" w:sz="0" w:space="0" w:color="auto"/>
        <w:right w:val="none" w:sz="0" w:space="0" w:color="auto"/>
      </w:divBdr>
    </w:div>
    <w:div w:id="1504197198">
      <w:bodyDiv w:val="1"/>
      <w:marLeft w:val="0"/>
      <w:marRight w:val="0"/>
      <w:marTop w:val="0"/>
      <w:marBottom w:val="0"/>
      <w:divBdr>
        <w:top w:val="none" w:sz="0" w:space="0" w:color="auto"/>
        <w:left w:val="none" w:sz="0" w:space="0" w:color="auto"/>
        <w:bottom w:val="none" w:sz="0" w:space="0" w:color="auto"/>
        <w:right w:val="none" w:sz="0" w:space="0" w:color="auto"/>
      </w:divBdr>
    </w:div>
    <w:div w:id="1536194288">
      <w:bodyDiv w:val="1"/>
      <w:marLeft w:val="0"/>
      <w:marRight w:val="0"/>
      <w:marTop w:val="0"/>
      <w:marBottom w:val="0"/>
      <w:divBdr>
        <w:top w:val="none" w:sz="0" w:space="0" w:color="auto"/>
        <w:left w:val="none" w:sz="0" w:space="0" w:color="auto"/>
        <w:bottom w:val="none" w:sz="0" w:space="0" w:color="auto"/>
        <w:right w:val="none" w:sz="0" w:space="0" w:color="auto"/>
      </w:divBdr>
    </w:div>
    <w:div w:id="1545365180">
      <w:bodyDiv w:val="1"/>
      <w:marLeft w:val="0"/>
      <w:marRight w:val="0"/>
      <w:marTop w:val="0"/>
      <w:marBottom w:val="0"/>
      <w:divBdr>
        <w:top w:val="none" w:sz="0" w:space="0" w:color="auto"/>
        <w:left w:val="none" w:sz="0" w:space="0" w:color="auto"/>
        <w:bottom w:val="none" w:sz="0" w:space="0" w:color="auto"/>
        <w:right w:val="none" w:sz="0" w:space="0" w:color="auto"/>
      </w:divBdr>
    </w:div>
    <w:div w:id="1590384354">
      <w:bodyDiv w:val="1"/>
      <w:marLeft w:val="0"/>
      <w:marRight w:val="0"/>
      <w:marTop w:val="0"/>
      <w:marBottom w:val="0"/>
      <w:divBdr>
        <w:top w:val="none" w:sz="0" w:space="0" w:color="auto"/>
        <w:left w:val="none" w:sz="0" w:space="0" w:color="auto"/>
        <w:bottom w:val="none" w:sz="0" w:space="0" w:color="auto"/>
        <w:right w:val="none" w:sz="0" w:space="0" w:color="auto"/>
      </w:divBdr>
    </w:div>
    <w:div w:id="1674726142">
      <w:bodyDiv w:val="1"/>
      <w:marLeft w:val="0"/>
      <w:marRight w:val="0"/>
      <w:marTop w:val="0"/>
      <w:marBottom w:val="0"/>
      <w:divBdr>
        <w:top w:val="none" w:sz="0" w:space="0" w:color="auto"/>
        <w:left w:val="none" w:sz="0" w:space="0" w:color="auto"/>
        <w:bottom w:val="none" w:sz="0" w:space="0" w:color="auto"/>
        <w:right w:val="none" w:sz="0" w:space="0" w:color="auto"/>
      </w:divBdr>
    </w:div>
    <w:div w:id="1724062104">
      <w:bodyDiv w:val="1"/>
      <w:marLeft w:val="0"/>
      <w:marRight w:val="0"/>
      <w:marTop w:val="0"/>
      <w:marBottom w:val="0"/>
      <w:divBdr>
        <w:top w:val="none" w:sz="0" w:space="0" w:color="auto"/>
        <w:left w:val="none" w:sz="0" w:space="0" w:color="auto"/>
        <w:bottom w:val="none" w:sz="0" w:space="0" w:color="auto"/>
        <w:right w:val="none" w:sz="0" w:space="0" w:color="auto"/>
      </w:divBdr>
    </w:div>
    <w:div w:id="1730182113">
      <w:bodyDiv w:val="1"/>
      <w:marLeft w:val="0"/>
      <w:marRight w:val="0"/>
      <w:marTop w:val="0"/>
      <w:marBottom w:val="0"/>
      <w:divBdr>
        <w:top w:val="none" w:sz="0" w:space="0" w:color="auto"/>
        <w:left w:val="none" w:sz="0" w:space="0" w:color="auto"/>
        <w:bottom w:val="none" w:sz="0" w:space="0" w:color="auto"/>
        <w:right w:val="none" w:sz="0" w:space="0" w:color="auto"/>
      </w:divBdr>
    </w:div>
    <w:div w:id="1802847425">
      <w:bodyDiv w:val="1"/>
      <w:marLeft w:val="0"/>
      <w:marRight w:val="0"/>
      <w:marTop w:val="0"/>
      <w:marBottom w:val="0"/>
      <w:divBdr>
        <w:top w:val="none" w:sz="0" w:space="0" w:color="auto"/>
        <w:left w:val="none" w:sz="0" w:space="0" w:color="auto"/>
        <w:bottom w:val="none" w:sz="0" w:space="0" w:color="auto"/>
        <w:right w:val="none" w:sz="0" w:space="0" w:color="auto"/>
      </w:divBdr>
    </w:div>
    <w:div w:id="1900240773">
      <w:bodyDiv w:val="1"/>
      <w:marLeft w:val="0"/>
      <w:marRight w:val="0"/>
      <w:marTop w:val="0"/>
      <w:marBottom w:val="0"/>
      <w:divBdr>
        <w:top w:val="none" w:sz="0" w:space="0" w:color="auto"/>
        <w:left w:val="none" w:sz="0" w:space="0" w:color="auto"/>
        <w:bottom w:val="none" w:sz="0" w:space="0" w:color="auto"/>
        <w:right w:val="none" w:sz="0" w:space="0" w:color="auto"/>
      </w:divBdr>
    </w:div>
    <w:div w:id="1914117572">
      <w:bodyDiv w:val="1"/>
      <w:marLeft w:val="0"/>
      <w:marRight w:val="0"/>
      <w:marTop w:val="0"/>
      <w:marBottom w:val="0"/>
      <w:divBdr>
        <w:top w:val="none" w:sz="0" w:space="0" w:color="auto"/>
        <w:left w:val="none" w:sz="0" w:space="0" w:color="auto"/>
        <w:bottom w:val="none" w:sz="0" w:space="0" w:color="auto"/>
        <w:right w:val="none" w:sz="0" w:space="0" w:color="auto"/>
      </w:divBdr>
    </w:div>
    <w:div w:id="1982806965">
      <w:bodyDiv w:val="1"/>
      <w:marLeft w:val="0"/>
      <w:marRight w:val="0"/>
      <w:marTop w:val="0"/>
      <w:marBottom w:val="0"/>
      <w:divBdr>
        <w:top w:val="none" w:sz="0" w:space="0" w:color="auto"/>
        <w:left w:val="none" w:sz="0" w:space="0" w:color="auto"/>
        <w:bottom w:val="none" w:sz="0" w:space="0" w:color="auto"/>
        <w:right w:val="none" w:sz="0" w:space="0" w:color="auto"/>
      </w:divBdr>
    </w:div>
    <w:div w:id="2011057863">
      <w:bodyDiv w:val="1"/>
      <w:marLeft w:val="0"/>
      <w:marRight w:val="0"/>
      <w:marTop w:val="0"/>
      <w:marBottom w:val="0"/>
      <w:divBdr>
        <w:top w:val="none" w:sz="0" w:space="0" w:color="auto"/>
        <w:left w:val="none" w:sz="0" w:space="0" w:color="auto"/>
        <w:bottom w:val="none" w:sz="0" w:space="0" w:color="auto"/>
        <w:right w:val="none" w:sz="0" w:space="0" w:color="auto"/>
      </w:divBdr>
    </w:div>
    <w:div w:id="2033993278">
      <w:bodyDiv w:val="1"/>
      <w:marLeft w:val="0"/>
      <w:marRight w:val="0"/>
      <w:marTop w:val="0"/>
      <w:marBottom w:val="0"/>
      <w:divBdr>
        <w:top w:val="none" w:sz="0" w:space="0" w:color="auto"/>
        <w:left w:val="none" w:sz="0" w:space="0" w:color="auto"/>
        <w:bottom w:val="none" w:sz="0" w:space="0" w:color="auto"/>
        <w:right w:val="none" w:sz="0" w:space="0" w:color="auto"/>
      </w:divBdr>
    </w:div>
    <w:div w:id="2037727140">
      <w:bodyDiv w:val="1"/>
      <w:marLeft w:val="0"/>
      <w:marRight w:val="0"/>
      <w:marTop w:val="0"/>
      <w:marBottom w:val="0"/>
      <w:divBdr>
        <w:top w:val="none" w:sz="0" w:space="0" w:color="auto"/>
        <w:left w:val="none" w:sz="0" w:space="0" w:color="auto"/>
        <w:bottom w:val="none" w:sz="0" w:space="0" w:color="auto"/>
        <w:right w:val="none" w:sz="0" w:space="0" w:color="auto"/>
      </w:divBdr>
    </w:div>
    <w:div w:id="2062438510">
      <w:bodyDiv w:val="1"/>
      <w:marLeft w:val="0"/>
      <w:marRight w:val="0"/>
      <w:marTop w:val="0"/>
      <w:marBottom w:val="0"/>
      <w:divBdr>
        <w:top w:val="none" w:sz="0" w:space="0" w:color="auto"/>
        <w:left w:val="none" w:sz="0" w:space="0" w:color="auto"/>
        <w:bottom w:val="none" w:sz="0" w:space="0" w:color="auto"/>
        <w:right w:val="none" w:sz="0" w:space="0" w:color="auto"/>
      </w:divBdr>
    </w:div>
    <w:div w:id="2062510071">
      <w:bodyDiv w:val="1"/>
      <w:marLeft w:val="0"/>
      <w:marRight w:val="0"/>
      <w:marTop w:val="0"/>
      <w:marBottom w:val="0"/>
      <w:divBdr>
        <w:top w:val="none" w:sz="0" w:space="0" w:color="auto"/>
        <w:left w:val="none" w:sz="0" w:space="0" w:color="auto"/>
        <w:bottom w:val="none" w:sz="0" w:space="0" w:color="auto"/>
        <w:right w:val="none" w:sz="0" w:space="0" w:color="auto"/>
      </w:divBdr>
    </w:div>
    <w:div w:id="2063670412">
      <w:bodyDiv w:val="1"/>
      <w:marLeft w:val="0"/>
      <w:marRight w:val="0"/>
      <w:marTop w:val="0"/>
      <w:marBottom w:val="0"/>
      <w:divBdr>
        <w:top w:val="none" w:sz="0" w:space="0" w:color="auto"/>
        <w:left w:val="none" w:sz="0" w:space="0" w:color="auto"/>
        <w:bottom w:val="none" w:sz="0" w:space="0" w:color="auto"/>
        <w:right w:val="none" w:sz="0" w:space="0" w:color="auto"/>
      </w:divBdr>
    </w:div>
    <w:div w:id="2081056872">
      <w:bodyDiv w:val="1"/>
      <w:marLeft w:val="0"/>
      <w:marRight w:val="0"/>
      <w:marTop w:val="0"/>
      <w:marBottom w:val="0"/>
      <w:divBdr>
        <w:top w:val="none" w:sz="0" w:space="0" w:color="auto"/>
        <w:left w:val="none" w:sz="0" w:space="0" w:color="auto"/>
        <w:bottom w:val="none" w:sz="0" w:space="0" w:color="auto"/>
        <w:right w:val="none" w:sz="0" w:space="0" w:color="auto"/>
      </w:divBdr>
    </w:div>
    <w:div w:id="2092312610">
      <w:bodyDiv w:val="1"/>
      <w:marLeft w:val="0"/>
      <w:marRight w:val="0"/>
      <w:marTop w:val="0"/>
      <w:marBottom w:val="0"/>
      <w:divBdr>
        <w:top w:val="none" w:sz="0" w:space="0" w:color="auto"/>
        <w:left w:val="none" w:sz="0" w:space="0" w:color="auto"/>
        <w:bottom w:val="none" w:sz="0" w:space="0" w:color="auto"/>
        <w:right w:val="none" w:sz="0" w:space="0" w:color="auto"/>
      </w:divBdr>
    </w:div>
    <w:div w:id="212206666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image" Target="media/image2.png"/><Relationship Id="rId4" Type="http://schemas.openxmlformats.org/officeDocument/2006/relationships/styles" Target="style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bN6/+I6i8wZKLDmtEKBj5S4T8bw==">AMUW2mUk9tCBMsZblh8Lhm4RcOdKhknAP+k4F/5WPHfs0mdKdfxMG92kroFGCOQwMLenM4sihqo41GP/i27WMmkdqbKZT15IOIK5zfqmHna3sj1Y16K1LYwcbH+/YKGH2OQ9k+y7/RpQ0557g3xq6EFvmU/uXna5Kg==</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4F2B9FEF-525F-45F8-98E9-66B197369E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2529</TotalTime>
  <Pages>7</Pages>
  <Words>1702</Words>
  <Characters>9707</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Sara El Rayes</dc:creator>
  <cp:lastModifiedBy>Noureddine Eid</cp:lastModifiedBy>
  <cp:revision>867</cp:revision>
  <dcterms:created xsi:type="dcterms:W3CDTF">2023-02-18T08:06:00Z</dcterms:created>
  <dcterms:modified xsi:type="dcterms:W3CDTF">2026-10-22T00:51:00Z</dcterms:modified>
</cp:coreProperties>
</file>