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5A81" w14:textId="77777777" w:rsidR="00CE2C05" w:rsidRDefault="00CE2C05" w:rsidP="00CE2C05">
      <w:pPr>
        <w:jc w:val="right"/>
      </w:pPr>
      <w:r>
        <w:t>A project to distribute 320 healthy meals to marginalized male and female students in Yemen</w:t>
      </w:r>
    </w:p>
    <w:p w14:paraId="6DD2F12F" w14:textId="77777777" w:rsidR="00CE2C05" w:rsidRDefault="00CE2C05" w:rsidP="00CE2C05">
      <w:pPr>
        <w:jc w:val="right"/>
      </w:pPr>
      <w:r>
        <w:t>Implemented by the Nahda Youth Organization</w:t>
      </w:r>
    </w:p>
    <w:p w14:paraId="507B8E9C" w14:textId="77777777" w:rsidR="00CE2C05" w:rsidRDefault="00CE2C05" w:rsidP="00CE2C05">
      <w:pPr>
        <w:jc w:val="right"/>
      </w:pPr>
      <w:r>
        <w:t>1</w:t>
      </w:r>
      <w:r>
        <w:rPr>
          <w:rFonts w:cs="Arial"/>
          <w:rtl/>
        </w:rPr>
        <w:t>-</w:t>
      </w:r>
      <w:r>
        <w:t>Introduction</w:t>
      </w:r>
      <w:r>
        <w:rPr>
          <w:rFonts w:cs="Arial"/>
          <w:rtl/>
        </w:rPr>
        <w:t>:</w:t>
      </w:r>
    </w:p>
    <w:p w14:paraId="2F1ADE4D" w14:textId="77777777" w:rsidR="00CE2C05" w:rsidRDefault="00CE2C05" w:rsidP="00CE2C05">
      <w:pPr>
        <w:jc w:val="right"/>
      </w:pPr>
      <w:r>
        <w:t>The Renaissance Youth Organization for the Care of the Marginalized is pleased to present a report on the project to feed 320 male and female marginalized children with “proper nutrition,” which was implemented in a specific period. This project aims to promote proper nutrition and a healthy lifestyle for marginalized students and their families</w:t>
      </w:r>
      <w:r>
        <w:rPr>
          <w:rFonts w:cs="Arial"/>
          <w:rtl/>
        </w:rPr>
        <w:t>.</w:t>
      </w:r>
    </w:p>
    <w:p w14:paraId="34CEEB77" w14:textId="77777777" w:rsidR="00CE2C05" w:rsidRDefault="00CE2C05" w:rsidP="00CE2C05">
      <w:pPr>
        <w:jc w:val="right"/>
      </w:pPr>
      <w:r>
        <w:t>3</w:t>
      </w:r>
      <w:r>
        <w:rPr>
          <w:rFonts w:cs="Arial"/>
          <w:rtl/>
        </w:rPr>
        <w:t>-</w:t>
      </w:r>
      <w:r>
        <w:t>Implementation</w:t>
      </w:r>
      <w:r>
        <w:rPr>
          <w:rFonts w:cs="Arial"/>
          <w:rtl/>
        </w:rPr>
        <w:t>:</w:t>
      </w:r>
    </w:p>
    <w:p w14:paraId="012C169E" w14:textId="77777777" w:rsidR="00CE2C05" w:rsidRDefault="00CE2C05" w:rsidP="00CE2C05">
      <w:pPr>
        <w:jc w:val="right"/>
      </w:pPr>
      <w:r>
        <w:t>The organization provided 320 meals a day to marginalized students during the specified period by collecting in-kind donations</w:t>
      </w:r>
    </w:p>
    <w:p w14:paraId="136C4B79" w14:textId="77777777" w:rsidR="00CE2C05" w:rsidRDefault="00CE2C05" w:rsidP="00CE2C05">
      <w:pPr>
        <w:jc w:val="right"/>
      </w:pPr>
      <w:r>
        <w:t>A comprehensive awareness campaign was organized for 60 families of marginalized students about the importance of proper nutrition</w:t>
      </w:r>
      <w:r>
        <w:rPr>
          <w:rFonts w:cs="Arial"/>
          <w:rtl/>
        </w:rPr>
        <w:t>.</w:t>
      </w:r>
    </w:p>
    <w:p w14:paraId="3C980A8B" w14:textId="77777777" w:rsidR="00CE2C05" w:rsidRDefault="00CE2C05" w:rsidP="00CE2C05">
      <w:pPr>
        <w:jc w:val="right"/>
      </w:pPr>
      <w:r>
        <w:t>The organization implemented three workshops in different regions, in which representatives from the education office in the governorate participated</w:t>
      </w:r>
      <w:r>
        <w:rPr>
          <w:rFonts w:cs="Arial"/>
          <w:rtl/>
        </w:rPr>
        <w:t>.</w:t>
      </w:r>
    </w:p>
    <w:p w14:paraId="2FD95492" w14:textId="77777777" w:rsidR="00CE2C05" w:rsidRDefault="00CE2C05" w:rsidP="00CE2C05">
      <w:pPr>
        <w:jc w:val="right"/>
      </w:pPr>
      <w:r>
        <w:rPr>
          <w:rFonts w:cs="Arial"/>
          <w:rtl/>
        </w:rPr>
        <w:t>-</w:t>
      </w:r>
      <w:r>
        <w:t>The organization provided valuable fabrics for school uniforms through in-kind donations from local institutions</w:t>
      </w:r>
    </w:p>
    <w:p w14:paraId="3F8E2D92" w14:textId="77777777" w:rsidR="00CE2C05" w:rsidRDefault="00CE2C05" w:rsidP="00CE2C05">
      <w:pPr>
        <w:jc w:val="right"/>
      </w:pPr>
      <w:r>
        <w:t>4</w:t>
      </w:r>
      <w:r>
        <w:rPr>
          <w:rFonts w:cs="Arial"/>
          <w:rtl/>
        </w:rPr>
        <w:t xml:space="preserve">. </w:t>
      </w:r>
      <w:r>
        <w:t>Results and challenges</w:t>
      </w:r>
      <w:r>
        <w:rPr>
          <w:rFonts w:cs="Arial"/>
          <w:rtl/>
        </w:rPr>
        <w:t>:</w:t>
      </w:r>
    </w:p>
    <w:p w14:paraId="4C770D49" w14:textId="77777777" w:rsidR="00CE2C05" w:rsidRDefault="00CE2C05" w:rsidP="00CE2C05">
      <w:pPr>
        <w:jc w:val="right"/>
      </w:pPr>
      <w:r>
        <w:rPr>
          <w:rFonts w:cs="Arial"/>
          <w:rtl/>
        </w:rPr>
        <w:t xml:space="preserve">- </w:t>
      </w:r>
      <w:r>
        <w:t>So far, great progress has been achieved in the project to support marginalized male and female students in Yemen, despite the possibilities</w:t>
      </w:r>
    </w:p>
    <w:p w14:paraId="0E457BCB" w14:textId="77777777" w:rsidR="00CE2C05" w:rsidRDefault="00CE2C05" w:rsidP="00CE2C05">
      <w:pPr>
        <w:jc w:val="right"/>
      </w:pPr>
      <w:r>
        <w:rPr>
          <w:rFonts w:cs="Arial"/>
          <w:rtl/>
        </w:rPr>
        <w:t xml:space="preserve">- 320 </w:t>
      </w:r>
      <w:r>
        <w:t>male and female students from marginalized groups benefited from the educational opportunities provided by the project</w:t>
      </w:r>
      <w:r>
        <w:rPr>
          <w:rFonts w:cs="Arial"/>
          <w:rtl/>
        </w:rPr>
        <w:t>.</w:t>
      </w:r>
    </w:p>
    <w:p w14:paraId="1AAADF29" w14:textId="77777777" w:rsidR="00CE2C05" w:rsidRDefault="00CE2C05" w:rsidP="00CE2C05">
      <w:pPr>
        <w:jc w:val="right"/>
      </w:pPr>
      <w:r>
        <w:rPr>
          <w:rFonts w:cs="Arial"/>
          <w:rtl/>
        </w:rPr>
        <w:t xml:space="preserve">- </w:t>
      </w:r>
      <w:r>
        <w:t>The level of academic achievement and skills development of participating students has been improved</w:t>
      </w:r>
      <w:r>
        <w:rPr>
          <w:rFonts w:cs="Arial"/>
          <w:rtl/>
        </w:rPr>
        <w:t>.</w:t>
      </w:r>
    </w:p>
    <w:p w14:paraId="283FD527" w14:textId="77777777" w:rsidR="00CE2C05" w:rsidRDefault="00CE2C05" w:rsidP="00CE2C05">
      <w:pPr>
        <w:jc w:val="right"/>
      </w:pPr>
      <w:r>
        <w:t>The health, social and psychological capabilities of some male and female students were enhanced and their participation in school activities increased</w:t>
      </w:r>
      <w:r>
        <w:rPr>
          <w:rFonts w:cs="Arial"/>
          <w:rtl/>
        </w:rPr>
        <w:t>.</w:t>
      </w:r>
    </w:p>
    <w:p w14:paraId="33E107EB" w14:textId="77777777" w:rsidR="00CE2C05" w:rsidRDefault="00CE2C05" w:rsidP="00CE2C05">
      <w:pPr>
        <w:jc w:val="right"/>
      </w:pPr>
      <w:r>
        <w:t>There are a lot of challenges</w:t>
      </w:r>
    </w:p>
    <w:p w14:paraId="5AF9988A" w14:textId="77777777" w:rsidR="00CE2C05" w:rsidRDefault="00CE2C05" w:rsidP="00CE2C05">
      <w:pPr>
        <w:jc w:val="right"/>
      </w:pPr>
      <w:r>
        <w:t xml:space="preserve">Challenges: The project is an initiative of the Nahda Youth Organization, as there is no donor or financier for the project, and </w:t>
      </w:r>
      <w:proofErr w:type="spellStart"/>
      <w:r>
        <w:t>Enmaa</w:t>
      </w:r>
      <w:proofErr w:type="spellEnd"/>
      <w:r>
        <w:t xml:space="preserve"> relies on in-kind and cash donations. This has caused us a large deficit in terms of food meals, and the continuation of distribution depends on the generosity of donors. Among the challenges are that there are other needs such as school uniforms, school bags, family awareness, and also family needs in order to </w:t>
      </w:r>
      <w:proofErr w:type="gramStart"/>
      <w:r>
        <w:t>The</w:t>
      </w:r>
      <w:proofErr w:type="gramEnd"/>
      <w:r>
        <w:t xml:space="preserve"> family will be able to take care of the student and encourage him to continue education, such as the poverty of families and their dependence on child labor. There is also a large demand from students this year after holding workshops. We suffer from a scarcity of resources, although this makes us unable to expand the number, but we believe in the generosity of donors and benefactors</w:t>
      </w:r>
      <w:r>
        <w:rPr>
          <w:rFonts w:cs="Arial"/>
          <w:rtl/>
        </w:rPr>
        <w:t>.</w:t>
      </w:r>
    </w:p>
    <w:p w14:paraId="345DBBA1" w14:textId="77777777" w:rsidR="00CE2C05" w:rsidRDefault="00CE2C05" w:rsidP="00CE2C05">
      <w:pPr>
        <w:jc w:val="right"/>
      </w:pPr>
      <w:r>
        <w:t>The project also faces some challenges, such as a lack of financial resources and security challenges in the Taiz region</w:t>
      </w:r>
      <w:r>
        <w:rPr>
          <w:rFonts w:cs="Arial"/>
          <w:rtl/>
        </w:rPr>
        <w:t>.</w:t>
      </w:r>
    </w:p>
    <w:p w14:paraId="0AF3CCA2" w14:textId="77777777" w:rsidR="00CE2C05" w:rsidRDefault="00CE2C05" w:rsidP="00CE2C05">
      <w:pPr>
        <w:jc w:val="right"/>
      </w:pPr>
      <w:r>
        <w:lastRenderedPageBreak/>
        <w:t>5</w:t>
      </w:r>
      <w:r>
        <w:rPr>
          <w:rFonts w:cs="Arial"/>
          <w:rtl/>
        </w:rPr>
        <w:t xml:space="preserve">- </w:t>
      </w:r>
      <w:r>
        <w:t>The next steps we seek to implement</w:t>
      </w:r>
      <w:r>
        <w:rPr>
          <w:rFonts w:cs="Arial"/>
          <w:rtl/>
        </w:rPr>
        <w:t>:</w:t>
      </w:r>
    </w:p>
    <w:p w14:paraId="45FE1EB8" w14:textId="77777777" w:rsidR="00CE2C05" w:rsidRDefault="00CE2C05" w:rsidP="00CE2C05">
      <w:pPr>
        <w:jc w:val="right"/>
      </w:pPr>
      <w:r>
        <w:rPr>
          <w:rFonts w:cs="Arial"/>
          <w:rtl/>
        </w:rPr>
        <w:t xml:space="preserve">- </w:t>
      </w:r>
      <w:r>
        <w:t>Continue implementing the project and expanding its scope to include more marginalized male and female students</w:t>
      </w:r>
      <w:r>
        <w:rPr>
          <w:rFonts w:cs="Arial"/>
          <w:rtl/>
        </w:rPr>
        <w:t>.</w:t>
      </w:r>
    </w:p>
    <w:p w14:paraId="40ED57B4" w14:textId="77777777" w:rsidR="00CE2C05" w:rsidRDefault="00CE2C05" w:rsidP="00CE2C05">
      <w:pPr>
        <w:jc w:val="right"/>
      </w:pPr>
      <w:r>
        <w:rPr>
          <w:rFonts w:cs="Arial"/>
          <w:rtl/>
        </w:rPr>
        <w:t xml:space="preserve">- </w:t>
      </w:r>
      <w:r>
        <w:t>Strengthening cooperation with local authorities and international organizations to attract more funding</w:t>
      </w:r>
      <w:r>
        <w:rPr>
          <w:rFonts w:cs="Arial"/>
          <w:rtl/>
        </w:rPr>
        <w:t>.</w:t>
      </w:r>
    </w:p>
    <w:p w14:paraId="6C4A6C94" w14:textId="77777777" w:rsidR="00CE2C05" w:rsidRDefault="00CE2C05" w:rsidP="00CE2C05">
      <w:pPr>
        <w:jc w:val="right"/>
      </w:pPr>
      <w:r>
        <w:rPr>
          <w:rFonts w:cs="Arial"/>
          <w:rtl/>
        </w:rPr>
        <w:t xml:space="preserve">- </w:t>
      </w:r>
      <w:r>
        <w:t>Organizing more workshops and educational activities to support male and female students and enhance their skills</w:t>
      </w:r>
      <w:r>
        <w:rPr>
          <w:rFonts w:cs="Arial"/>
          <w:rtl/>
        </w:rPr>
        <w:t>.</w:t>
      </w:r>
    </w:p>
    <w:p w14:paraId="7E3461F2" w14:textId="77777777" w:rsidR="00CE2C05" w:rsidRDefault="00CE2C05" w:rsidP="00CE2C05">
      <w:pPr>
        <w:jc w:val="right"/>
      </w:pPr>
      <w:r>
        <w:rPr>
          <w:rFonts w:cs="Arial"/>
          <w:rtl/>
        </w:rPr>
        <w:t xml:space="preserve">- </w:t>
      </w:r>
      <w:r>
        <w:t>Expanding community awareness of the necessity of education rights and achieving equality of opportunities</w:t>
      </w:r>
      <w:r>
        <w:rPr>
          <w:rFonts w:cs="Arial"/>
          <w:rtl/>
        </w:rPr>
        <w:t>.</w:t>
      </w:r>
    </w:p>
    <w:p w14:paraId="3A9E8E9B" w14:textId="77777777" w:rsidR="00CE2C05" w:rsidRDefault="00CE2C05" w:rsidP="00CE2C05">
      <w:pPr>
        <w:jc w:val="right"/>
      </w:pPr>
      <w:r>
        <w:rPr>
          <w:rFonts w:cs="Arial"/>
          <w:rtl/>
        </w:rPr>
        <w:t xml:space="preserve">- </w:t>
      </w:r>
      <w:r>
        <w:t>It seeks to distribute school uniforms, school bags, and all study supplies</w:t>
      </w:r>
    </w:p>
    <w:p w14:paraId="6FD1965D" w14:textId="77777777" w:rsidR="00CE2C05" w:rsidRDefault="00CE2C05" w:rsidP="00CE2C05">
      <w:pPr>
        <w:jc w:val="right"/>
      </w:pPr>
      <w:r>
        <w:rPr>
          <w:rFonts w:cs="Arial"/>
          <w:rtl/>
        </w:rPr>
        <w:t xml:space="preserve">- </w:t>
      </w:r>
      <w:r>
        <w:t>Updating the student database and creating a follow-up team from the Nahda Youth Organization</w:t>
      </w:r>
    </w:p>
    <w:p w14:paraId="5682679E" w14:textId="77777777" w:rsidR="00CE2C05" w:rsidRDefault="00CE2C05" w:rsidP="00CE2C05">
      <w:pPr>
        <w:jc w:val="right"/>
        <w:rPr>
          <w:rtl/>
        </w:rPr>
      </w:pPr>
    </w:p>
    <w:p w14:paraId="63CDFFB9" w14:textId="77777777" w:rsidR="00CE2C05" w:rsidRDefault="00CE2C05" w:rsidP="00CE2C05">
      <w:pPr>
        <w:jc w:val="right"/>
        <w:rPr>
          <w:rtl/>
        </w:rPr>
      </w:pPr>
    </w:p>
    <w:p w14:paraId="70D8488D" w14:textId="77777777" w:rsidR="00CE2C05" w:rsidRDefault="00CE2C05" w:rsidP="00CE2C05">
      <w:pPr>
        <w:jc w:val="right"/>
        <w:rPr>
          <w:rtl/>
        </w:rPr>
      </w:pPr>
    </w:p>
    <w:p w14:paraId="34643C17" w14:textId="77777777" w:rsidR="00CE2C05" w:rsidRDefault="00CE2C05" w:rsidP="00CE2C05">
      <w:pPr>
        <w:jc w:val="right"/>
      </w:pPr>
      <w:r>
        <w:t>7</w:t>
      </w:r>
      <w:r>
        <w:rPr>
          <w:rFonts w:cs="Arial"/>
          <w:rtl/>
        </w:rPr>
        <w:t xml:space="preserve">- </w:t>
      </w:r>
      <w:r>
        <w:t>Success stories</w:t>
      </w:r>
    </w:p>
    <w:p w14:paraId="0462035E" w14:textId="77777777" w:rsidR="00CE2C05" w:rsidRDefault="00CE2C05" w:rsidP="00CE2C05">
      <w:pPr>
        <w:jc w:val="right"/>
      </w:pPr>
      <w:r>
        <w:t xml:space="preserve">The project to feed 320 male and female students for marginalized students is a project that was launched by the Al Nahda Youth Foundation in 2022, and is still ongoing. It aims to provide healthy and balanced nutritional meals for marginalized students, both male and female, in three areas in Taiz Governorate - Yemen. The most vulnerable areas are considered the areas of the marginalized, as they </w:t>
      </w:r>
      <w:proofErr w:type="spellStart"/>
      <w:r>
        <w:t>They</w:t>
      </w:r>
      <w:proofErr w:type="spellEnd"/>
      <w:r>
        <w:t xml:space="preserve"> suffer from poverty, hunger, marginalization and discrimination in education. The project targets 320 male and female students on a daily basis from various primary classrooms, and continues for a full academic year</w:t>
      </w:r>
      <w:r>
        <w:rPr>
          <w:rFonts w:cs="Arial"/>
          <w:rtl/>
        </w:rPr>
        <w:t>.</w:t>
      </w:r>
    </w:p>
    <w:p w14:paraId="3F27EBCA" w14:textId="77777777" w:rsidR="00CE2C05" w:rsidRDefault="00CE2C05" w:rsidP="00CE2C05">
      <w:pPr>
        <w:jc w:val="right"/>
      </w:pPr>
      <w:r>
        <w:t>The project was not limited to distributing meals only, but also included organizing awareness and educational workshops for parents, teachers, and students about the importance of proper nutrition, mental health, and dealing with bullying and school violence. The project also participated in solving some of the problems facing the targeted students, such as providing school supplies, school uniforms, and transportation to schools</w:t>
      </w:r>
      <w:r>
        <w:rPr>
          <w:rFonts w:cs="Arial"/>
          <w:rtl/>
        </w:rPr>
        <w:t>.</w:t>
      </w:r>
    </w:p>
    <w:p w14:paraId="798D7886" w14:textId="77777777" w:rsidR="00CE2C05" w:rsidRDefault="00CE2C05" w:rsidP="00CE2C05">
      <w:pPr>
        <w:jc w:val="right"/>
      </w:pPr>
      <w:r>
        <w:t>The project, in the recent period at the beginning of the new academic year, achieved amazing results in improving the situation of marginalized male and female students. The attendance rate increased to 65%, the dropout rate decreased to 30%, educational results improved by 40%, and the level of self-confidence and belonging to school increased by 30%</w:t>
      </w:r>
      <w:proofErr w:type="gramStart"/>
      <w:r>
        <w:t>. .</w:t>
      </w:r>
      <w:proofErr w:type="gramEnd"/>
      <w:r>
        <w:t xml:space="preserve"> Here are some graphs that illustrate these results</w:t>
      </w:r>
      <w:r>
        <w:rPr>
          <w:rFonts w:cs="Arial"/>
          <w:rtl/>
        </w:rPr>
        <w:t>:</w:t>
      </w:r>
    </w:p>
    <w:p w14:paraId="48BC4D16" w14:textId="2581354B" w:rsidR="00CE2C05" w:rsidRDefault="00CE2C05" w:rsidP="00CE2C05">
      <w:pPr>
        <w:jc w:val="right"/>
        <w:rPr>
          <w:rtl/>
        </w:rPr>
      </w:pPr>
    </w:p>
    <w:p w14:paraId="68E64307" w14:textId="64A65A01" w:rsidR="00CE2C05" w:rsidRDefault="00CE2C05" w:rsidP="00CE2C05">
      <w:pPr>
        <w:jc w:val="right"/>
        <w:rPr>
          <w:rtl/>
        </w:rPr>
      </w:pPr>
    </w:p>
    <w:p w14:paraId="5CD7B8DF" w14:textId="5ADC1B0D" w:rsidR="00CE2C05" w:rsidRDefault="00CE2C05" w:rsidP="00CE2C05">
      <w:pPr>
        <w:jc w:val="right"/>
        <w:rPr>
          <w:rtl/>
        </w:rPr>
      </w:pPr>
    </w:p>
    <w:p w14:paraId="4906ABF9" w14:textId="77777777" w:rsidR="00CE2C05" w:rsidRDefault="00CE2C05" w:rsidP="00CE2C05">
      <w:pPr>
        <w:jc w:val="right"/>
        <w:rPr>
          <w:rtl/>
        </w:rPr>
      </w:pPr>
    </w:p>
    <w:tbl>
      <w:tblPr>
        <w:tblW w:w="8639" w:type="dxa"/>
        <w:tblCellSpacing w:w="15" w:type="dxa"/>
        <w:tblBorders>
          <w:top w:val="single" w:sz="6" w:space="0" w:color="C4C7C5"/>
          <w:left w:val="single" w:sz="6" w:space="0" w:color="C4C7C5"/>
          <w:bottom w:val="single" w:sz="6" w:space="0" w:color="C4C7C5"/>
          <w:right w:val="single" w:sz="6" w:space="0" w:color="C4C7C5"/>
        </w:tblBorders>
        <w:tblCellMar>
          <w:top w:w="15" w:type="dxa"/>
          <w:left w:w="15" w:type="dxa"/>
          <w:bottom w:w="15" w:type="dxa"/>
          <w:right w:w="15" w:type="dxa"/>
        </w:tblCellMar>
        <w:tblLook w:val="04A0" w:firstRow="1" w:lastRow="0" w:firstColumn="1" w:lastColumn="0" w:noHBand="0" w:noVBand="1"/>
      </w:tblPr>
      <w:tblGrid>
        <w:gridCol w:w="3394"/>
        <w:gridCol w:w="2694"/>
        <w:gridCol w:w="2551"/>
      </w:tblGrid>
      <w:tr w:rsidR="005D6C64" w:rsidRPr="005D6C64" w14:paraId="6D677B08" w14:textId="77777777" w:rsidTr="00CE42F9">
        <w:trPr>
          <w:tblHeader/>
          <w:tblCellSpacing w:w="15" w:type="dxa"/>
        </w:trPr>
        <w:tc>
          <w:tcPr>
            <w:tcW w:w="3349" w:type="dxa"/>
            <w:tcMar>
              <w:top w:w="270" w:type="dxa"/>
              <w:left w:w="240" w:type="dxa"/>
              <w:bottom w:w="270" w:type="dxa"/>
              <w:right w:w="240" w:type="dxa"/>
            </w:tcMar>
            <w:vAlign w:val="center"/>
            <w:hideMark/>
          </w:tcPr>
          <w:p w14:paraId="37EE6E67" w14:textId="77777777" w:rsidR="005D6C64" w:rsidRPr="005D6C64" w:rsidRDefault="005D6C64" w:rsidP="005D6C64">
            <w:pPr>
              <w:jc w:val="right"/>
              <w:rPr>
                <w:b/>
                <w:bCs/>
              </w:rPr>
            </w:pPr>
          </w:p>
        </w:tc>
        <w:tc>
          <w:tcPr>
            <w:tcW w:w="2664" w:type="dxa"/>
            <w:tcMar>
              <w:top w:w="270" w:type="dxa"/>
              <w:left w:w="240" w:type="dxa"/>
              <w:bottom w:w="270" w:type="dxa"/>
              <w:right w:w="240" w:type="dxa"/>
            </w:tcMar>
            <w:vAlign w:val="center"/>
            <w:hideMark/>
          </w:tcPr>
          <w:p w14:paraId="510E361D" w14:textId="77777777" w:rsidR="005D6C64" w:rsidRPr="005D6C64" w:rsidRDefault="005D6C64" w:rsidP="005D6C64">
            <w:pPr>
              <w:jc w:val="right"/>
              <w:rPr>
                <w:b/>
                <w:bCs/>
              </w:rPr>
            </w:pPr>
            <w:r w:rsidRPr="005D6C64">
              <w:rPr>
                <w:b/>
                <w:bCs/>
              </w:rPr>
              <w:t>Before the project</w:t>
            </w:r>
          </w:p>
        </w:tc>
        <w:tc>
          <w:tcPr>
            <w:tcW w:w="2506" w:type="dxa"/>
            <w:tcMar>
              <w:top w:w="270" w:type="dxa"/>
              <w:left w:w="240" w:type="dxa"/>
              <w:bottom w:w="270" w:type="dxa"/>
              <w:right w:w="240" w:type="dxa"/>
            </w:tcMar>
            <w:vAlign w:val="center"/>
            <w:hideMark/>
          </w:tcPr>
          <w:p w14:paraId="293EE86E" w14:textId="77777777" w:rsidR="005D6C64" w:rsidRPr="005D6C64" w:rsidRDefault="005D6C64" w:rsidP="005D6C64">
            <w:pPr>
              <w:jc w:val="right"/>
              <w:rPr>
                <w:b/>
                <w:bCs/>
                <w:rtl/>
              </w:rPr>
            </w:pPr>
            <w:r w:rsidRPr="005D6C64">
              <w:rPr>
                <w:b/>
                <w:bCs/>
              </w:rPr>
              <w:t>After the project</w:t>
            </w:r>
          </w:p>
        </w:tc>
      </w:tr>
      <w:tr w:rsidR="005D6C64" w:rsidRPr="005D6C64" w14:paraId="539016A1" w14:textId="77777777" w:rsidTr="00CE42F9">
        <w:trPr>
          <w:tblCellSpacing w:w="15" w:type="dxa"/>
        </w:trPr>
        <w:tc>
          <w:tcPr>
            <w:tcW w:w="3349" w:type="dxa"/>
            <w:tcBorders>
              <w:top w:val="single" w:sz="6" w:space="0" w:color="C4C7C5"/>
            </w:tcBorders>
            <w:tcMar>
              <w:top w:w="240" w:type="dxa"/>
              <w:left w:w="240" w:type="dxa"/>
              <w:bottom w:w="240" w:type="dxa"/>
              <w:right w:w="240" w:type="dxa"/>
            </w:tcMar>
            <w:vAlign w:val="center"/>
            <w:hideMark/>
          </w:tcPr>
          <w:p w14:paraId="35E7CF27" w14:textId="77777777" w:rsidR="005D6C64" w:rsidRPr="005D6C64" w:rsidRDefault="005D6C64" w:rsidP="005D6C64">
            <w:pPr>
              <w:jc w:val="right"/>
              <w:rPr>
                <w:b/>
                <w:bCs/>
                <w:rtl/>
              </w:rPr>
            </w:pPr>
            <w:r w:rsidRPr="005D6C64">
              <w:rPr>
                <w:b/>
                <w:bCs/>
              </w:rPr>
              <w:t>Attendance rate</w:t>
            </w:r>
          </w:p>
        </w:tc>
        <w:tc>
          <w:tcPr>
            <w:tcW w:w="2664" w:type="dxa"/>
            <w:tcBorders>
              <w:top w:val="single" w:sz="6" w:space="0" w:color="C4C7C5"/>
            </w:tcBorders>
            <w:tcMar>
              <w:top w:w="240" w:type="dxa"/>
              <w:left w:w="240" w:type="dxa"/>
              <w:bottom w:w="240" w:type="dxa"/>
              <w:right w:w="240" w:type="dxa"/>
            </w:tcMar>
            <w:vAlign w:val="center"/>
            <w:hideMark/>
          </w:tcPr>
          <w:p w14:paraId="1902DEB7" w14:textId="77777777" w:rsidR="005D6C64" w:rsidRPr="005D6C64" w:rsidRDefault="005D6C64" w:rsidP="005D6C64">
            <w:pPr>
              <w:jc w:val="right"/>
              <w:rPr>
                <w:b/>
                <w:bCs/>
              </w:rPr>
            </w:pPr>
            <w:r w:rsidRPr="005D6C64">
              <w:rPr>
                <w:b/>
                <w:bCs/>
              </w:rPr>
              <w:t>10%</w:t>
            </w:r>
          </w:p>
        </w:tc>
        <w:tc>
          <w:tcPr>
            <w:tcW w:w="2506" w:type="dxa"/>
            <w:tcBorders>
              <w:top w:val="single" w:sz="6" w:space="0" w:color="C4C7C5"/>
            </w:tcBorders>
            <w:tcMar>
              <w:top w:w="240" w:type="dxa"/>
              <w:left w:w="240" w:type="dxa"/>
              <w:bottom w:w="240" w:type="dxa"/>
              <w:right w:w="240" w:type="dxa"/>
            </w:tcMar>
            <w:vAlign w:val="center"/>
            <w:hideMark/>
          </w:tcPr>
          <w:p w14:paraId="1E26DA44" w14:textId="77777777" w:rsidR="005D6C64" w:rsidRPr="005D6C64" w:rsidRDefault="005D6C64" w:rsidP="005D6C64">
            <w:pPr>
              <w:jc w:val="right"/>
              <w:rPr>
                <w:b/>
                <w:bCs/>
                <w:rtl/>
              </w:rPr>
            </w:pPr>
            <w:r w:rsidRPr="005D6C64">
              <w:rPr>
                <w:b/>
                <w:bCs/>
              </w:rPr>
              <w:t>65%</w:t>
            </w:r>
          </w:p>
        </w:tc>
      </w:tr>
      <w:tr w:rsidR="005D6C64" w:rsidRPr="005D6C64" w14:paraId="2667F878" w14:textId="77777777" w:rsidTr="00CE42F9">
        <w:trPr>
          <w:tblCellSpacing w:w="15" w:type="dxa"/>
        </w:trPr>
        <w:tc>
          <w:tcPr>
            <w:tcW w:w="3349" w:type="dxa"/>
            <w:tcBorders>
              <w:top w:val="single" w:sz="6" w:space="0" w:color="C4C7C5"/>
            </w:tcBorders>
            <w:tcMar>
              <w:top w:w="240" w:type="dxa"/>
              <w:left w:w="240" w:type="dxa"/>
              <w:bottom w:w="240" w:type="dxa"/>
              <w:right w:w="240" w:type="dxa"/>
            </w:tcMar>
            <w:vAlign w:val="center"/>
            <w:hideMark/>
          </w:tcPr>
          <w:p w14:paraId="59C0F39B" w14:textId="77777777" w:rsidR="005D6C64" w:rsidRPr="005D6C64" w:rsidRDefault="005D6C64" w:rsidP="005D6C64">
            <w:pPr>
              <w:jc w:val="right"/>
              <w:rPr>
                <w:b/>
                <w:bCs/>
              </w:rPr>
            </w:pPr>
            <w:r w:rsidRPr="005D6C64">
              <w:rPr>
                <w:b/>
                <w:bCs/>
              </w:rPr>
              <w:t>Leakage rate</w:t>
            </w:r>
          </w:p>
        </w:tc>
        <w:tc>
          <w:tcPr>
            <w:tcW w:w="2664" w:type="dxa"/>
            <w:tcBorders>
              <w:top w:val="single" w:sz="6" w:space="0" w:color="C4C7C5"/>
            </w:tcBorders>
            <w:tcMar>
              <w:top w:w="240" w:type="dxa"/>
              <w:left w:w="240" w:type="dxa"/>
              <w:bottom w:w="240" w:type="dxa"/>
              <w:right w:w="240" w:type="dxa"/>
            </w:tcMar>
            <w:vAlign w:val="center"/>
            <w:hideMark/>
          </w:tcPr>
          <w:p w14:paraId="5A4E6855" w14:textId="77777777" w:rsidR="005D6C64" w:rsidRPr="005D6C64" w:rsidRDefault="005D6C64" w:rsidP="005D6C64">
            <w:pPr>
              <w:jc w:val="right"/>
              <w:rPr>
                <w:b/>
                <w:bCs/>
              </w:rPr>
            </w:pPr>
            <w:r w:rsidRPr="005D6C64">
              <w:rPr>
                <w:b/>
                <w:bCs/>
              </w:rPr>
              <w:t>90%</w:t>
            </w:r>
          </w:p>
        </w:tc>
        <w:tc>
          <w:tcPr>
            <w:tcW w:w="2506" w:type="dxa"/>
            <w:tcBorders>
              <w:top w:val="single" w:sz="6" w:space="0" w:color="C4C7C5"/>
            </w:tcBorders>
            <w:tcMar>
              <w:top w:w="240" w:type="dxa"/>
              <w:left w:w="240" w:type="dxa"/>
              <w:bottom w:w="240" w:type="dxa"/>
              <w:right w:w="240" w:type="dxa"/>
            </w:tcMar>
            <w:vAlign w:val="center"/>
            <w:hideMark/>
          </w:tcPr>
          <w:p w14:paraId="0D057BB8" w14:textId="77777777" w:rsidR="005D6C64" w:rsidRPr="005D6C64" w:rsidRDefault="005D6C64" w:rsidP="005D6C64">
            <w:pPr>
              <w:jc w:val="right"/>
              <w:rPr>
                <w:b/>
                <w:bCs/>
              </w:rPr>
            </w:pPr>
            <w:r w:rsidRPr="005D6C64">
              <w:rPr>
                <w:b/>
                <w:bCs/>
              </w:rPr>
              <w:t>30%</w:t>
            </w:r>
          </w:p>
        </w:tc>
      </w:tr>
      <w:tr w:rsidR="005D6C64" w:rsidRPr="005D6C64" w14:paraId="688DCA16" w14:textId="77777777" w:rsidTr="00CE42F9">
        <w:trPr>
          <w:tblCellSpacing w:w="15" w:type="dxa"/>
        </w:trPr>
        <w:tc>
          <w:tcPr>
            <w:tcW w:w="3349" w:type="dxa"/>
            <w:tcBorders>
              <w:top w:val="single" w:sz="6" w:space="0" w:color="C4C7C5"/>
            </w:tcBorders>
            <w:tcMar>
              <w:top w:w="240" w:type="dxa"/>
              <w:left w:w="240" w:type="dxa"/>
              <w:bottom w:w="240" w:type="dxa"/>
              <w:right w:w="240" w:type="dxa"/>
            </w:tcMar>
            <w:vAlign w:val="center"/>
            <w:hideMark/>
          </w:tcPr>
          <w:p w14:paraId="7DB3D707" w14:textId="77777777" w:rsidR="005D6C64" w:rsidRPr="005D6C64" w:rsidRDefault="005D6C64" w:rsidP="005D6C64">
            <w:pPr>
              <w:jc w:val="right"/>
              <w:rPr>
                <w:b/>
                <w:bCs/>
              </w:rPr>
            </w:pPr>
            <w:r w:rsidRPr="005D6C64">
              <w:rPr>
                <w:b/>
                <w:bCs/>
              </w:rPr>
              <w:t>Average score</w:t>
            </w:r>
          </w:p>
        </w:tc>
        <w:tc>
          <w:tcPr>
            <w:tcW w:w="2664" w:type="dxa"/>
            <w:tcBorders>
              <w:top w:val="single" w:sz="6" w:space="0" w:color="C4C7C5"/>
            </w:tcBorders>
            <w:tcMar>
              <w:top w:w="240" w:type="dxa"/>
              <w:left w:w="240" w:type="dxa"/>
              <w:bottom w:w="240" w:type="dxa"/>
              <w:right w:w="240" w:type="dxa"/>
            </w:tcMar>
            <w:vAlign w:val="center"/>
            <w:hideMark/>
          </w:tcPr>
          <w:p w14:paraId="774D13A9" w14:textId="77777777" w:rsidR="005D6C64" w:rsidRPr="005D6C64" w:rsidRDefault="005D6C64" w:rsidP="005D6C64">
            <w:pPr>
              <w:jc w:val="right"/>
              <w:rPr>
                <w:b/>
                <w:bCs/>
              </w:rPr>
            </w:pPr>
            <w:r w:rsidRPr="005D6C64">
              <w:rPr>
                <w:b/>
                <w:bCs/>
              </w:rPr>
              <w:t>10%</w:t>
            </w:r>
          </w:p>
        </w:tc>
        <w:tc>
          <w:tcPr>
            <w:tcW w:w="2506" w:type="dxa"/>
            <w:tcBorders>
              <w:top w:val="single" w:sz="6" w:space="0" w:color="C4C7C5"/>
            </w:tcBorders>
            <w:tcMar>
              <w:top w:w="240" w:type="dxa"/>
              <w:left w:w="240" w:type="dxa"/>
              <w:bottom w:w="240" w:type="dxa"/>
              <w:right w:w="240" w:type="dxa"/>
            </w:tcMar>
            <w:vAlign w:val="center"/>
            <w:hideMark/>
          </w:tcPr>
          <w:p w14:paraId="62F83ECB" w14:textId="77777777" w:rsidR="005D6C64" w:rsidRPr="005D6C64" w:rsidRDefault="005D6C64" w:rsidP="005D6C64">
            <w:pPr>
              <w:jc w:val="right"/>
              <w:rPr>
                <w:b/>
                <w:bCs/>
                <w:rtl/>
              </w:rPr>
            </w:pPr>
            <w:r w:rsidRPr="005D6C64">
              <w:rPr>
                <w:b/>
                <w:bCs/>
              </w:rPr>
              <w:t>40%</w:t>
            </w:r>
          </w:p>
        </w:tc>
      </w:tr>
      <w:tr w:rsidR="005D6C64" w:rsidRPr="005D6C64" w14:paraId="52300AC7" w14:textId="77777777" w:rsidTr="00CE42F9">
        <w:trPr>
          <w:tblCellSpacing w:w="15" w:type="dxa"/>
        </w:trPr>
        <w:tc>
          <w:tcPr>
            <w:tcW w:w="3349" w:type="dxa"/>
            <w:tcBorders>
              <w:top w:val="single" w:sz="6" w:space="0" w:color="C4C7C5"/>
            </w:tcBorders>
            <w:tcMar>
              <w:top w:w="240" w:type="dxa"/>
              <w:left w:w="240" w:type="dxa"/>
              <w:bottom w:w="240" w:type="dxa"/>
              <w:right w:w="240" w:type="dxa"/>
            </w:tcMar>
            <w:vAlign w:val="center"/>
            <w:hideMark/>
          </w:tcPr>
          <w:p w14:paraId="228E8DC1" w14:textId="77777777" w:rsidR="005D6C64" w:rsidRPr="005D6C64" w:rsidRDefault="005D6C64" w:rsidP="005D6C64">
            <w:pPr>
              <w:jc w:val="right"/>
              <w:rPr>
                <w:b/>
                <w:bCs/>
              </w:rPr>
            </w:pPr>
            <w:r w:rsidRPr="005D6C64">
              <w:rPr>
                <w:b/>
                <w:bCs/>
              </w:rPr>
              <w:t>Self-confidence level</w:t>
            </w:r>
          </w:p>
        </w:tc>
        <w:tc>
          <w:tcPr>
            <w:tcW w:w="2664" w:type="dxa"/>
            <w:tcBorders>
              <w:top w:val="single" w:sz="6" w:space="0" w:color="C4C7C5"/>
            </w:tcBorders>
            <w:tcMar>
              <w:top w:w="240" w:type="dxa"/>
              <w:left w:w="240" w:type="dxa"/>
              <w:bottom w:w="240" w:type="dxa"/>
              <w:right w:w="240" w:type="dxa"/>
            </w:tcMar>
            <w:vAlign w:val="center"/>
            <w:hideMark/>
          </w:tcPr>
          <w:p w14:paraId="51E0DDD5" w14:textId="77777777" w:rsidR="005D6C64" w:rsidRPr="005D6C64" w:rsidRDefault="005D6C64" w:rsidP="005D6C64">
            <w:pPr>
              <w:jc w:val="right"/>
              <w:rPr>
                <w:b/>
                <w:bCs/>
              </w:rPr>
            </w:pPr>
            <w:r w:rsidRPr="005D6C64">
              <w:rPr>
                <w:b/>
                <w:bCs/>
              </w:rPr>
              <w:t>5%</w:t>
            </w:r>
          </w:p>
        </w:tc>
        <w:tc>
          <w:tcPr>
            <w:tcW w:w="2506" w:type="dxa"/>
            <w:tcBorders>
              <w:top w:val="single" w:sz="6" w:space="0" w:color="C4C7C5"/>
            </w:tcBorders>
            <w:tcMar>
              <w:top w:w="240" w:type="dxa"/>
              <w:left w:w="240" w:type="dxa"/>
              <w:bottom w:w="240" w:type="dxa"/>
              <w:right w:w="240" w:type="dxa"/>
            </w:tcMar>
            <w:vAlign w:val="center"/>
            <w:hideMark/>
          </w:tcPr>
          <w:p w14:paraId="3AAB217A" w14:textId="77777777" w:rsidR="005D6C64" w:rsidRPr="005D6C64" w:rsidRDefault="005D6C64" w:rsidP="005D6C64">
            <w:pPr>
              <w:jc w:val="right"/>
              <w:rPr>
                <w:b/>
                <w:bCs/>
                <w:rtl/>
              </w:rPr>
            </w:pPr>
            <w:r w:rsidRPr="005D6C64">
              <w:rPr>
                <w:b/>
                <w:bCs/>
              </w:rPr>
              <w:t>30%</w:t>
            </w:r>
          </w:p>
        </w:tc>
      </w:tr>
      <w:tr w:rsidR="005D6C64" w:rsidRPr="005D6C64" w14:paraId="5CE269CD" w14:textId="77777777" w:rsidTr="00CE42F9">
        <w:trPr>
          <w:tblCellSpacing w:w="15" w:type="dxa"/>
        </w:trPr>
        <w:tc>
          <w:tcPr>
            <w:tcW w:w="3349" w:type="dxa"/>
            <w:tcBorders>
              <w:top w:val="single" w:sz="6" w:space="0" w:color="C4C7C5"/>
            </w:tcBorders>
            <w:tcMar>
              <w:top w:w="240" w:type="dxa"/>
              <w:left w:w="240" w:type="dxa"/>
              <w:bottom w:w="240" w:type="dxa"/>
              <w:right w:w="240" w:type="dxa"/>
            </w:tcMar>
            <w:vAlign w:val="center"/>
            <w:hideMark/>
          </w:tcPr>
          <w:p w14:paraId="181A5CBF" w14:textId="77777777" w:rsidR="005D6C64" w:rsidRPr="005D6C64" w:rsidRDefault="005D6C64" w:rsidP="005D6C64">
            <w:pPr>
              <w:jc w:val="right"/>
              <w:rPr>
                <w:b/>
                <w:bCs/>
              </w:rPr>
            </w:pPr>
            <w:r w:rsidRPr="005D6C64">
              <w:rPr>
                <w:b/>
                <w:bCs/>
              </w:rPr>
              <w:t>Level of belonging to the school</w:t>
            </w:r>
          </w:p>
        </w:tc>
        <w:tc>
          <w:tcPr>
            <w:tcW w:w="2664" w:type="dxa"/>
            <w:tcBorders>
              <w:top w:val="single" w:sz="6" w:space="0" w:color="C4C7C5"/>
            </w:tcBorders>
            <w:tcMar>
              <w:top w:w="240" w:type="dxa"/>
              <w:left w:w="240" w:type="dxa"/>
              <w:bottom w:w="240" w:type="dxa"/>
              <w:right w:w="240" w:type="dxa"/>
            </w:tcMar>
            <w:vAlign w:val="center"/>
            <w:hideMark/>
          </w:tcPr>
          <w:p w14:paraId="4664C6CE" w14:textId="77777777" w:rsidR="005D6C64" w:rsidRPr="005D6C64" w:rsidRDefault="005D6C64" w:rsidP="005D6C64">
            <w:pPr>
              <w:jc w:val="right"/>
              <w:rPr>
                <w:b/>
                <w:bCs/>
              </w:rPr>
            </w:pPr>
            <w:r w:rsidRPr="005D6C64">
              <w:rPr>
                <w:b/>
                <w:bCs/>
              </w:rPr>
              <w:t>5%</w:t>
            </w:r>
          </w:p>
        </w:tc>
        <w:tc>
          <w:tcPr>
            <w:tcW w:w="2506" w:type="dxa"/>
            <w:tcBorders>
              <w:top w:val="single" w:sz="6" w:space="0" w:color="C4C7C5"/>
            </w:tcBorders>
            <w:tcMar>
              <w:top w:w="240" w:type="dxa"/>
              <w:left w:w="240" w:type="dxa"/>
              <w:bottom w:w="240" w:type="dxa"/>
              <w:right w:w="240" w:type="dxa"/>
            </w:tcMar>
            <w:vAlign w:val="center"/>
            <w:hideMark/>
          </w:tcPr>
          <w:p w14:paraId="232BA840" w14:textId="77777777" w:rsidR="005D6C64" w:rsidRPr="005D6C64" w:rsidRDefault="005D6C64" w:rsidP="005D6C64">
            <w:pPr>
              <w:jc w:val="right"/>
              <w:rPr>
                <w:b/>
                <w:bCs/>
              </w:rPr>
            </w:pPr>
            <w:r w:rsidRPr="005D6C64">
              <w:rPr>
                <w:b/>
                <w:bCs/>
              </w:rPr>
              <w:t>40%</w:t>
            </w:r>
          </w:p>
        </w:tc>
      </w:tr>
    </w:tbl>
    <w:p w14:paraId="76091077" w14:textId="77777777" w:rsidR="005D6C64" w:rsidRDefault="005D6C64" w:rsidP="00CE2C05">
      <w:pPr>
        <w:jc w:val="right"/>
        <w:rPr>
          <w:rFonts w:hint="cs"/>
        </w:rPr>
      </w:pPr>
    </w:p>
    <w:p w14:paraId="533ECEB7" w14:textId="77777777" w:rsidR="005D6C64" w:rsidRDefault="005D6C64" w:rsidP="00CE2C05">
      <w:pPr>
        <w:jc w:val="right"/>
      </w:pPr>
    </w:p>
    <w:p w14:paraId="5E22B75E" w14:textId="77777777" w:rsidR="005D6C64" w:rsidRDefault="005D6C64" w:rsidP="00CE2C05">
      <w:pPr>
        <w:jc w:val="right"/>
      </w:pPr>
    </w:p>
    <w:p w14:paraId="7AE62B0B" w14:textId="2B8D131B" w:rsidR="00CE2C05" w:rsidRDefault="00CE2C05" w:rsidP="00CE2C05">
      <w:pPr>
        <w:jc w:val="right"/>
      </w:pPr>
      <w:r>
        <w:t>One of the students’ testimonies about the success of the project is the testimony of Afnan Ali Naji, a student at Al-Najah School, who said: “I hated studying and school and I hated the color of my skin last year because of the bullying and inferiority I was exposed to, and now this new year the situation has become different in the school in terms of treatment.” And I began to feel something strange. I felt confident in myself, and even my family began to care about my cleanliness and appearance. I love my school, I love the Nahda Youth Organization, which changed my life, and I love the supporters of the Nahda Youth Organization</w:t>
      </w:r>
      <w:r>
        <w:rPr>
          <w:rFonts w:cs="Arial"/>
          <w:rtl/>
        </w:rPr>
        <w:t>.”</w:t>
      </w:r>
    </w:p>
    <w:p w14:paraId="6B0E2DF8" w14:textId="77777777" w:rsidR="00CE2C05" w:rsidRDefault="00CE2C05" w:rsidP="00CE2C05">
      <w:pPr>
        <w:jc w:val="right"/>
      </w:pPr>
      <w:r>
        <w:t xml:space="preserve">The project is still continuing to provide its services to marginalized students, male and female, and seeks to expand its scope to include more regions and schools in Yemen. The project needs financial and moral support from donors, partners and volunteers to complete its successful journey. If you would like to contribute to this project or donate via the Global Giving platform, or want to know more about it, you can visit the project link on the Global Giving platform </w:t>
      </w:r>
      <w:proofErr w:type="gramStart"/>
      <w:r>
        <w:t>[ ]</w:t>
      </w:r>
      <w:proofErr w:type="gramEnd"/>
      <w:r>
        <w:t>, or contact the Nahda Youth Foundation</w:t>
      </w:r>
    </w:p>
    <w:p w14:paraId="1A066F5E" w14:textId="77777777" w:rsidR="00CE2C05" w:rsidRDefault="00CE2C05" w:rsidP="00CE2C05">
      <w:pPr>
        <w:jc w:val="right"/>
      </w:pPr>
      <w:r>
        <w:t>8</w:t>
      </w:r>
      <w:r>
        <w:rPr>
          <w:rFonts w:cs="Arial"/>
          <w:rtl/>
        </w:rPr>
        <w:t>-</w:t>
      </w:r>
      <w:r>
        <w:t>Recommendations</w:t>
      </w:r>
      <w:r>
        <w:rPr>
          <w:rFonts w:cs="Arial"/>
          <w:rtl/>
        </w:rPr>
        <w:t>:</w:t>
      </w:r>
    </w:p>
    <w:p w14:paraId="03EB2EC3" w14:textId="77777777" w:rsidR="00CE2C05" w:rsidRDefault="00CE2C05" w:rsidP="00CE2C05">
      <w:pPr>
        <w:jc w:val="right"/>
      </w:pPr>
      <w:r>
        <w:t>Continue organizing practical workshops and educating more families about the importance of healthy nutrition</w:t>
      </w:r>
      <w:r>
        <w:rPr>
          <w:rFonts w:cs="Arial"/>
          <w:rtl/>
        </w:rPr>
        <w:t>.</w:t>
      </w:r>
    </w:p>
    <w:p w14:paraId="706D987F" w14:textId="77777777" w:rsidR="00CE2C05" w:rsidRDefault="00CE2C05" w:rsidP="00CE2C05">
      <w:pPr>
        <w:jc w:val="right"/>
      </w:pPr>
      <w:r>
        <w:t>Search for partners and sponsors to provide additional resources to support and expand the project</w:t>
      </w:r>
      <w:r>
        <w:rPr>
          <w:rFonts w:cs="Arial"/>
          <w:rtl/>
        </w:rPr>
        <w:t>.</w:t>
      </w:r>
    </w:p>
    <w:p w14:paraId="3780400A" w14:textId="5114C974" w:rsidR="00CE2C05" w:rsidRDefault="00CE2C05" w:rsidP="00CE2C05">
      <w:pPr>
        <w:jc w:val="right"/>
      </w:pPr>
      <w:r>
        <w:lastRenderedPageBreak/>
        <w:t>Launching an urgent appeal to support the project on a monthly and continuous basis and expanding the number of donors</w:t>
      </w:r>
    </w:p>
    <w:p w14:paraId="4E259BDE" w14:textId="77777777" w:rsidR="00CE2C05" w:rsidRDefault="00CE2C05" w:rsidP="00CE2C05">
      <w:pPr>
        <w:jc w:val="right"/>
      </w:pPr>
      <w:r>
        <w:t>Among the most important recommendations of the workshops is expanding the project activities, providing school bags and school uniforms, in addition to distributing food meals, in addition to expanding the scope of targeting and family awareness, and holding a number of sessions with teachers, school principals, and the Department of Education in Taiz</w:t>
      </w:r>
      <w:r>
        <w:rPr>
          <w:rFonts w:cs="Arial"/>
          <w:rtl/>
        </w:rPr>
        <w:t>.</w:t>
      </w:r>
    </w:p>
    <w:p w14:paraId="13D9847E" w14:textId="77777777" w:rsidR="00CE2C05" w:rsidRDefault="00CE2C05" w:rsidP="00CE2C05">
      <w:pPr>
        <w:jc w:val="right"/>
      </w:pPr>
      <w:r>
        <w:t>9</w:t>
      </w:r>
      <w:r>
        <w:rPr>
          <w:rFonts w:cs="Arial"/>
          <w:rtl/>
        </w:rPr>
        <w:t>-</w:t>
      </w:r>
      <w:r>
        <w:t>Conclusion</w:t>
      </w:r>
    </w:p>
    <w:p w14:paraId="25952ECF" w14:textId="1ABC9E62" w:rsidR="008F55B8" w:rsidRPr="00EF00F7" w:rsidRDefault="00CE2C05" w:rsidP="00CE2C05">
      <w:pPr>
        <w:jc w:val="right"/>
        <w:rPr>
          <w:rtl/>
        </w:rPr>
      </w:pPr>
      <w:r>
        <w:t>We would like to thank all the partners and contributors to this project for their effective contribution to achieving our goals and supporting marginalized male and female students in Taiz. We also thank the donors in the Global Giving platform and those in charge of this platform. We must continue our work together to build an equal society that believes in the rights of education for all</w:t>
      </w:r>
    </w:p>
    <w:sectPr w:rsidR="008F55B8" w:rsidRPr="00EF00F7" w:rsidSect="0057237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1FC6"/>
    <w:multiLevelType w:val="hybridMultilevel"/>
    <w:tmpl w:val="4FD4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4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99"/>
    <w:rsid w:val="0002372B"/>
    <w:rsid w:val="00307199"/>
    <w:rsid w:val="00572372"/>
    <w:rsid w:val="005D6C64"/>
    <w:rsid w:val="008F55B8"/>
    <w:rsid w:val="00973258"/>
    <w:rsid w:val="00CE2C05"/>
    <w:rsid w:val="00EF00F7"/>
    <w:rsid w:val="00FD6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4C7B"/>
  <w15:chartTrackingRefBased/>
  <w15:docId w15:val="{3D9A5B56-5FB8-4D10-8316-B1F6D6FB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1075</Words>
  <Characters>6128</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alsharabi</dc:creator>
  <cp:keywords/>
  <dc:description/>
  <cp:lastModifiedBy>akram alsharabi</cp:lastModifiedBy>
  <cp:revision>2</cp:revision>
  <dcterms:created xsi:type="dcterms:W3CDTF">2023-09-26T12:31:00Z</dcterms:created>
  <dcterms:modified xsi:type="dcterms:W3CDTF">2023-09-26T13:56:00Z</dcterms:modified>
</cp:coreProperties>
</file>