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MUTIMA: Sanando el Corazón del Congo</w:t>
      </w:r>
    </w:p>
    <w:p>
      <w:pPr>
        <w:spacing w:after="120"/>
        <w:jc w:val="center"/>
      </w:pPr>
      <w:r>
        <w:rPr>
          <w:b/>
          <w:bCs/>
          <w:sz w:val="26"/>
          <w:szCs w:val="26"/>
        </w:rPr>
        <w:t xml:space="preserve">Memoria de Atención Psicosocial a Víctimas del Conflicto</w:t>
      </w:r>
    </w:p>
    <w:p>
      <w:pPr>
        <w:spacing w:after="360"/>
        <w:jc w:val="center"/>
      </w:pPr>
      <w:r>
        <w:rPr>
          <w:sz w:val="24"/>
          <w:szCs w:val="24"/>
        </w:rPr>
        <w:t xml:space="preserve">Kivu del Sur, República Democrática del Congo</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00"/>
          <w:left w:type="dxa" w:w="180"/>
          <w:bottom w:type="dxa" w:w="100"/>
          <w:right w:type="dxa" w:w="180"/>
        </w:tblCellMar>
      </w:tblPr>
      <w:tblGrid>
        <w:gridCol w:w="3120"/>
        <w:gridCol w:w="6240"/>
      </w:tblGrid>
      <w:tr>
        <w:tc>
          <w:tcPr>
            <w:tcW w:type="dxa" w:w="3120"/>
            <w:tcBorders>
              <w:top w:val="single" w:color="CCCCCC" w:sz="1"/>
              <w:left w:val="single" w:color="CCCCCC" w:sz="1"/>
              <w:bottom w:val="single" w:color="CCCCCC" w:sz="1"/>
              <w:right w:val="single" w:color="CCCCCC" w:sz="1"/>
            </w:tcBorders>
            <w:shd w:fill="D5E8F0" w:val="clear"/>
          </w:tcPr>
          <w:p>
            <w:r>
              <w:rPr>
                <w:b/>
                <w:bCs/>
              </w:rPr>
              <w:t xml:space="preserve">Organización Ejecutora:</w:t>
            </w:r>
          </w:p>
        </w:tc>
        <w:tc>
          <w:tcPr>
            <w:tcW w:type="dxa" w:w="6240"/>
            <w:tcBorders>
              <w:top w:val="single" w:color="CCCCCC" w:sz="1"/>
              <w:left w:val="single" w:color="CCCCCC" w:sz="1"/>
              <w:bottom w:val="single" w:color="CCCCCC" w:sz="1"/>
              <w:right w:val="single" w:color="CCCCCC" w:sz="1"/>
            </w:tcBorders>
          </w:tcPr>
          <w:p>
            <w:r>
              <w:t xml:space="preserve">Coopera Congo (COCO)</w:t>
            </w:r>
          </w:p>
        </w:tc>
      </w:tr>
      <w:tr>
        <w:tc>
          <w:tcPr>
            <w:tcW w:type="dxa" w:w="3120"/>
            <w:tcBorders>
              <w:top w:val="single" w:color="CCCCCC" w:sz="1"/>
              <w:left w:val="single" w:color="CCCCCC" w:sz="1"/>
              <w:bottom w:val="single" w:color="CCCCCC" w:sz="1"/>
              <w:right w:val="single" w:color="CCCCCC" w:sz="1"/>
            </w:tcBorders>
            <w:shd w:fill="D5E8F0" w:val="clear"/>
          </w:tcPr>
          <w:p>
            <w:r>
              <w:rPr>
                <w:b/>
                <w:bCs/>
              </w:rPr>
              <w:t xml:space="preserve">Financiador:</w:t>
            </w:r>
          </w:p>
        </w:tc>
        <w:tc>
          <w:tcPr>
            <w:tcW w:type="dxa" w:w="6240"/>
            <w:tcBorders>
              <w:top w:val="single" w:color="CCCCCC" w:sz="1"/>
              <w:left w:val="single" w:color="CCCCCC" w:sz="1"/>
              <w:bottom w:val="single" w:color="CCCCCC" w:sz="1"/>
              <w:right w:val="single" w:color="CCCCCC" w:sz="1"/>
            </w:tcBorders>
          </w:tcPr>
          <w:p>
            <w:r>
              <w:t xml:space="preserve">Global Giving</w:t>
            </w:r>
          </w:p>
        </w:tc>
      </w:tr>
      <w:tr>
        <w:tc>
          <w:tcPr>
            <w:tcW w:type="dxa" w:w="3120"/>
            <w:tcBorders>
              <w:top w:val="single" w:color="CCCCCC" w:sz="1"/>
              <w:left w:val="single" w:color="CCCCCC" w:sz="1"/>
              <w:bottom w:val="single" w:color="CCCCCC" w:sz="1"/>
              <w:right w:val="single" w:color="CCCCCC" w:sz="1"/>
            </w:tcBorders>
            <w:shd w:fill="D5E8F0" w:val="clear"/>
          </w:tcPr>
          <w:p>
            <w:r>
              <w:rPr>
                <w:b/>
                <w:bCs/>
              </w:rPr>
              <w:t xml:space="preserve">Ubicación:</w:t>
            </w:r>
          </w:p>
        </w:tc>
        <w:tc>
          <w:tcPr>
            <w:tcW w:type="dxa" w:w="6240"/>
            <w:tcBorders>
              <w:top w:val="single" w:color="CCCCCC" w:sz="1"/>
              <w:left w:val="single" w:color="CCCCCC" w:sz="1"/>
              <w:bottom w:val="single" w:color="CCCCCC" w:sz="1"/>
              <w:right w:val="single" w:color="CCCCCC" w:sz="1"/>
            </w:tcBorders>
          </w:tcPr>
          <w:p>
            <w:r>
              <w:t xml:space="preserve">Lwiro, Provincia de Kivu del Sur, RD Congo</w:t>
            </w:r>
          </w:p>
        </w:tc>
      </w:tr>
      <w:tr>
        <w:tc>
          <w:tcPr>
            <w:tcW w:type="dxa" w:w="3120"/>
            <w:tcBorders>
              <w:top w:val="single" w:color="CCCCCC" w:sz="1"/>
              <w:left w:val="single" w:color="CCCCCC" w:sz="1"/>
              <w:bottom w:val="single" w:color="CCCCCC" w:sz="1"/>
              <w:right w:val="single" w:color="CCCCCC" w:sz="1"/>
            </w:tcBorders>
            <w:shd w:fill="D5E8F0" w:val="clear"/>
          </w:tcPr>
          <w:p>
            <w:r>
              <w:rPr>
                <w:b/>
                <w:bCs/>
              </w:rPr>
              <w:t xml:space="preserve">Período de reporte:</w:t>
            </w:r>
          </w:p>
        </w:tc>
        <w:tc>
          <w:tcPr>
            <w:tcW w:type="dxa" w:w="6240"/>
            <w:tcBorders>
              <w:top w:val="single" w:color="CCCCCC" w:sz="1"/>
              <w:left w:val="single" w:color="CCCCCC" w:sz="1"/>
              <w:bottom w:val="single" w:color="CCCCCC" w:sz="1"/>
              <w:right w:val="single" w:color="CCCCCC" w:sz="1"/>
            </w:tcBorders>
          </w:tcPr>
          <w:p>
            <w:r>
              <w:t xml:space="preserve">2024-2025</w:t>
            </w:r>
          </w:p>
        </w:tc>
      </w:tr>
    </w:tbl>
    <w:p>
      <w:pPr>
        <w:spacing w:before="360"/>
      </w:pPr>
      <w:r>
        <w:t xml:space="preserve"/>
      </w:r>
    </w:p>
    <w:p>
      <w:pPr>
        <w:pStyle w:val="Heading1"/>
      </w:pPr>
      <w:r>
        <w:t xml:space="preserve">1. CONTEXTO DEL CONFLICTO EN KIVU DEL SUR</w:t>
      </w:r>
    </w:p>
    <w:p>
      <w:pPr>
        <w:pStyle w:val="Heading2"/>
      </w:pPr>
      <w:r>
        <w:t xml:space="preserve">1.1. Escalada del Conflicto en 2025</w:t>
      </w:r>
    </w:p>
    <w:p>
      <w:pPr>
        <w:spacing w:after="120"/>
      </w:pPr>
      <w:r>
        <w:t xml:space="preserve">Desde enero de 2025, las provincias de Kivu del Norte y Kivu del Sur han experimentado una dramática intensificación del conflicto armado. El grupo rebelde M23 (Movimiento 23 de Marzo), respaldado por las fuerzas de defensa de Ruanda, ha llevado a cabo una ofensiva militar sin precedentes que ha transformado radicalmente la situación humanitaria en la región.</w:t>
      </w:r>
    </w:p>
    <w:p>
      <w:pPr>
        <w:spacing w:after="120"/>
      </w:pPr>
      <w:r>
        <w:t xml:space="preserve">El 27 de enero de 2025, el M23 capturó Goma, la capital provincial de Kivu del Norte y uno de los centros urbanos más importantes del este de la RD Congo. El 16 de febrero de 2025, las fuerzas rebeldes tomaron control de Bukavu, la capital de Kivu del Sur, la segunda ciudad más grande de la región. Esta expansión territorial ha colocado bajo control del M23 prácticamente toda la provincia de Kivu del Norte y grandes extensiones de Kivu del Sur.</w:t>
      </w:r>
    </w:p>
    <w:p>
      <w:pPr>
        <w:spacing w:after="120"/>
      </w:pPr>
      <w:r>
        <w:t xml:space="preserve">Los datos de desplazamiento son alarmantes: entre el 1 de enero y el 20 de febrero de 2025, al menos 500.000 personas fueron desplazadas internamente debido al conflicto y la violencia en Kivu del Norte y Kivu del Sur. Más de 73.000 personas huyeron hacia países vecinos. Desde el avance del M23 en Goma, se han registrado 1.157.090 personas desplazadas (226.140 hogares) en las provincias de Kivu del Norte y Sur, de las cuales 660.513 fueron re-desplazadas de sitios y centros colectivos preexistentes.</w:t>
      </w:r>
    </w:p>
    <w:p>
      <w:pPr>
        <w:pStyle w:val="Heading2"/>
      </w:pPr>
      <w:r>
        <w:t xml:space="preserve">1.2. Raíces Históricas y Complejidad del Conflicto</w:t>
      </w:r>
    </w:p>
    <w:p>
      <w:pPr>
        <w:spacing w:after="120"/>
      </w:pPr>
      <w:r>
        <w:t xml:space="preserve">La región de Kivu ha sido zona de conflicto durante décadas. Este conflicto tiene raíces complejas que incluyen tensiones étnicas históricas, especialmente entre las comunidades Babembe, Bafulero y Banyamulenge (congoleños de origen tutsi), que datan de tiempos precoloniales. Sin embargo, la situación actual va mucho más allá de rivalidades étnicas.</w:t>
      </w:r>
    </w:p>
    <w:p>
      <w:pPr>
        <w:spacing w:after="120"/>
      </w:pPr>
      <w:r>
        <w:t xml:space="preserve">La región de los Kivu es la zona más conflictiva del país debido a la cantidad y calidad de sus recursos naturales: cobre, cobalto, estaño, tantalio, litio, diamantes, oro, madera y fauna silvestre. Actualmente operan alrededor de un centenar de grupos armados en la región, incluyendo:</w:t>
      </w:r>
    </w:p>
    <w:p>
      <w:pPr>
        <w:pStyle w:val="ListParagraph"/>
        <w:numPr>
          <w:ilvl w:val="0"/>
          <w:numId w:val="2"/>
        </w:numPr>
      </w:pPr>
      <w:r>
        <w:t xml:space="preserve">M23/AFC (Alianza Fleuve Congo) y sus aliados</w:t>
      </w:r>
    </w:p>
    <w:p>
      <w:pPr>
        <w:pStyle w:val="ListParagraph"/>
        <w:numPr>
          <w:ilvl w:val="0"/>
          <w:numId w:val="2"/>
        </w:numPr>
      </w:pPr>
      <w:r>
        <w:t xml:space="preserve">FDLR (Fuerzas Democráticas para la Liberación de Ruanda)</w:t>
      </w:r>
    </w:p>
    <w:p>
      <w:pPr>
        <w:pStyle w:val="ListParagraph"/>
        <w:numPr>
          <w:ilvl w:val="0"/>
          <w:numId w:val="2"/>
        </w:numPr>
      </w:pPr>
      <w:r>
        <w:t xml:space="preserve">Milicias Wazalendo y Mayi-Mayi</w:t>
      </w:r>
    </w:p>
    <w:p>
      <w:pPr>
        <w:pStyle w:val="ListParagraph"/>
        <w:numPr>
          <w:ilvl w:val="0"/>
          <w:numId w:val="2"/>
        </w:numPr>
      </w:pPr>
      <w:r>
        <w:t xml:space="preserve">ADF (Fuerzas Democráticas Aliadas), afiliadas al Estado Islámico</w:t>
      </w:r>
    </w:p>
    <w:p>
      <w:pPr>
        <w:pStyle w:val="ListParagraph"/>
        <w:numPr>
          <w:ilvl w:val="0"/>
          <w:numId w:val="2"/>
        </w:numPr>
      </w:pPr>
      <w:r>
        <w:t xml:space="preserve">Grupos Twirwaneho y otros actores armados locales</w:t>
      </w:r>
    </w:p>
    <w:p>
      <w:pPr>
        <w:spacing w:before="120" w:after="120"/>
      </w:pPr>
      <w:r>
        <w:t xml:space="preserve">El ejército congoleño (FARDC), las tropas de Burundi y Sudáfrica, y las milicias locales también son actores en este conflicto multifacético.</w:t>
      </w:r>
    </w:p>
    <w:p>
      <w:pPr>
        <w:pStyle w:val="Heading2"/>
      </w:pPr>
      <w:r>
        <w:t xml:space="preserve">1.3. Impacto en la Población Civil</w:t>
      </w:r>
    </w:p>
    <w:p>
      <w:pPr>
        <w:spacing w:after="120"/>
      </w:pPr>
      <w:r>
        <w:t xml:space="preserve">La población civil congoleña ha sido la principal víctima de este conflicto prolongado. Las comunidades locales conviven con el trauma de forma constante, experimentando o presenciando diariamente:</w:t>
      </w:r>
    </w:p>
    <w:p>
      <w:pPr>
        <w:pStyle w:val="ListParagraph"/>
        <w:numPr>
          <w:ilvl w:val="0"/>
          <w:numId w:val="2"/>
        </w:numPr>
      </w:pPr>
      <w:r>
        <w:t xml:space="preserve">Conflictos armados y brotes de violencia sistemática</w:t>
      </w:r>
    </w:p>
    <w:p>
      <w:pPr>
        <w:pStyle w:val="ListParagraph"/>
        <w:numPr>
          <w:ilvl w:val="0"/>
          <w:numId w:val="2"/>
        </w:numPr>
      </w:pPr>
      <w:r>
        <w:t xml:space="preserve">Masacres, ejecuciones sumarias y torturas</w:t>
      </w:r>
    </w:p>
    <w:p>
      <w:pPr>
        <w:pStyle w:val="ListParagraph"/>
        <w:numPr>
          <w:ilvl w:val="0"/>
          <w:numId w:val="2"/>
        </w:numPr>
      </w:pPr>
      <w:r>
        <w:t xml:space="preserve">Violencia sexual masiva utilizada como arma de guerra</w:t>
      </w:r>
    </w:p>
    <w:p>
      <w:pPr>
        <w:pStyle w:val="ListParagraph"/>
        <w:numPr>
          <w:ilvl w:val="0"/>
          <w:numId w:val="2"/>
        </w:numPr>
      </w:pPr>
      <w:r>
        <w:t xml:space="preserve">Secuestros y reclutamiento forzado, especialmente de menores</w:t>
      </w:r>
    </w:p>
    <w:p>
      <w:pPr>
        <w:pStyle w:val="ListParagraph"/>
        <w:numPr>
          <w:ilvl w:val="0"/>
          <w:numId w:val="2"/>
        </w:numPr>
      </w:pPr>
      <w:r>
        <w:t xml:space="preserve">Saqueos y destrucción de medios de subsistencia</w:t>
      </w:r>
    </w:p>
    <w:p>
      <w:pPr>
        <w:pStyle w:val="ListParagraph"/>
        <w:numPr>
          <w:ilvl w:val="0"/>
          <w:numId w:val="2"/>
        </w:numPr>
      </w:pPr>
      <w:r>
        <w:t xml:space="preserve">Ataques a infraestructuras sanitarias y desmantelamiento de campos de desplazados</w:t>
      </w:r>
    </w:p>
    <w:p>
      <w:pPr>
        <w:spacing w:before="120" w:after="120"/>
      </w:pPr>
      <w:r>
        <w:t xml:space="preserve">Además de la violencia, la población enfrenta catástrofes naturales como deslizamientos de tierra, inundaciones, terremotos y erupciones volcánicas, así como epidemias de ébola, sarampión, cólera, COVID-19 y Mpox.</w:t>
      </w:r>
    </w:p>
    <w:p>
      <w:pPr>
        <w:pStyle w:val="Heading1"/>
      </w:pPr>
      <w:r>
        <w:t xml:space="preserve">2. VIOLENCIA SEXUAL COMO ARMA DE GUERRA</w:t>
      </w:r>
    </w:p>
    <w:p>
      <w:pPr>
        <w:pStyle w:val="Heading2"/>
      </w:pPr>
      <w:r>
        <w:t xml:space="preserve">2.1. Magnitud de la Crisis</w:t>
      </w:r>
    </w:p>
    <w:p>
      <w:pPr>
        <w:spacing w:after="120"/>
      </w:pPr>
      <w:r>
        <w:t xml:space="preserve">La violencia sexual en el este de la República Democrática del Congo ha alcanzado niveles sin precedentes durante la intensificación del conflicto en 2025. Los datos son devastadores y reflejan el uso sistemático de la violación como táctica de guerra para aterrorizar y castigar a la población civil.</w:t>
      </w:r>
    </w:p>
    <w:p>
      <w:pPr>
        <w:spacing w:after="120"/>
      </w:pPr>
      <w:r>
        <w:rPr>
          <w:b/>
          <w:bCs/>
        </w:rPr>
        <w:t xml:space="preserve">Datos de 2024-2025:</w:t>
      </w:r>
    </w:p>
    <w:p>
      <w:pPr>
        <w:pStyle w:val="ListParagraph"/>
        <w:numPr>
          <w:ilvl w:val="0"/>
          <w:numId w:val="2"/>
        </w:numPr>
      </w:pPr>
      <w:r>
        <w:t xml:space="preserve">En Kivu del Norte: cerca de 40.000 víctimas atendidas durante 2024 por MSF</w:t>
      </w:r>
    </w:p>
    <w:p>
      <w:pPr>
        <w:pStyle w:val="ListParagraph"/>
        <w:numPr>
          <w:ilvl w:val="0"/>
          <w:numId w:val="2"/>
        </w:numPr>
      </w:pPr>
      <w:r>
        <w:t xml:space="preserve">Entre enero y mayo de 2024: más de 17.000 casos de violencia sexual registrados</w:t>
      </w:r>
    </w:p>
    <w:p>
      <w:pPr>
        <w:pStyle w:val="ListParagraph"/>
        <w:numPr>
          <w:ilvl w:val="0"/>
          <w:numId w:val="2"/>
        </w:numPr>
      </w:pPr>
      <w:r>
        <w:t xml:space="preserve">Aumento del 700%: Los casos de violencia sexual se multiplicaron casi por siete entre febrero y marzo de 2025</w:t>
      </w:r>
    </w:p>
    <w:p>
      <w:pPr>
        <w:pStyle w:val="ListParagraph"/>
        <w:numPr>
          <w:ilvl w:val="0"/>
          <w:numId w:val="2"/>
        </w:numPr>
      </w:pPr>
      <w:r>
        <w:t xml:space="preserve">381 casos documentados en marzo-abril 2025 por ActionAid, más de cinco veces los casos de enero-febrero</w:t>
      </w:r>
    </w:p>
    <w:p>
      <w:pPr>
        <w:pStyle w:val="ListParagraph"/>
        <w:numPr>
          <w:ilvl w:val="0"/>
          <w:numId w:val="2"/>
        </w:numPr>
      </w:pPr>
      <w:r>
        <w:t xml:space="preserve">En la semana del 27 de enero al 2 de febrero de 2025: los casos de violación en 42 centros de salud se multiplicaron por cinco, con el 30% de las personas tratadas siendo niños y niñas</w:t>
      </w:r>
    </w:p>
    <w:p>
      <w:pPr>
        <w:spacing w:before="120" w:after="120"/>
      </w:pPr>
      <w:r>
        <w:t xml:space="preserve">La RD Congo ha sido, durante al menos cinco años consecutivos, el país con el nivel más alto de incidentes verificados de violencia sexual en conflictos de todas las situaciones en la agenda de niños y conflictos armados de Naciones Unidas.</w:t>
      </w:r>
    </w:p>
    <w:p>
      <w:pPr>
        <w:pStyle w:val="Heading2"/>
      </w:pPr>
      <w:r>
        <w:t xml:space="preserve">2.2. Perpetradores y Patrones de Violencia</w:t>
      </w:r>
    </w:p>
    <w:p>
      <w:pPr>
        <w:spacing w:after="120"/>
      </w:pPr>
      <w:r>
        <w:t xml:space="preserve">La violencia sexual es perpetrada por múltiples actores del conflicto, incluyendo combatientes del M23, milicias Wazalendo, soldados de las FARDC y otros grupos armados. Los testimonios documentados por organizaciones internacionales revelan patrones sistemáticos:</w:t>
      </w:r>
    </w:p>
    <w:p>
      <w:pPr>
        <w:pStyle w:val="ListParagraph"/>
        <w:numPr>
          <w:ilvl w:val="0"/>
          <w:numId w:val="2"/>
        </w:numPr>
      </w:pPr>
      <w:r>
        <w:t xml:space="preserve">Violaciones en grupo, frecuentemente a punta de pistola</w:t>
      </w:r>
    </w:p>
    <w:p>
      <w:pPr>
        <w:pStyle w:val="ListParagraph"/>
        <w:numPr>
          <w:ilvl w:val="0"/>
          <w:numId w:val="2"/>
        </w:numPr>
      </w:pPr>
      <w:r>
        <w:t xml:space="preserve">Violaciones en posiciones militares y campamentos</w:t>
      </w:r>
    </w:p>
    <w:p>
      <w:pPr>
        <w:pStyle w:val="ListParagraph"/>
        <w:numPr>
          <w:ilvl w:val="0"/>
          <w:numId w:val="2"/>
        </w:numPr>
      </w:pPr>
      <w:r>
        <w:t xml:space="preserve">Violencia sexual durante desplazamientos forzados</w:t>
      </w:r>
    </w:p>
    <w:p>
      <w:pPr>
        <w:pStyle w:val="ListParagraph"/>
        <w:numPr>
          <w:ilvl w:val="0"/>
          <w:numId w:val="2"/>
        </w:numPr>
      </w:pPr>
      <w:r>
        <w:t xml:space="preserve">Violaciones durante la búsqueda de alimentos o en el camino a centros de salud</w:t>
      </w:r>
    </w:p>
    <w:p>
      <w:pPr>
        <w:pStyle w:val="ListParagraph"/>
        <w:numPr>
          <w:ilvl w:val="0"/>
          <w:numId w:val="2"/>
        </w:numPr>
      </w:pPr>
      <w:r>
        <w:t xml:space="preserve">Explotación sexual a cambio de alojamiento o protección</w:t>
      </w:r>
    </w:p>
    <w:p>
      <w:pPr>
        <w:spacing w:before="120" w:after="120"/>
      </w:pPr>
      <w:r>
        <w:t xml:space="preserve">Amnistía Internacional documentó 14 casos de sobrevivientes en Kivu del Norte y Sur: ocho violadas en grupo por combatientes del M23, cinco por milicias Wazalendo, y una por soldados de las FARDC. En la prisión de Muzenze en Goma, durante la fuga del 27 de enero de 2025, al menos 165 presas fueron violadas; la mayoría murió posteriormente en un incendio.</w:t>
      </w:r>
    </w:p>
    <w:p>
      <w:pPr>
        <w:pStyle w:val="Heading2"/>
      </w:pPr>
      <w:r>
        <w:t xml:space="preserve">2.3. Víctimas Especialmente Vulnerables</w:t>
      </w:r>
    </w:p>
    <w:p>
      <w:pPr>
        <w:spacing w:after="120"/>
      </w:pPr>
      <w:r>
        <w:t xml:space="preserve">Las mujeres y niñas son las principales víctimas, pero la violencia sexual afecta a toda la población:</w:t>
      </w:r>
    </w:p>
    <w:p>
      <w:pPr>
        <w:pStyle w:val="ListParagraph"/>
        <w:numPr>
          <w:ilvl w:val="0"/>
          <w:numId w:val="2"/>
        </w:numPr>
      </w:pPr>
      <w:r>
        <w:t xml:space="preserve">Mujeres desplazadas en campamentos improvisados y superpoblados</w:t>
      </w:r>
    </w:p>
    <w:p>
      <w:pPr>
        <w:pStyle w:val="ListParagraph"/>
        <w:numPr>
          <w:ilvl w:val="0"/>
          <w:numId w:val="2"/>
        </w:numPr>
      </w:pPr>
      <w:r>
        <w:t xml:space="preserve">Niñas y adolescentes (30% de las víctimas atendidas en algunos períodos)</w:t>
      </w:r>
    </w:p>
    <w:p>
      <w:pPr>
        <w:pStyle w:val="ListParagraph"/>
        <w:numPr>
          <w:ilvl w:val="0"/>
          <w:numId w:val="2"/>
        </w:numPr>
      </w:pPr>
      <w:r>
        <w:t xml:space="preserve">Niños varones también son víctimas, aunque en menor número</w:t>
      </w:r>
    </w:p>
    <w:p>
      <w:pPr>
        <w:pStyle w:val="ListParagraph"/>
        <w:numPr>
          <w:ilvl w:val="0"/>
          <w:numId w:val="2"/>
        </w:numPr>
      </w:pPr>
      <w:r>
        <w:t xml:space="preserve">Más de 1.100 niños no acompañados identificados en solo dos semanas a principios de 2025, expuestos a mayor riesgo</w:t>
      </w:r>
    </w:p>
    <w:p>
      <w:pPr>
        <w:spacing w:before="120" w:after="120"/>
      </w:pPr>
      <w:r>
        <w:t xml:space="preserve">Los matrimonios forzados también han aumentado drásticamente: 58 casos en los primeros cuatro meses de 2025, alcanzando el 86% del total de 67 casos registrados durante todo 2024.</w:t>
      </w:r>
    </w:p>
    <w:p>
      <w:pPr>
        <w:pStyle w:val="Heading2"/>
      </w:pPr>
      <w:r>
        <w:t xml:space="preserve">2.4. Subregistro y Barreras para Acceder a Atención</w:t>
      </w:r>
    </w:p>
    <w:p>
      <w:pPr>
        <w:spacing w:after="120"/>
      </w:pPr>
      <w:r>
        <w:t xml:space="preserve">Las cifras reales de violencia sexual son significativamente más altas que las reportadas, debido a múltiples obstáculos:</w:t>
      </w:r>
    </w:p>
    <w:p>
      <w:pPr>
        <w:pStyle w:val="ListParagraph"/>
        <w:numPr>
          <w:ilvl w:val="0"/>
          <w:numId w:val="2"/>
        </w:numPr>
      </w:pPr>
      <w:r>
        <w:t xml:space="preserve">Miedo a represalias por parte de los perpetradores</w:t>
      </w:r>
    </w:p>
    <w:p>
      <w:pPr>
        <w:pStyle w:val="ListParagraph"/>
        <w:numPr>
          <w:ilvl w:val="0"/>
          <w:numId w:val="2"/>
        </w:numPr>
      </w:pPr>
      <w:r>
        <w:t xml:space="preserve">Estigmatización social y rechazo familiar</w:t>
      </w:r>
    </w:p>
    <w:p>
      <w:pPr>
        <w:pStyle w:val="ListParagraph"/>
        <w:numPr>
          <w:ilvl w:val="0"/>
          <w:numId w:val="2"/>
        </w:numPr>
      </w:pPr>
      <w:r>
        <w:t xml:space="preserve">Lejanía geográfica de los centros de salud</w:t>
      </w:r>
    </w:p>
    <w:p>
      <w:pPr>
        <w:pStyle w:val="ListParagraph"/>
        <w:numPr>
          <w:ilvl w:val="0"/>
          <w:numId w:val="2"/>
        </w:numPr>
      </w:pPr>
      <w:r>
        <w:t xml:space="preserve">Falta de capacidad en las estructuras de salud</w:t>
      </w:r>
    </w:p>
    <w:p>
      <w:pPr>
        <w:pStyle w:val="ListParagraph"/>
        <w:numPr>
          <w:ilvl w:val="0"/>
          <w:numId w:val="2"/>
        </w:numPr>
      </w:pPr>
      <w:r>
        <w:t xml:space="preserve">Inseguridad que impide el desplazamiento</w:t>
      </w:r>
    </w:p>
    <w:p>
      <w:pPr>
        <w:pStyle w:val="ListParagraph"/>
        <w:numPr>
          <w:ilvl w:val="0"/>
          <w:numId w:val="2"/>
        </w:numPr>
      </w:pPr>
      <w:r>
        <w:t xml:space="preserve">Escasez de medicamentos y kits esenciales para tratamiento</w:t>
      </w:r>
    </w:p>
    <w:p>
      <w:pPr>
        <w:spacing w:before="120" w:after="120"/>
      </w:pPr>
      <w:r>
        <w:t xml:space="preserve">Varias estructuras de salud en Kivu del Norte y Sur ya no cuentan con medicamentos ni kits esenciales para tratar a las víctimas, agravado por los recortes en financiación humanitaria global.</w:t>
      </w:r>
    </w:p>
    <w:p>
      <w:pPr>
        <w:pStyle w:val="Heading1"/>
      </w:pPr>
      <w:r>
        <w:t xml:space="preserve">3. EL CENTRO PSICOSOCIAL MUTIMA: RESPUESTA A LA CRISIS</w:t>
      </w:r>
    </w:p>
    <w:p>
      <w:pPr>
        <w:pStyle w:val="Heading2"/>
      </w:pPr>
      <w:r>
        <w:t xml:space="preserve">3.1. Misión y Significado</w:t>
      </w:r>
    </w:p>
    <w:p>
      <w:pPr>
        <w:spacing w:after="120"/>
      </w:pPr>
      <w:r>
        <w:rPr>
          <w:b/>
          <w:bCs/>
        </w:rPr>
        <w:t xml:space="preserve">MUTIMA</w:t>
      </w:r>
      <w:r>
        <w:t xml:space="preserve"> significa 'corazón' en varios dialectos africanos, y representa la esencia de nuestro trabajo: poner corazón en la atención a las víctimas del conflicto, porque creemos profundamente que el amor y la atención psicosocial profesional pueden curar incluso las heridas más profundas del trauma.</w:t>
      </w:r>
    </w:p>
    <w:p>
      <w:pPr>
        <w:spacing w:after="120"/>
      </w:pPr>
      <w:r>
        <w:t xml:space="preserve">El Centro Psicosocial MUTIMA es un espacio de acogida para la promoción de la salud mental. Es un templo para la vida donde se une a profesionales cualificados con la población más vulnerable, aquella que no tiene recursos pero que necesita desesperadamente atención especializada para sanar el trauma que han sufrido.</w:t>
      </w:r>
    </w:p>
    <w:p>
      <w:pPr>
        <w:pStyle w:val="Heading3"/>
      </w:pPr>
      <w:r>
        <w:t xml:space="preserve">Misión del Centro MUTIMA</w:t>
      </w:r>
    </w:p>
    <w:p>
      <w:pPr>
        <w:spacing w:after="120"/>
      </w:pPr>
      <w:r>
        <w:t xml:space="preserve">Colaborar con el pueblo congoleño, creando servicios de salud mental en la atención primaria de las zonas con mayor índice de violencia, accesibles para todos (niños, jóvenes, adultos y ancianos), mediante:</w:t>
      </w:r>
    </w:p>
    <w:p>
      <w:pPr>
        <w:pStyle w:val="ListParagraph"/>
        <w:numPr>
          <w:ilvl w:val="0"/>
          <w:numId w:val="2"/>
        </w:numPr>
      </w:pPr>
      <w:r>
        <w:t xml:space="preserve">Formación de profesionales empáticos y comprometidos en facilitar tratamientos modernos y eficaces</w:t>
      </w:r>
    </w:p>
    <w:p>
      <w:pPr>
        <w:pStyle w:val="ListParagraph"/>
        <w:numPr>
          <w:ilvl w:val="0"/>
          <w:numId w:val="2"/>
        </w:numPr>
      </w:pPr>
      <w:r>
        <w:t xml:space="preserve">Investigación sobre salud mental para guiar la ayuda humanitaria</w:t>
      </w:r>
    </w:p>
    <w:p>
      <w:pPr>
        <w:pStyle w:val="ListParagraph"/>
        <w:numPr>
          <w:ilvl w:val="0"/>
          <w:numId w:val="2"/>
        </w:numPr>
      </w:pPr>
      <w:r>
        <w:t xml:space="preserve">Sensibilización comunitaria para reconocer síntomas de malestar y saber dónde dirigirse</w:t>
      </w:r>
    </w:p>
    <w:p>
      <w:pPr>
        <w:pStyle w:val="ListParagraph"/>
        <w:numPr>
          <w:ilvl w:val="0"/>
          <w:numId w:val="2"/>
        </w:numPr>
      </w:pPr>
      <w:r>
        <w:t xml:space="preserve">Demostrar que el trauma puede ser superado y construir resiliencia para afrontar futuras crisis</w:t>
      </w:r>
    </w:p>
    <w:p>
      <w:pPr>
        <w:pStyle w:val="Heading2"/>
      </w:pPr>
      <w:r>
        <w:t xml:space="preserve">3.2. Ubicación Estratégica</w:t>
      </w:r>
    </w:p>
    <w:p>
      <w:pPr>
        <w:spacing w:after="120"/>
      </w:pPr>
      <w:r>
        <w:t xml:space="preserve">El Centro Psicosocial MUTIMA está ubicado en Lwiro, Provincia de Kivu del Sur, donde más falta hace. El centro forma parte del Hospital Pediátrico de Lwiro, gestionado por el prestigioso Centro de Investigación en Ciencias Naturales (CRSN/Lwiro).</w:t>
      </w:r>
    </w:p>
    <w:p>
      <w:pPr>
        <w:spacing w:after="120"/>
      </w:pPr>
      <w:r>
        <w:t xml:space="preserve">Gracias a la ONGD Coopera Euskadi y el apoyo del Gobierno Vasco, que creyó en la visión y misión del equipo de Coopera Congo liderado por Lorena Aguirre Cadarso, se pudo construir el primer Centro Psicosocial MUTIMA en la provincia.</w:t>
      </w:r>
    </w:p>
    <w:p>
      <w:pPr>
        <w:pStyle w:val="Heading2"/>
      </w:pPr>
      <w:r>
        <w:t xml:space="preserve">3.3. Impacto y Resultados desde la Apertura</w:t>
      </w:r>
    </w:p>
    <w:p>
      <w:pPr>
        <w:spacing w:after="120"/>
      </w:pPr>
      <w:r>
        <w:rPr>
          <w:b/>
          <w:bCs/>
        </w:rPr>
        <w:t xml:space="preserve">Atención Directa a Pacientes:</w:t>
      </w:r>
    </w:p>
    <w:p>
      <w:pPr>
        <w:spacing w:after="120"/>
      </w:pPr>
      <w:r>
        <w:t xml:space="preserve">Durante los primeros seis meses de apertura de MUTIMA:</w:t>
      </w:r>
    </w:p>
    <w:p>
      <w:pPr>
        <w:pStyle w:val="ListParagraph"/>
        <w:numPr>
          <w:ilvl w:val="0"/>
          <w:numId w:val="2"/>
        </w:numPr>
      </w:pPr>
      <w:r>
        <w:t xml:space="preserve">869 personas atendidas en terapia grupal, individual y tratamiento psiquiátrico</w:t>
      </w:r>
    </w:p>
    <w:p>
      <w:pPr>
        <w:pStyle w:val="ListParagraph"/>
        <w:numPr>
          <w:ilvl w:val="0"/>
          <w:numId w:val="2"/>
        </w:numPr>
      </w:pPr>
      <w:r>
        <w:t xml:space="preserve">1.405 sesiones terapéuticas realizadas</w:t>
      </w:r>
    </w:p>
    <w:p>
      <w:pPr>
        <w:pStyle w:val="ListParagraph"/>
        <w:numPr>
          <w:ilvl w:val="0"/>
          <w:numId w:val="2"/>
        </w:numPr>
      </w:pPr>
      <w:r>
        <w:rPr>
          <w:b/>
          <w:bCs/>
        </w:rPr>
        <w:t xml:space="preserve">Actualmente: más de 150 personas diarias acuden al centro</w:t>
      </w:r>
    </w:p>
    <w:p>
      <w:pPr>
        <w:spacing w:before="120" w:after="120"/>
      </w:pPr>
      <w:r>
        <w:rPr>
          <w:b/>
          <w:bCs/>
        </w:rPr>
        <w:t xml:space="preserve">Formación de Profesionales:</w:t>
      </w:r>
    </w:p>
    <w:p>
      <w:pPr>
        <w:pStyle w:val="ListParagraph"/>
        <w:numPr>
          <w:ilvl w:val="0"/>
          <w:numId w:val="2"/>
        </w:numPr>
      </w:pPr>
      <w:r>
        <w:t xml:space="preserve">6 formaciones en salud mental y apoyo psicosocial</w:t>
      </w:r>
    </w:p>
    <w:p>
      <w:pPr>
        <w:pStyle w:val="ListParagraph"/>
        <w:numPr>
          <w:ilvl w:val="0"/>
          <w:numId w:val="2"/>
        </w:numPr>
      </w:pPr>
      <w:r>
        <w:t xml:space="preserve">142 profesionales formados: doctores, enfermeros, psicólogos y asistentes sociales</w:t>
      </w:r>
    </w:p>
    <w:p>
      <w:pPr>
        <w:pStyle w:val="ListParagraph"/>
        <w:numPr>
          <w:ilvl w:val="0"/>
          <w:numId w:val="2"/>
        </w:numPr>
      </w:pPr>
      <w:r>
        <w:t xml:space="preserve">Técnicas modernas para el tratamiento del trauma</w:t>
      </w:r>
    </w:p>
    <w:p>
      <w:pPr>
        <w:spacing w:before="120" w:after="120"/>
      </w:pPr>
      <w:r>
        <w:rPr>
          <w:b/>
          <w:bCs/>
        </w:rPr>
        <w:t xml:space="preserve">Sensibilización Comunitaria:</w:t>
      </w:r>
    </w:p>
    <w:p>
      <w:pPr>
        <w:pStyle w:val="ListParagraph"/>
        <w:numPr>
          <w:ilvl w:val="0"/>
          <w:numId w:val="2"/>
        </w:numPr>
      </w:pPr>
      <w:r>
        <w:t xml:space="preserve">Campañas en 6 distritos alrededor del Parque Nacional de Kahuzi-Biega</w:t>
      </w:r>
    </w:p>
    <w:p>
      <w:pPr>
        <w:pStyle w:val="ListParagraph"/>
        <w:numPr>
          <w:ilvl w:val="0"/>
          <w:numId w:val="2"/>
        </w:numPr>
      </w:pPr>
      <w:r>
        <w:t xml:space="preserve">Pósters informativos sobre trastornos mentales comunes</w:t>
      </w:r>
    </w:p>
    <w:p>
      <w:pPr>
        <w:pStyle w:val="ListParagraph"/>
        <w:numPr>
          <w:ilvl w:val="0"/>
          <w:numId w:val="2"/>
        </w:numPr>
      </w:pPr>
      <w:r>
        <w:t xml:space="preserve">Lucha contra la estigmatización</w:t>
      </w:r>
    </w:p>
    <w:p>
      <w:pPr>
        <w:pStyle w:val="ListParagraph"/>
        <w:numPr>
          <w:ilvl w:val="0"/>
          <w:numId w:val="2"/>
        </w:numPr>
      </w:pPr>
      <w:r>
        <w:t xml:space="preserve">Programa de radio 'Salud Mental, Paz y Biodiversidad' con 24 intervinientes</w:t>
      </w:r>
    </w:p>
    <w:p>
      <w:pPr>
        <w:pStyle w:val="ListParagraph"/>
        <w:numPr>
          <w:ilvl w:val="0"/>
          <w:numId w:val="2"/>
        </w:numPr>
      </w:pPr>
      <w:r>
        <w:t xml:space="preserve">Difusión en toda la provincia a través de GORILLA FM</w:t>
      </w:r>
    </w:p>
    <w:p>
      <w:pPr>
        <w:pStyle w:val="Heading2"/>
      </w:pPr>
      <w:r>
        <w:t xml:space="preserve">3.4. Atención Actual Durante la Crisis de 2025</w:t>
      </w:r>
    </w:p>
    <w:p>
      <w:pPr>
        <w:spacing w:after="120"/>
      </w:pPr>
      <w:r>
        <w:t xml:space="preserve">Con la intensificación del conflicto desde enero de 2025, el Centro MUTIMA está recibiendo un número sin precedentes de personas afectadas. El centro atiende tanto a desplazados internos que han huido del avance del M23 como a aquellas personas que permanecen en las zonas amenazadas, viviendo en un estado constante de miedo, incertidumbre y pánico.</w:t>
      </w:r>
    </w:p>
    <w:p>
      <w:pPr>
        <w:spacing w:after="120"/>
      </w:pPr>
      <w:r>
        <w:rPr>
          <w:b/>
          <w:bCs/>
        </w:rPr>
        <w:t xml:space="preserve">Más de 150 personas diarias</w:t>
      </w:r>
      <w:r>
        <w:t xml:space="preserve"> están siendo atendidas actualmente en el centro, todas ellas habiendo pasado por situaciones horribles que incluyen:</w:t>
      </w:r>
    </w:p>
    <w:p>
      <w:pPr>
        <w:pStyle w:val="ListParagraph"/>
        <w:numPr>
          <w:ilvl w:val="0"/>
          <w:numId w:val="2"/>
        </w:numPr>
      </w:pPr>
      <w:r>
        <w:t xml:space="preserve">Violencia sexual y violaciones</w:t>
      </w:r>
    </w:p>
    <w:p>
      <w:pPr>
        <w:pStyle w:val="ListParagraph"/>
        <w:numPr>
          <w:ilvl w:val="0"/>
          <w:numId w:val="2"/>
        </w:numPr>
      </w:pPr>
      <w:r>
        <w:t xml:space="preserve">Presencia de masacres y ejecuciones</w:t>
      </w:r>
    </w:p>
    <w:p>
      <w:pPr>
        <w:pStyle w:val="ListParagraph"/>
        <w:numPr>
          <w:ilvl w:val="0"/>
          <w:numId w:val="2"/>
        </w:numPr>
      </w:pPr>
      <w:r>
        <w:t xml:space="preserve">Pérdida de familiares y seres queridos</w:t>
      </w:r>
    </w:p>
    <w:p>
      <w:pPr>
        <w:pStyle w:val="ListParagraph"/>
        <w:numPr>
          <w:ilvl w:val="0"/>
          <w:numId w:val="2"/>
        </w:numPr>
      </w:pPr>
      <w:r>
        <w:t xml:space="preserve">Desplazamiento forzado y pérdida de medios de subsistencia</w:t>
      </w:r>
    </w:p>
    <w:p>
      <w:pPr>
        <w:pStyle w:val="ListParagraph"/>
        <w:numPr>
          <w:ilvl w:val="0"/>
          <w:numId w:val="2"/>
        </w:numPr>
      </w:pPr>
      <w:r>
        <w:t xml:space="preserve">Secuestro de familiares o experiencias de cautiverio</w:t>
      </w:r>
    </w:p>
    <w:p>
      <w:pPr>
        <w:pStyle w:val="ListParagraph"/>
        <w:numPr>
          <w:ilvl w:val="0"/>
          <w:numId w:val="2"/>
        </w:numPr>
      </w:pPr>
      <w:r>
        <w:t xml:space="preserve">Destrucción de hogares y comunidades</w:t>
      </w:r>
    </w:p>
    <w:p>
      <w:pPr>
        <w:pStyle w:val="Heading1"/>
      </w:pPr>
      <w:r>
        <w:t xml:space="preserve">4. NECESIDADES ACTUALES Y RECURSOS REQUERIDOS</w:t>
      </w:r>
    </w:p>
    <w:p>
      <w:pPr>
        <w:pStyle w:val="Heading2"/>
      </w:pPr>
      <w:r>
        <w:t xml:space="preserve">4.1. Desafíos Operacionales</w:t>
      </w:r>
    </w:p>
    <w:p>
      <w:pPr>
        <w:spacing w:after="120"/>
      </w:pPr>
      <w:r>
        <w:t xml:space="preserve">Para continuar con la labor de atención a las más de 150 personas diarias que acuden al centro, necesitamos apoyo económico urgente para garantizar:</w:t>
      </w:r>
    </w:p>
    <w:p>
      <w:pPr>
        <w:pStyle w:val="ListParagraph"/>
        <w:numPr>
          <w:ilvl w:val="0"/>
          <w:numId w:val="2"/>
        </w:numPr>
      </w:pPr>
      <w:r>
        <w:t xml:space="preserve">Atención psicológica y psiquiátrica continua</w:t>
      </w:r>
    </w:p>
    <w:p>
      <w:pPr>
        <w:pStyle w:val="ListParagraph"/>
        <w:numPr>
          <w:ilvl w:val="0"/>
          <w:numId w:val="2"/>
        </w:numPr>
      </w:pPr>
      <w:r>
        <w:t xml:space="preserve">Funcionamiento operativo del centro</w:t>
      </w:r>
    </w:p>
    <w:p>
      <w:pPr>
        <w:pStyle w:val="ListParagraph"/>
        <w:numPr>
          <w:ilvl w:val="0"/>
          <w:numId w:val="2"/>
        </w:numPr>
      </w:pPr>
      <w:r>
        <w:t xml:space="preserve">Implementación de clínicas móviles en las zonas más afectadas</w:t>
      </w:r>
    </w:p>
    <w:p>
      <w:pPr>
        <w:pStyle w:val="ListParagraph"/>
        <w:numPr>
          <w:ilvl w:val="0"/>
          <w:numId w:val="2"/>
        </w:numPr>
      </w:pPr>
      <w:r>
        <w:t xml:space="preserve">Suministro constante de psicofármacos</w:t>
      </w:r>
    </w:p>
    <w:p>
      <w:pPr>
        <w:pStyle w:val="Heading2"/>
      </w:pPr>
      <w:r>
        <w:t xml:space="preserve">4.2. Recursos Necesarios Mensuales</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00"/>
          <w:left w:type="dxa" w:w="180"/>
          <w:bottom w:type="dxa" w:w="100"/>
          <w:right w:type="dxa" w:w="180"/>
        </w:tblCellMar>
      </w:tblPr>
      <w:tblGrid>
        <w:gridCol w:w="6240"/>
        <w:gridCol w:w="3120"/>
      </w:tblGrid>
      <w:tr>
        <w:trPr>
          <w:tblHeader/>
        </w:trPr>
        <w:tc>
          <w:tcPr>
            <w:tcW w:type="dxa" w:w="6240"/>
            <w:tcBorders>
              <w:top w:val="single" w:color="CCCCCC" w:sz="1"/>
              <w:left w:val="single" w:color="CCCCCC" w:sz="1"/>
              <w:bottom w:val="single" w:color="CCCCCC" w:sz="1"/>
              <w:right w:val="single" w:color="CCCCCC" w:sz="1"/>
            </w:tcBorders>
            <w:shd w:fill="2B5797" w:val="clear"/>
          </w:tcPr>
          <w:p>
            <w:pPr>
              <w:jc w:val="center"/>
            </w:pPr>
            <w:r>
              <w:rPr>
                <w:b/>
                <w:bCs/>
                <w:color w:val="FFFFFF"/>
              </w:rPr>
              <w:t xml:space="preserve">CONCEPTO</w:t>
            </w:r>
          </w:p>
        </w:tc>
        <w:tc>
          <w:tcPr>
            <w:tcW w:type="dxa" w:w="3120"/>
            <w:tcBorders>
              <w:top w:val="single" w:color="CCCCCC" w:sz="1"/>
              <w:left w:val="single" w:color="CCCCCC" w:sz="1"/>
              <w:bottom w:val="single" w:color="CCCCCC" w:sz="1"/>
              <w:right w:val="single" w:color="CCCCCC" w:sz="1"/>
            </w:tcBorders>
            <w:shd w:fill="2B5797" w:val="clear"/>
          </w:tcPr>
          <w:p>
            <w:pPr>
              <w:jc w:val="center"/>
            </w:pPr>
            <w:r>
              <w:rPr>
                <w:b/>
                <w:bCs/>
                <w:color w:val="FFFFFF"/>
              </w:rPr>
              <w:t xml:space="preserve">COSTO MENSUAL</w:t>
            </w:r>
          </w:p>
        </w:tc>
      </w:tr>
      <w:tr>
        <w:tc>
          <w:tcPr>
            <w:tcW w:type="dxa" w:w="6240"/>
            <w:tcBorders>
              <w:top w:val="single" w:color="CCCCCC" w:sz="1"/>
              <w:left w:val="single" w:color="CCCCCC" w:sz="1"/>
              <w:bottom w:val="single" w:color="CCCCCC" w:sz="1"/>
              <w:right w:val="single" w:color="CCCCCC" w:sz="1"/>
            </w:tcBorders>
          </w:tcPr>
          <w:p>
            <w:r>
              <w:t xml:space="preserve">Alimentación básica (galletas y zumos) para facilitar asistencia de niños en terapia grupal</w:t>
            </w:r>
          </w:p>
        </w:tc>
        <w:tc>
          <w:tcPr>
            <w:tcW w:type="dxa" w:w="3120"/>
            <w:tcBorders>
              <w:top w:val="single" w:color="CCCCCC" w:sz="1"/>
              <w:left w:val="single" w:color="CCCCCC" w:sz="1"/>
              <w:bottom w:val="single" w:color="CCCCCC" w:sz="1"/>
              <w:right w:val="single" w:color="CCCCCC" w:sz="1"/>
            </w:tcBorders>
          </w:tcPr>
          <w:p>
            <w:pPr>
              <w:jc w:val="right"/>
            </w:pPr>
            <w:r>
              <w:t xml:space="preserve">$50</w:t>
            </w:r>
          </w:p>
        </w:tc>
      </w:tr>
      <w:tr>
        <w:tc>
          <w:tcPr>
            <w:tcW w:type="dxa" w:w="6240"/>
            <w:tcBorders>
              <w:top w:val="single" w:color="CCCCCC" w:sz="1"/>
              <w:left w:val="single" w:color="CCCCCC" w:sz="1"/>
              <w:bottom w:val="single" w:color="CCCCCC" w:sz="1"/>
              <w:right w:val="single" w:color="CCCCCC" w:sz="1"/>
            </w:tcBorders>
          </w:tcPr>
          <w:p>
            <w:r>
              <w:t xml:space="preserve">Mantenimiento del centro (limpieza, insumos básicos)</w:t>
            </w:r>
          </w:p>
        </w:tc>
        <w:tc>
          <w:tcPr>
            <w:tcW w:type="dxa" w:w="3120"/>
            <w:tcBorders>
              <w:top w:val="single" w:color="CCCCCC" w:sz="1"/>
              <w:left w:val="single" w:color="CCCCCC" w:sz="1"/>
              <w:bottom w:val="single" w:color="CCCCCC" w:sz="1"/>
              <w:right w:val="single" w:color="CCCCCC" w:sz="1"/>
            </w:tcBorders>
          </w:tcPr>
          <w:p>
            <w:pPr>
              <w:jc w:val="right"/>
            </w:pPr>
            <w:r>
              <w:t xml:space="preserve">€100</w:t>
            </w:r>
          </w:p>
        </w:tc>
      </w:tr>
      <w:tr>
        <w:tc>
          <w:tcPr>
            <w:tcW w:type="dxa" w:w="6240"/>
            <w:tcBorders>
              <w:top w:val="single" w:color="CCCCCC" w:sz="1"/>
              <w:left w:val="single" w:color="CCCCCC" w:sz="1"/>
              <w:bottom w:val="single" w:color="CCCCCC" w:sz="1"/>
              <w:right w:val="single" w:color="CCCCCC" w:sz="1"/>
            </w:tcBorders>
          </w:tcPr>
          <w:p>
            <w:r>
              <w:t xml:space="preserve">Sensibilización en radios locales con mensajes de apoyo y orientación</w:t>
            </w:r>
          </w:p>
        </w:tc>
        <w:tc>
          <w:tcPr>
            <w:tcW w:type="dxa" w:w="3120"/>
            <w:tcBorders>
              <w:top w:val="single" w:color="CCCCCC" w:sz="1"/>
              <w:left w:val="single" w:color="CCCCCC" w:sz="1"/>
              <w:bottom w:val="single" w:color="CCCCCC" w:sz="1"/>
              <w:right w:val="single" w:color="CCCCCC" w:sz="1"/>
            </w:tcBorders>
          </w:tcPr>
          <w:p>
            <w:pPr>
              <w:jc w:val="right"/>
            </w:pPr>
            <w:r>
              <w:t xml:space="preserve">€100</w:t>
            </w:r>
          </w:p>
        </w:tc>
      </w:tr>
      <w:tr>
        <w:tc>
          <w:tcPr>
            <w:tcW w:type="dxa" w:w="6240"/>
            <w:tcBorders>
              <w:top w:val="single" w:color="CCCCCC" w:sz="1"/>
              <w:left w:val="single" w:color="CCCCCC" w:sz="1"/>
              <w:bottom w:val="single" w:color="CCCCCC" w:sz="1"/>
              <w:right w:val="single" w:color="CCCCCC" w:sz="1"/>
            </w:tcBorders>
          </w:tcPr>
          <w:p>
            <w:r>
              <w:t xml:space="preserve">Salario de la recepcionista para coordinación de pacientes</w:t>
            </w:r>
          </w:p>
        </w:tc>
        <w:tc>
          <w:tcPr>
            <w:tcW w:type="dxa" w:w="3120"/>
            <w:tcBorders>
              <w:top w:val="single" w:color="CCCCCC" w:sz="1"/>
              <w:left w:val="single" w:color="CCCCCC" w:sz="1"/>
              <w:bottom w:val="single" w:color="CCCCCC" w:sz="1"/>
              <w:right w:val="single" w:color="CCCCCC" w:sz="1"/>
            </w:tcBorders>
          </w:tcPr>
          <w:p>
            <w:pPr>
              <w:jc w:val="right"/>
            </w:pPr>
            <w:r>
              <w:t xml:space="preserve">€200</w:t>
            </w:r>
          </w:p>
        </w:tc>
      </w:tr>
      <w:tr>
        <w:tc>
          <w:tcPr>
            <w:tcW w:type="dxa" w:w="6240"/>
            <w:tcBorders>
              <w:top w:val="single" w:color="CCCCCC" w:sz="1"/>
              <w:left w:val="single" w:color="CCCCCC" w:sz="1"/>
              <w:bottom w:val="single" w:color="CCCCCC" w:sz="1"/>
              <w:right w:val="single" w:color="CCCCCC" w:sz="1"/>
            </w:tcBorders>
          </w:tcPr>
          <w:p>
            <w:r>
              <w:t xml:space="preserve">Honorarios del equipo de psicólogos que atienden a las víctimas</w:t>
            </w:r>
          </w:p>
        </w:tc>
        <w:tc>
          <w:tcPr>
            <w:tcW w:type="dxa" w:w="3120"/>
            <w:tcBorders>
              <w:top w:val="single" w:color="CCCCCC" w:sz="1"/>
              <w:left w:val="single" w:color="CCCCCC" w:sz="1"/>
              <w:bottom w:val="single" w:color="CCCCCC" w:sz="1"/>
              <w:right w:val="single" w:color="CCCCCC" w:sz="1"/>
            </w:tcBorders>
          </w:tcPr>
          <w:p>
            <w:pPr>
              <w:jc w:val="right"/>
            </w:pPr>
            <w:r>
              <w:t xml:space="preserve">€400/psicólogo</w:t>
            </w:r>
          </w:p>
        </w:tc>
      </w:tr>
      <w:tr>
        <w:tc>
          <w:tcPr>
            <w:tcW w:type="dxa" w:w="6240"/>
            <w:tcBorders>
              <w:top w:val="single" w:color="CCCCCC" w:sz="1"/>
              <w:left w:val="single" w:color="CCCCCC" w:sz="1"/>
              <w:bottom w:val="single" w:color="CCCCCC" w:sz="1"/>
              <w:right w:val="single" w:color="CCCCCC" w:sz="1"/>
            </w:tcBorders>
          </w:tcPr>
          <w:p>
            <w:r>
              <w:t xml:space="preserve">Suministro de psicofármacos (ansiedad, depresión, TEPT)</w:t>
            </w:r>
          </w:p>
        </w:tc>
        <w:tc>
          <w:tcPr>
            <w:tcW w:type="dxa" w:w="3120"/>
            <w:tcBorders>
              <w:top w:val="single" w:color="CCCCCC" w:sz="1"/>
              <w:left w:val="single" w:color="CCCCCC" w:sz="1"/>
              <w:bottom w:val="single" w:color="CCCCCC" w:sz="1"/>
              <w:right w:val="single" w:color="CCCCCC" w:sz="1"/>
            </w:tcBorders>
          </w:tcPr>
          <w:p>
            <w:pPr>
              <w:jc w:val="right"/>
            </w:pPr>
            <w:r>
              <w:t xml:space="preserve">€500</w:t>
            </w:r>
          </w:p>
        </w:tc>
      </w:tr>
      <w:tr>
        <w:tc>
          <w:tcPr>
            <w:tcW w:type="dxa" w:w="6240"/>
            <w:tcBorders>
              <w:top w:val="single" w:color="CCCCCC" w:sz="1"/>
              <w:left w:val="single" w:color="CCCCCC" w:sz="1"/>
              <w:bottom w:val="single" w:color="CCCCCC" w:sz="1"/>
              <w:right w:val="single" w:color="CCCCCC" w:sz="1"/>
            </w:tcBorders>
          </w:tcPr>
          <w:p>
            <w:r>
              <w:t xml:space="preserve">Apoyo logístico (internet, transporte, material oficina, combustible)</w:t>
            </w:r>
          </w:p>
        </w:tc>
        <w:tc>
          <w:tcPr>
            <w:tcW w:type="dxa" w:w="3120"/>
            <w:tcBorders>
              <w:top w:val="single" w:color="CCCCCC" w:sz="1"/>
              <w:left w:val="single" w:color="CCCCCC" w:sz="1"/>
              <w:bottom w:val="single" w:color="CCCCCC" w:sz="1"/>
              <w:right w:val="single" w:color="CCCCCC" w:sz="1"/>
            </w:tcBorders>
          </w:tcPr>
          <w:p>
            <w:pPr>
              <w:jc w:val="right"/>
            </w:pPr>
            <w:r>
              <w:t xml:space="preserve">€600</w:t>
            </w:r>
          </w:p>
        </w:tc>
      </w:tr>
      <w:tr>
        <w:tc>
          <w:tcPr>
            <w:tcW w:type="dxa" w:w="6240"/>
            <w:tcBorders>
              <w:top w:val="single" w:color="CCCCCC" w:sz="1"/>
              <w:left w:val="single" w:color="CCCCCC" w:sz="1"/>
              <w:bottom w:val="single" w:color="CCCCCC" w:sz="1"/>
              <w:right w:val="single" w:color="CCCCCC" w:sz="1"/>
            </w:tcBorders>
          </w:tcPr>
          <w:p>
            <w:r>
              <w:t xml:space="preserve">Instalación de clínicas móviles en Kabamba, Katana, Kavumu y Miti</w:t>
            </w:r>
          </w:p>
        </w:tc>
        <w:tc>
          <w:tcPr>
            <w:tcW w:type="dxa" w:w="3120"/>
            <w:tcBorders>
              <w:top w:val="single" w:color="CCCCCC" w:sz="1"/>
              <w:left w:val="single" w:color="CCCCCC" w:sz="1"/>
              <w:bottom w:val="single" w:color="CCCCCC" w:sz="1"/>
              <w:right w:val="single" w:color="CCCCCC" w:sz="1"/>
            </w:tcBorders>
          </w:tcPr>
          <w:p>
            <w:pPr>
              <w:jc w:val="right"/>
            </w:pPr>
            <w:r>
              <w:t xml:space="preserve">€1.500/clínica</w:t>
            </w:r>
          </w:p>
        </w:tc>
      </w:tr>
    </w:tbl>
    <w:p>
      <w:pPr>
        <w:spacing w:before="120" w:after="120"/>
      </w:pPr>
      <w:r>
        <w:t xml:space="preserve"/>
      </w:r>
    </w:p>
    <w:p>
      <w:pPr>
        <w:pStyle w:val="Heading1"/>
      </w:pPr>
      <w:r>
        <w:t xml:space="preserve">5. IMPACTO DEL TRAUMA Y NECESIDAD DE ATENCIÓN PSICOSOCIAL</w:t>
      </w:r>
    </w:p>
    <w:p>
      <w:pPr>
        <w:pStyle w:val="Heading2"/>
      </w:pPr>
      <w:r>
        <w:t xml:space="preserve">5.1. Consecuencias del Trauma No Tratado</w:t>
      </w:r>
    </w:p>
    <w:p>
      <w:pPr>
        <w:spacing w:after="120"/>
      </w:pPr>
      <w:r>
        <w:t xml:space="preserve">Las vivencias traumáticas traen consigo una sensación de indefensión ante un futuro incierto. Sin tratamiento adecuado, las personas desarrollan trastornos mentales graves:</w:t>
      </w:r>
    </w:p>
    <w:p>
      <w:pPr>
        <w:pStyle w:val="ListParagraph"/>
        <w:numPr>
          <w:ilvl w:val="0"/>
          <w:numId w:val="2"/>
        </w:numPr>
      </w:pPr>
      <w:r>
        <w:t xml:space="preserve">Estados depresivos severos</w:t>
      </w:r>
    </w:p>
    <w:p>
      <w:pPr>
        <w:pStyle w:val="ListParagraph"/>
        <w:numPr>
          <w:ilvl w:val="0"/>
          <w:numId w:val="2"/>
        </w:numPr>
      </w:pPr>
      <w:r>
        <w:t xml:space="preserve">Trastornos ansiosos y estrés crónico</w:t>
      </w:r>
    </w:p>
    <w:p>
      <w:pPr>
        <w:pStyle w:val="ListParagraph"/>
        <w:numPr>
          <w:ilvl w:val="0"/>
          <w:numId w:val="2"/>
        </w:numPr>
      </w:pPr>
      <w:r>
        <w:t xml:space="preserve">Trastorno de estrés postraumático (TEPT)</w:t>
      </w:r>
    </w:p>
    <w:p>
      <w:pPr>
        <w:pStyle w:val="ListParagraph"/>
        <w:numPr>
          <w:ilvl w:val="0"/>
          <w:numId w:val="2"/>
        </w:numPr>
      </w:pPr>
      <w:r>
        <w:t xml:space="preserve">Enfermedades englobadas en las psicosis</w:t>
      </w:r>
    </w:p>
    <w:p>
      <w:pPr>
        <w:pStyle w:val="ListParagraph"/>
        <w:numPr>
          <w:ilvl w:val="0"/>
          <w:numId w:val="2"/>
        </w:numPr>
      </w:pPr>
      <w:r>
        <w:t xml:space="preserve">Pensamientos suicidas</w:t>
      </w:r>
    </w:p>
    <w:p>
      <w:pPr>
        <w:spacing w:before="120" w:after="120"/>
      </w:pPr>
      <w:r>
        <w:t xml:space="preserve">Más allá del daño físico y psicológico, las consecuencias sociales son devastadoras:</w:t>
      </w:r>
    </w:p>
    <w:p>
      <w:pPr>
        <w:pStyle w:val="ListParagraph"/>
        <w:numPr>
          <w:ilvl w:val="0"/>
          <w:numId w:val="2"/>
        </w:numPr>
      </w:pPr>
      <w:r>
        <w:t xml:space="preserve">Rechazo familiar y social</w:t>
      </w:r>
    </w:p>
    <w:p>
      <w:pPr>
        <w:pStyle w:val="ListParagraph"/>
        <w:numPr>
          <w:ilvl w:val="0"/>
          <w:numId w:val="2"/>
        </w:numPr>
      </w:pPr>
      <w:r>
        <w:t xml:space="preserve">Divorcios y ruptura de núcleos familiares</w:t>
      </w:r>
    </w:p>
    <w:p>
      <w:pPr>
        <w:pStyle w:val="ListParagraph"/>
        <w:numPr>
          <w:ilvl w:val="0"/>
          <w:numId w:val="2"/>
        </w:numPr>
      </w:pPr>
      <w:r>
        <w:t xml:space="preserve">Estigmatización persistente</w:t>
      </w:r>
    </w:p>
    <w:p>
      <w:pPr>
        <w:pStyle w:val="ListParagraph"/>
        <w:numPr>
          <w:ilvl w:val="0"/>
          <w:numId w:val="2"/>
        </w:numPr>
      </w:pPr>
      <w:r>
        <w:t xml:space="preserve">Dificultades para continuar viviendo en lugares donde fueron agredidas</w:t>
      </w:r>
    </w:p>
    <w:p>
      <w:pPr>
        <w:pStyle w:val="ListParagraph"/>
        <w:numPr>
          <w:ilvl w:val="0"/>
          <w:numId w:val="2"/>
        </w:numPr>
      </w:pPr>
      <w:r>
        <w:t xml:space="preserve">Incapacidad para realizar tareas cotidianas</w:t>
      </w:r>
    </w:p>
    <w:p>
      <w:pPr>
        <w:pStyle w:val="Heading2"/>
      </w:pPr>
      <w:r>
        <w:t xml:space="preserve">5.2. Importancia de la Intervención Psicosocial</w:t>
      </w:r>
    </w:p>
    <w:p>
      <w:pPr>
        <w:spacing w:after="120"/>
      </w:pPr>
      <w:r>
        <w:t xml:space="preserve">Sin apoyo profesional, estas personas no alcanzarán su pleno potencial humano, ni contribuirán a la construcción de la paz, ni a la protección del medio ambiente, ni al desarrollo económico de sus comunidades, y nunca podrán tener una vida plena y feliz.</w:t>
      </w:r>
    </w:p>
    <w:p>
      <w:pPr>
        <w:spacing w:after="120"/>
      </w:pPr>
      <w:r>
        <w:rPr>
          <w:b/>
          <w:bCs/>
          <w:i/>
          <w:iCs/>
        </w:rPr>
        <w:t xml:space="preserve">La salud mental salva y dignifica la vida. La salud mental es esperanza.</w:t>
      </w:r>
    </w:p>
    <w:p>
      <w:pPr>
        <w:spacing w:after="120"/>
      </w:pPr>
      <w:r>
        <w:t xml:space="preserve">Las personas pueden superar el trauma y construir resiliencia para el futuro. El Centro MUTIMA ha demostrado que, con tratamientos modernos y eficaces basados en técnicas como la Terapia de Procesamiento Cognitivo (CPT), adaptada al contexto congoleño:</w:t>
      </w:r>
    </w:p>
    <w:p>
      <w:pPr>
        <w:pStyle w:val="ListParagraph"/>
        <w:numPr>
          <w:ilvl w:val="0"/>
          <w:numId w:val="2"/>
        </w:numPr>
      </w:pPr>
      <w:r>
        <w:t xml:space="preserve">Los síntomas de trauma disminuyen dramáticamente</w:t>
      </w:r>
    </w:p>
    <w:p>
      <w:pPr>
        <w:pStyle w:val="ListParagraph"/>
        <w:numPr>
          <w:ilvl w:val="0"/>
          <w:numId w:val="2"/>
        </w:numPr>
      </w:pPr>
      <w:r>
        <w:t xml:space="preserve">Mejora la capacidad de realizar tareas diarias</w:t>
      </w:r>
    </w:p>
    <w:p>
      <w:pPr>
        <w:pStyle w:val="ListParagraph"/>
        <w:numPr>
          <w:ilvl w:val="0"/>
          <w:numId w:val="2"/>
        </w:numPr>
      </w:pPr>
      <w:r>
        <w:t xml:space="preserve">Las sobrevivientes trabajan más horas por semana</w:t>
      </w:r>
    </w:p>
    <w:p>
      <w:pPr>
        <w:pStyle w:val="ListParagraph"/>
        <w:numPr>
          <w:ilvl w:val="0"/>
          <w:numId w:val="2"/>
        </w:numPr>
      </w:pPr>
      <w:r>
        <w:t xml:space="preserve">Aumenta el gasto en alimentos y mejora el bienestar económico</w:t>
      </w:r>
    </w:p>
    <w:p>
      <w:pPr>
        <w:pStyle w:val="Heading1"/>
      </w:pPr>
      <w:r>
        <w:t xml:space="preserve">6. VISIÓN A FUTURO Y EXPANSIÓN</w:t>
      </w:r>
    </w:p>
    <w:p>
      <w:pPr>
        <w:pStyle w:val="Heading2"/>
      </w:pPr>
      <w:r>
        <w:t xml:space="preserve">6.1. Necesidad de Más Centros MUTIMA</w:t>
      </w:r>
    </w:p>
    <w:p>
      <w:pPr>
        <w:spacing w:after="120"/>
      </w:pPr>
      <w:r>
        <w:t xml:space="preserve">El Centro Psicosocial MUTIMA se encuentra donde más falta hace, pero todavía tenemos que llegar más lejos. Nuestra visión es poner una sonrisa en el corazón de quienes sufren en silencio la huella del trauma, en las provincias de Kivu Sur, Kivu Norte e Ituri, a través de la creación de más centros MUTIMA.</w:t>
      </w:r>
    </w:p>
    <w:p>
      <w:pPr>
        <w:spacing w:after="120"/>
      </w:pPr>
      <w:r>
        <w:t xml:space="preserve">La región de los Kivu es la zona más conflictiva del país debido a la cantidad y calidad de sus recursos naturales, y donde todavía operan activamente alrededor de un centenar de grupos rebeldes. La necesidad de atención en salud mental es inmensa y creciente.</w:t>
      </w:r>
    </w:p>
    <w:p>
      <w:pPr>
        <w:pStyle w:val="Heading2"/>
      </w:pPr>
      <w:r>
        <w:t xml:space="preserve">6.2. Clínicas Móviles</w:t>
      </w:r>
    </w:p>
    <w:p>
      <w:pPr>
        <w:spacing w:after="120"/>
      </w:pPr>
      <w:r>
        <w:t xml:space="preserve">Para llegar a las poblaciones más remotas y afectadas, Coopera Congo está implementando clínicas móviles en Kabamba, Katana, Kavumu y Miti. Estas clínicas móviles permitirán llevar atención psicológica y psiquiátrica a comunidades que de otro modo no tendrían acceso a estos servicios esenciales.</w:t>
      </w:r>
    </w:p>
    <w:p>
      <w:pPr>
        <w:pStyle w:val="Heading1"/>
      </w:pPr>
      <w:r>
        <w:t xml:space="preserve">7. LLAMADO A LA ACCIÓN</w:t>
      </w:r>
    </w:p>
    <w:p>
      <w:pPr>
        <w:spacing w:after="120"/>
      </w:pPr>
      <w:r>
        <w:rPr>
          <w:b/>
          <w:bCs/>
          <w:i/>
          <w:iCs/>
        </w:rPr>
        <w:t xml:space="preserve">África da sus recursos al mundo... es hora de agradecer y devolver el favor. Es hora de invertir en su futuro.</w:t>
      </w:r>
    </w:p>
    <w:p>
      <w:pPr>
        <w:spacing w:after="120"/>
      </w:pPr>
      <w:r>
        <w:t xml:space="preserve">Los que apoyan este proyecto, ya sea desde el sector público o privado, personas individuales, fundaciones o empresas, son quienes pueden hacer posible nuestra labor. Necesitamos ayuda para que la salud mental, la dignidad, la justicia, la formación y la concienciación sigan creciendo.</w:t>
      </w:r>
    </w:p>
    <w:p>
      <w:pPr>
        <w:spacing w:after="120"/>
      </w:pPr>
      <w:r>
        <w:t xml:space="preserve">Para que sea posible un pueblo más justo, más libre y que entienda que tiene derecho, sí derecho, a la vida y la dignidad personal y colectiva.</w:t>
      </w:r>
    </w:p>
    <w:p>
      <w:pPr>
        <w:spacing w:after="120"/>
      </w:pPr>
      <w:r>
        <w:rPr>
          <w:i/>
          <w:iCs/>
        </w:rPr>
        <w:t xml:space="preserve">"Todo lo que se hace en el mundo se hace por una esperanza."</w:t>
      </w:r>
      <w:r>
        <w:t xml:space="preserve"> - Martín Lutero</w:t>
      </w:r>
    </w:p>
    <w:p>
      <w:pPr>
        <w:pStyle w:val="Heading1"/>
      </w:pPr>
      <w:r>
        <w:t xml:space="preserve">8. INFORMACIÓN DE CONTACTO Y COLABORACIÓN</w:t>
      </w:r>
    </w:p>
    <w:p>
      <w:pPr>
        <w:spacing w:after="120"/>
      </w:pPr>
      <w:r>
        <w:rPr>
          <w:b/>
          <w:bCs/>
        </w:rPr>
        <w:t xml:space="preserve">Organización:</w:t>
      </w:r>
      <w:r>
        <w:t xml:space="preserve"> Coopera Congo (COCO)</w:t>
      </w:r>
    </w:p>
    <w:p>
      <w:pPr>
        <w:spacing w:after="120"/>
      </w:pPr>
      <w:r>
        <w:rPr>
          <w:b/>
          <w:bCs/>
        </w:rPr>
        <w:t xml:space="preserve">Sitio web:</w:t>
      </w:r>
      <w:r>
        <w:t xml:space="preserve"> www.cooperacongo.org</w:t>
      </w:r>
    </w:p>
    <w:p>
      <w:pPr>
        <w:spacing w:after="120"/>
      </w:pPr>
      <w:r>
        <w:rPr>
          <w:b/>
          <w:bCs/>
        </w:rPr>
        <w:t xml:space="preserve">Financiador:</w:t>
      </w:r>
      <w:r>
        <w:t xml:space="preserve"> Global Giving</w:t>
      </w:r>
    </w:p>
    <w:p>
      <w:pPr>
        <w:spacing w:after="120"/>
      </w:pPr>
      <w:r>
        <w:rPr>
          <w:b/>
          <w:bCs/>
        </w:rPr>
        <w:t xml:space="preserve">Página del proyecto:</w:t>
      </w:r>
      <w:r>
        <w:t xml:space="preserve"> https://www.globalgiving.org/projects/mutima-centre-heals-trauma-at-south-kivu/</w:t>
      </w:r>
    </w:p>
    <w:p>
      <w:pPr>
        <w:spacing w:before="240"/>
      </w:pPr>
      <w:r>
        <w:t xml:space="preserve"/>
      </w:r>
    </w:p>
    <w:p>
      <w:pPr>
        <w:spacing w:before="360"/>
        <w:jc w:val="center"/>
      </w:pPr>
      <w:r>
        <w:rPr>
          <w:b/>
          <w:bCs/>
          <w:color w:val="2B5797"/>
          <w:sz w:val="28"/>
          <w:szCs w:val="28"/>
        </w:rPr>
        <w:t xml:space="preserve">#TuCorazónParaElCongo</w:t>
      </w:r>
    </w:p>
    <w:p>
      <w:pPr>
        <w:jc w:val="center"/>
      </w:pPr>
      <w:r>
        <w:rPr>
          <w:i/>
          <w:iCs/>
          <w:sz w:val="24"/>
          <w:szCs w:val="24"/>
        </w:rPr>
        <w:t xml:space="preserve">MUTIMA: Poniendo el corazón donde más se necesita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240" w:after="120"/>
      <w:jc w:val="center"/>
    </w:pPr>
    <w:rPr>
      <w:rFonts w:ascii="Arial" w:cs="Arial" w:eastAsia="Arial" w:hAnsi="Arial"/>
      <w:b/>
      <w:bCs/>
      <w:color w:val="000000"/>
      <w:sz w:val="48"/>
      <w:szCs w:val="48"/>
    </w:rPr>
  </w:style>
  <w:style w:type="paragraph" w:styleId="Heading1">
    <w:name w:val="Heading 1"/>
    <w:basedOn w:val="Normal"/>
    <w:next w:val="Normal"/>
    <w:qFormat/>
    <w:pPr>
      <w:spacing w:before="360" w:after="180"/>
      <w:outlineLvl w:val="0"/>
    </w:pPr>
    <w:rPr>
      <w:rFonts w:ascii="Arial" w:cs="Arial" w:eastAsia="Arial" w:hAnsi="Arial"/>
      <w:b/>
      <w:bCs/>
      <w:color w:val="2B5797"/>
      <w:sz w:val="28"/>
      <w:szCs w:val="28"/>
    </w:rPr>
  </w:style>
  <w:style w:type="paragraph" w:styleId="Heading2">
    <w:name w:val="Heading 2"/>
    <w:basedOn w:val="Normal"/>
    <w:next w:val="Normal"/>
    <w:qFormat/>
    <w:pPr>
      <w:spacing w:before="240" w:after="120"/>
      <w:outlineLvl w:val="1"/>
    </w:pPr>
    <w:rPr>
      <w:rFonts w:ascii="Arial" w:cs="Arial" w:eastAsia="Arial" w:hAnsi="Arial"/>
      <w:b/>
      <w:bCs/>
      <w:color w:val="2B5797"/>
      <w:sz w:val="24"/>
      <w:szCs w:val="24"/>
    </w:rPr>
  </w:style>
  <w:style w:type="paragraph" w:styleId="Heading3">
    <w:name w:val="Heading 3"/>
    <w:basedOn w:val="Normal"/>
    <w:next w:val="Normal"/>
    <w:qFormat/>
    <w:pPr>
      <w:spacing w:before="180" w:after="90"/>
      <w:outlineLvl w:val="2"/>
    </w:pPr>
    <w:rPr>
      <w:rFonts w:ascii="Arial" w:cs="Arial" w:eastAsia="Arial" w:hAnsi="Arial"/>
      <w:b/>
      <w:bCs/>
      <w:color w:val="2B5797"/>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2025-11-10T13:07:02.559Z</dcterms:created>
  <dcterms:modified xsi:type="dcterms:W3CDTF">2025-11-10T13:07:02.560Z</dcterms:modified>
</cp:coreProperties>
</file>

<file path=docProps/custom.xml><?xml version="1.0" encoding="utf-8"?>
<Properties xmlns="http://schemas.openxmlformats.org/officeDocument/2006/custom-properties" xmlns:vt="http://schemas.openxmlformats.org/officeDocument/2006/docPropsVTypes"/>
</file>