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21" w:rsidRPr="00E9311A" w:rsidRDefault="00292321" w:rsidP="00292321">
      <w:pPr>
        <w:pStyle w:val="NoSpacing"/>
        <w:spacing w:line="360" w:lineRule="auto"/>
        <w:rPr>
          <w:rFonts w:ascii="Tahoma" w:hAnsi="Tahoma" w:cs="Tahoma"/>
          <w:b/>
          <w:i/>
          <w:sz w:val="28"/>
          <w:szCs w:val="28"/>
        </w:rPr>
      </w:pPr>
      <w:r w:rsidRPr="00EC0F45">
        <w:rPr>
          <w:rFonts w:ascii="Tahoma" w:hAnsi="Tahoma" w:cs="Tahoma"/>
          <w:b/>
          <w:i/>
          <w:sz w:val="28"/>
          <w:szCs w:val="28"/>
        </w:rPr>
        <w:t xml:space="preserve">MATERNAL NEWBORN AND CHILD HEALTH; …the communal way </w:t>
      </w:r>
    </w:p>
    <w:p w:rsidR="00292321" w:rsidRDefault="00292321" w:rsidP="00292321">
      <w:r>
        <w:rPr>
          <w:rFonts w:cs="Gill Sans MT"/>
          <w:b/>
          <w:bCs/>
          <w:color w:val="000000"/>
          <w:sz w:val="20"/>
          <w:szCs w:val="20"/>
        </w:rPr>
        <w:t xml:space="preserve">             Summary of possible response actions linked to the Effective MNCH in Communities </w:t>
      </w:r>
    </w:p>
    <w:tbl>
      <w:tblPr>
        <w:tblStyle w:val="TableGrid"/>
        <w:tblW w:w="9836" w:type="dxa"/>
        <w:tblLook w:val="04A0"/>
      </w:tblPr>
      <w:tblGrid>
        <w:gridCol w:w="1818"/>
        <w:gridCol w:w="5154"/>
        <w:gridCol w:w="2864"/>
      </w:tblGrid>
      <w:tr w:rsidR="00292321" w:rsidTr="00387C76">
        <w:tc>
          <w:tcPr>
            <w:tcW w:w="1818" w:type="dxa"/>
            <w:shd w:val="clear" w:color="auto" w:fill="FFC000"/>
          </w:tcPr>
          <w:p w:rsidR="00292321" w:rsidRDefault="00292321" w:rsidP="00387C76"/>
        </w:tc>
        <w:tc>
          <w:tcPr>
            <w:tcW w:w="5154" w:type="dxa"/>
            <w:shd w:val="clear" w:color="auto" w:fill="FFC000"/>
          </w:tcPr>
          <w:p w:rsidR="00292321" w:rsidRPr="005827D0" w:rsidRDefault="00292321" w:rsidP="00387C76">
            <w:pPr>
              <w:pStyle w:val="Pa28"/>
              <w:spacing w:after="100"/>
              <w:jc w:val="center"/>
              <w:rPr>
                <w:rFonts w:cs="Gill Sans MT"/>
                <w:color w:val="000000"/>
                <w:sz w:val="20"/>
                <w:szCs w:val="20"/>
              </w:rPr>
            </w:pPr>
            <w:r>
              <w:rPr>
                <w:rFonts w:cs="Gill Sans MT"/>
                <w:b/>
                <w:bCs/>
                <w:color w:val="000000"/>
                <w:sz w:val="20"/>
                <w:szCs w:val="20"/>
              </w:rPr>
              <w:t xml:space="preserve">Key Response Actions </w:t>
            </w:r>
          </w:p>
        </w:tc>
        <w:tc>
          <w:tcPr>
            <w:tcW w:w="2864" w:type="dxa"/>
            <w:shd w:val="clear" w:color="auto" w:fill="FFC000"/>
          </w:tcPr>
          <w:p w:rsidR="00292321" w:rsidRDefault="00292321" w:rsidP="00387C76">
            <w:pPr>
              <w:jc w:val="center"/>
            </w:pPr>
            <w:r>
              <w:rPr>
                <w:rFonts w:cs="Gill Sans MT"/>
                <w:b/>
                <w:bCs/>
                <w:color w:val="000000"/>
                <w:sz w:val="20"/>
                <w:szCs w:val="20"/>
              </w:rPr>
              <w:t>Standards</w:t>
            </w:r>
          </w:p>
        </w:tc>
      </w:tr>
      <w:tr w:rsidR="00292321" w:rsidTr="00387C76">
        <w:tc>
          <w:tcPr>
            <w:tcW w:w="1818" w:type="dxa"/>
            <w:shd w:val="clear" w:color="auto" w:fill="8DB3E2" w:themeFill="text2" w:themeFillTint="66"/>
          </w:tcPr>
          <w:p w:rsidR="00292321" w:rsidRDefault="00292321" w:rsidP="00387C76">
            <w:pPr>
              <w:pStyle w:val="Pa14"/>
              <w:spacing w:after="100"/>
              <w:rPr>
                <w:rFonts w:cs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Gill Sans MT"/>
                <w:b/>
                <w:bCs/>
                <w:color w:val="000000"/>
                <w:sz w:val="20"/>
                <w:szCs w:val="20"/>
              </w:rPr>
              <w:t>Communication,</w:t>
            </w:r>
          </w:p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  <w:r>
              <w:rPr>
                <w:rFonts w:cs="Gill Sans MT"/>
                <w:b/>
                <w:bCs/>
                <w:color w:val="000000"/>
                <w:sz w:val="20"/>
                <w:szCs w:val="20"/>
              </w:rPr>
              <w:t xml:space="preserve">accountability </w:t>
            </w:r>
          </w:p>
          <w:p w:rsidR="00292321" w:rsidRDefault="00292321" w:rsidP="00387C76"/>
        </w:tc>
        <w:tc>
          <w:tcPr>
            <w:tcW w:w="5154" w:type="dxa"/>
          </w:tcPr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  <w:r>
              <w:rPr>
                <w:rFonts w:cs="Gill Sans MT"/>
                <w:color w:val="000000"/>
                <w:sz w:val="20"/>
                <w:szCs w:val="20"/>
              </w:rPr>
              <w:t>Response has communication mechanisms with the community MNCH project, access, lodge complaints (e.g. Gatekeepers desks and Wards Coordinators.</w:t>
            </w:r>
          </w:p>
        </w:tc>
        <w:tc>
          <w:tcPr>
            <w:tcW w:w="2864" w:type="dxa"/>
            <w:shd w:val="clear" w:color="auto" w:fill="F79646" w:themeFill="accent6"/>
          </w:tcPr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  <w:r>
              <w:rPr>
                <w:rFonts w:cs="Gill Sans MT"/>
                <w:color w:val="000000"/>
                <w:sz w:val="20"/>
                <w:szCs w:val="20"/>
              </w:rPr>
              <w:t>Core standard : People-</w:t>
            </w:r>
            <w:proofErr w:type="spellStart"/>
            <w:r>
              <w:rPr>
                <w:rFonts w:cs="Gill Sans MT"/>
                <w:color w:val="000000"/>
                <w:sz w:val="20"/>
                <w:szCs w:val="20"/>
              </w:rPr>
              <w:t>centred</w:t>
            </w:r>
            <w:proofErr w:type="spellEnd"/>
            <w:r>
              <w:rPr>
                <w:rFonts w:cs="Gill Sans MT"/>
                <w:color w:val="000000"/>
                <w:sz w:val="20"/>
                <w:szCs w:val="20"/>
              </w:rPr>
              <w:t xml:space="preserve">  report</w:t>
            </w:r>
          </w:p>
        </w:tc>
      </w:tr>
      <w:tr w:rsidR="00292321" w:rsidTr="00387C76">
        <w:tc>
          <w:tcPr>
            <w:tcW w:w="1818" w:type="dxa"/>
            <w:shd w:val="clear" w:color="auto" w:fill="8DB3E2" w:themeFill="text2" w:themeFillTint="66"/>
          </w:tcPr>
          <w:p w:rsidR="00292321" w:rsidRDefault="00292321" w:rsidP="00387C76">
            <w:pPr>
              <w:pStyle w:val="Pa14"/>
              <w:spacing w:after="100"/>
              <w:rPr>
                <w:rFonts w:cs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Gill Sans MT"/>
                <w:b/>
                <w:bCs/>
                <w:color w:val="000000"/>
                <w:sz w:val="20"/>
                <w:szCs w:val="20"/>
              </w:rPr>
              <w:t xml:space="preserve">Resource </w:t>
            </w:r>
          </w:p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Gill Sans MT"/>
                <w:b/>
                <w:bCs/>
                <w:color w:val="000000"/>
                <w:sz w:val="20"/>
                <w:szCs w:val="20"/>
              </w:rPr>
              <w:t>mobilisation</w:t>
            </w:r>
            <w:proofErr w:type="spellEnd"/>
          </w:p>
          <w:p w:rsidR="00292321" w:rsidRDefault="00292321" w:rsidP="00387C76"/>
        </w:tc>
        <w:tc>
          <w:tcPr>
            <w:tcW w:w="5154" w:type="dxa"/>
          </w:tcPr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  <w:r>
              <w:rPr>
                <w:rFonts w:cs="Gill Sans MT"/>
                <w:color w:val="000000"/>
                <w:sz w:val="20"/>
                <w:szCs w:val="20"/>
              </w:rPr>
              <w:t xml:space="preserve">Health status updates inform fundraising in order to </w:t>
            </w:r>
            <w:proofErr w:type="spellStart"/>
            <w:r>
              <w:rPr>
                <w:rFonts w:cs="Gill Sans MT"/>
                <w:color w:val="000000"/>
                <w:sz w:val="20"/>
                <w:szCs w:val="20"/>
              </w:rPr>
              <w:t>mobilise</w:t>
            </w:r>
            <w:proofErr w:type="spellEnd"/>
            <w:r>
              <w:rPr>
                <w:rFonts w:cs="Gill Sans MT"/>
                <w:color w:val="000000"/>
                <w:sz w:val="20"/>
                <w:szCs w:val="20"/>
              </w:rPr>
              <w:t xml:space="preserve"> financial resources for providing free health services at the point of delivery to the affected population for the duration of the MNCH </w:t>
            </w:r>
            <w:proofErr w:type="spellStart"/>
            <w:r>
              <w:rPr>
                <w:rFonts w:cs="Gill Sans MT"/>
                <w:color w:val="000000"/>
                <w:sz w:val="20"/>
                <w:szCs w:val="20"/>
              </w:rPr>
              <w:t>projrct</w:t>
            </w:r>
            <w:proofErr w:type="spellEnd"/>
          </w:p>
          <w:p w:rsidR="00292321" w:rsidRDefault="00292321" w:rsidP="00387C76"/>
        </w:tc>
        <w:tc>
          <w:tcPr>
            <w:tcW w:w="2864" w:type="dxa"/>
            <w:shd w:val="clear" w:color="auto" w:fill="F79646" w:themeFill="accent6"/>
          </w:tcPr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  <w:r>
              <w:rPr>
                <w:rFonts w:cs="Gill Sans MT"/>
                <w:color w:val="000000"/>
                <w:sz w:val="20"/>
                <w:szCs w:val="20"/>
              </w:rPr>
              <w:t>Health system standard Health financing, staffing</w:t>
            </w:r>
          </w:p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</w:p>
        </w:tc>
      </w:tr>
      <w:tr w:rsidR="00292321" w:rsidTr="00387C76">
        <w:tc>
          <w:tcPr>
            <w:tcW w:w="1818" w:type="dxa"/>
            <w:vMerge w:val="restart"/>
            <w:shd w:val="clear" w:color="auto" w:fill="8DB3E2" w:themeFill="text2" w:themeFillTint="66"/>
          </w:tcPr>
          <w:p w:rsidR="00292321" w:rsidRDefault="00292321" w:rsidP="00387C76">
            <w:pPr>
              <w:pStyle w:val="Pa14"/>
              <w:spacing w:after="100"/>
              <w:jc w:val="center"/>
              <w:rPr>
                <w:rFonts w:cs="Gill Sans MT"/>
                <w:b/>
                <w:bCs/>
                <w:color w:val="000000"/>
                <w:sz w:val="20"/>
                <w:szCs w:val="20"/>
              </w:rPr>
            </w:pPr>
          </w:p>
          <w:p w:rsidR="00292321" w:rsidRDefault="00292321" w:rsidP="00387C76">
            <w:pPr>
              <w:pStyle w:val="Pa14"/>
              <w:spacing w:after="100"/>
              <w:jc w:val="center"/>
              <w:rPr>
                <w:rFonts w:cs="Gill Sans MT"/>
                <w:b/>
                <w:bCs/>
                <w:color w:val="000000"/>
                <w:sz w:val="20"/>
                <w:szCs w:val="20"/>
              </w:rPr>
            </w:pPr>
          </w:p>
          <w:p w:rsidR="00292321" w:rsidRDefault="00292321" w:rsidP="00387C76">
            <w:pPr>
              <w:pStyle w:val="Pa14"/>
              <w:spacing w:after="100"/>
              <w:jc w:val="center"/>
              <w:rPr>
                <w:rFonts w:cs="Gill Sans MT"/>
                <w:b/>
                <w:bCs/>
                <w:color w:val="000000"/>
                <w:sz w:val="20"/>
                <w:szCs w:val="20"/>
              </w:rPr>
            </w:pPr>
          </w:p>
          <w:p w:rsidR="00292321" w:rsidRDefault="00292321" w:rsidP="00387C76">
            <w:pPr>
              <w:pStyle w:val="Pa14"/>
              <w:spacing w:after="100"/>
              <w:jc w:val="center"/>
              <w:rPr>
                <w:rFonts w:cs="Gill Sans MT"/>
                <w:color w:val="000000"/>
                <w:sz w:val="20"/>
                <w:szCs w:val="20"/>
              </w:rPr>
            </w:pPr>
            <w:r>
              <w:rPr>
                <w:rFonts w:cs="Gill Sans MT"/>
                <w:b/>
                <w:bCs/>
                <w:color w:val="000000"/>
                <w:sz w:val="20"/>
                <w:szCs w:val="20"/>
              </w:rPr>
              <w:t>Coordination</w:t>
            </w:r>
          </w:p>
          <w:p w:rsidR="00292321" w:rsidRDefault="00292321" w:rsidP="00387C76">
            <w:pPr>
              <w:jc w:val="center"/>
            </w:pPr>
          </w:p>
        </w:tc>
        <w:tc>
          <w:tcPr>
            <w:tcW w:w="5154" w:type="dxa"/>
          </w:tcPr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  <w:r>
              <w:rPr>
                <w:rFonts w:cs="Gill Sans MT"/>
                <w:color w:val="000000"/>
                <w:sz w:val="20"/>
                <w:szCs w:val="20"/>
              </w:rPr>
              <w:t>Engage with internal and external coordination mechanisms.</w:t>
            </w:r>
          </w:p>
          <w:p w:rsidR="00292321" w:rsidRDefault="00292321" w:rsidP="00387C76"/>
        </w:tc>
        <w:tc>
          <w:tcPr>
            <w:tcW w:w="2864" w:type="dxa"/>
            <w:shd w:val="clear" w:color="auto" w:fill="F79646" w:themeFill="accent6"/>
          </w:tcPr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  <w:r>
              <w:rPr>
                <w:rFonts w:cs="Gill Sans MT"/>
                <w:color w:val="000000"/>
                <w:sz w:val="20"/>
                <w:szCs w:val="20"/>
              </w:rPr>
              <w:t>Core standard: Wards Coordination and collaboration</w:t>
            </w:r>
          </w:p>
          <w:p w:rsidR="00292321" w:rsidRDefault="00292321" w:rsidP="00387C76"/>
        </w:tc>
      </w:tr>
      <w:tr w:rsidR="00292321" w:rsidTr="00387C76">
        <w:tc>
          <w:tcPr>
            <w:tcW w:w="1818" w:type="dxa"/>
            <w:vMerge/>
            <w:shd w:val="clear" w:color="auto" w:fill="8DB3E2" w:themeFill="text2" w:themeFillTint="66"/>
          </w:tcPr>
          <w:p w:rsidR="00292321" w:rsidRDefault="00292321" w:rsidP="00387C76">
            <w:pPr>
              <w:pStyle w:val="Pa14"/>
              <w:spacing w:after="100"/>
              <w:rPr>
                <w:rFonts w:cs="Gill Sans 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54" w:type="dxa"/>
          </w:tcPr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  <w:r>
              <w:rPr>
                <w:rFonts w:cs="Gill Sans MT"/>
                <w:color w:val="000000"/>
                <w:sz w:val="20"/>
                <w:szCs w:val="20"/>
              </w:rPr>
              <w:t xml:space="preserve">Actively participate in national and sub-national coordination mechanisms. </w:t>
            </w:r>
          </w:p>
          <w:p w:rsidR="00292321" w:rsidRDefault="00292321" w:rsidP="00387C76"/>
        </w:tc>
        <w:tc>
          <w:tcPr>
            <w:tcW w:w="2864" w:type="dxa"/>
            <w:shd w:val="clear" w:color="auto" w:fill="F79646" w:themeFill="accent6"/>
          </w:tcPr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  <w:r>
              <w:rPr>
                <w:rFonts w:cs="Gill Sans MT"/>
                <w:color w:val="000000"/>
                <w:sz w:val="20"/>
                <w:szCs w:val="20"/>
              </w:rPr>
              <w:t xml:space="preserve">Core standard Coordination and collaboration </w:t>
            </w:r>
            <w:proofErr w:type="spellStart"/>
            <w:r>
              <w:rPr>
                <w:rFonts w:cs="Gill Sans MT"/>
                <w:color w:val="000000"/>
                <w:sz w:val="20"/>
                <w:szCs w:val="20"/>
              </w:rPr>
              <w:t>e.g</w:t>
            </w:r>
            <w:proofErr w:type="spellEnd"/>
            <w:r>
              <w:rPr>
                <w:rFonts w:cs="Gill Sans MT"/>
                <w:color w:val="000000"/>
                <w:sz w:val="20"/>
                <w:szCs w:val="20"/>
              </w:rPr>
              <w:t xml:space="preserve"> NHIS PHCDA</w:t>
            </w:r>
          </w:p>
          <w:p w:rsidR="00292321" w:rsidRDefault="00292321" w:rsidP="00387C76"/>
        </w:tc>
      </w:tr>
      <w:tr w:rsidR="00292321" w:rsidTr="00387C76">
        <w:tc>
          <w:tcPr>
            <w:tcW w:w="1818" w:type="dxa"/>
            <w:vMerge/>
            <w:shd w:val="clear" w:color="auto" w:fill="8DB3E2" w:themeFill="text2" w:themeFillTint="66"/>
          </w:tcPr>
          <w:p w:rsidR="00292321" w:rsidRDefault="00292321" w:rsidP="00387C76">
            <w:pPr>
              <w:pStyle w:val="Pa14"/>
              <w:spacing w:after="100"/>
              <w:rPr>
                <w:rFonts w:cs="Gill Sans 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54" w:type="dxa"/>
          </w:tcPr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  <w:r>
              <w:rPr>
                <w:rFonts w:cs="Gill Sans MT"/>
                <w:color w:val="000000"/>
                <w:sz w:val="20"/>
                <w:szCs w:val="20"/>
              </w:rPr>
              <w:t>Engage with the health Ministry and NHIS</w:t>
            </w:r>
          </w:p>
          <w:p w:rsidR="00292321" w:rsidRDefault="00292321" w:rsidP="00387C76"/>
        </w:tc>
        <w:tc>
          <w:tcPr>
            <w:tcW w:w="2864" w:type="dxa"/>
            <w:shd w:val="clear" w:color="auto" w:fill="F79646" w:themeFill="accent6"/>
          </w:tcPr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  <w:r>
              <w:rPr>
                <w:rFonts w:cs="Gill Sans MT"/>
                <w:color w:val="000000"/>
                <w:sz w:val="20"/>
                <w:szCs w:val="20"/>
              </w:rPr>
              <w:t xml:space="preserve">Health system standard : Leadership  </w:t>
            </w:r>
          </w:p>
          <w:p w:rsidR="00292321" w:rsidRDefault="00292321" w:rsidP="00387C76"/>
        </w:tc>
      </w:tr>
      <w:tr w:rsidR="00292321" w:rsidTr="00387C76">
        <w:tc>
          <w:tcPr>
            <w:tcW w:w="1818" w:type="dxa"/>
            <w:vMerge w:val="restart"/>
            <w:shd w:val="clear" w:color="auto" w:fill="8DB3E2" w:themeFill="text2" w:themeFillTint="66"/>
          </w:tcPr>
          <w:p w:rsidR="00292321" w:rsidRDefault="00292321" w:rsidP="00387C76">
            <w:pPr>
              <w:pStyle w:val="Pa14"/>
              <w:spacing w:after="100"/>
              <w:rPr>
                <w:rFonts w:cs="Gill Sans MT"/>
                <w:b/>
                <w:bCs/>
                <w:color w:val="000000"/>
                <w:sz w:val="20"/>
                <w:szCs w:val="20"/>
              </w:rPr>
            </w:pPr>
          </w:p>
          <w:p w:rsidR="00292321" w:rsidRDefault="00292321" w:rsidP="00387C76">
            <w:pPr>
              <w:pStyle w:val="Pa14"/>
              <w:spacing w:after="100"/>
              <w:rPr>
                <w:rFonts w:cs="Gill Sans MT"/>
                <w:b/>
                <w:bCs/>
                <w:color w:val="000000"/>
                <w:sz w:val="20"/>
                <w:szCs w:val="20"/>
              </w:rPr>
            </w:pPr>
          </w:p>
          <w:p w:rsidR="00292321" w:rsidRDefault="00292321" w:rsidP="00387C76">
            <w:pPr>
              <w:pStyle w:val="Pa14"/>
              <w:spacing w:after="100"/>
              <w:rPr>
                <w:rFonts w:cs="Gill Sans MT"/>
                <w:b/>
                <w:bCs/>
                <w:color w:val="000000"/>
                <w:sz w:val="20"/>
                <w:szCs w:val="20"/>
              </w:rPr>
            </w:pPr>
          </w:p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  <w:r>
              <w:rPr>
                <w:rFonts w:cs="Gill Sans MT"/>
                <w:b/>
                <w:bCs/>
                <w:color w:val="000000"/>
                <w:sz w:val="20"/>
                <w:szCs w:val="20"/>
              </w:rPr>
              <w:t>Supplies and logistics</w:t>
            </w:r>
          </w:p>
          <w:p w:rsidR="00292321" w:rsidRDefault="00292321" w:rsidP="00387C76"/>
        </w:tc>
        <w:tc>
          <w:tcPr>
            <w:tcW w:w="5154" w:type="dxa"/>
          </w:tcPr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  <w:r>
              <w:rPr>
                <w:rFonts w:cs="Gill Sans MT"/>
                <w:color w:val="000000"/>
                <w:sz w:val="20"/>
                <w:szCs w:val="20"/>
              </w:rPr>
              <w:t>Support the health system to ensure consistent availability of essential medicines and equipment for the treatment of common illness.</w:t>
            </w:r>
          </w:p>
          <w:p w:rsidR="00292321" w:rsidRDefault="00292321" w:rsidP="00387C76"/>
        </w:tc>
        <w:tc>
          <w:tcPr>
            <w:tcW w:w="2864" w:type="dxa"/>
            <w:shd w:val="clear" w:color="auto" w:fill="F79646" w:themeFill="accent6"/>
          </w:tcPr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  <w:r>
              <w:rPr>
                <w:rFonts w:cs="Gill Sans MT"/>
                <w:color w:val="000000"/>
                <w:sz w:val="20"/>
                <w:szCs w:val="20"/>
              </w:rPr>
              <w:t>Health system standard; Essential  Drugs and medical supplies</w:t>
            </w:r>
          </w:p>
          <w:p w:rsidR="00292321" w:rsidRDefault="00292321" w:rsidP="00387C76"/>
        </w:tc>
      </w:tr>
      <w:tr w:rsidR="00292321" w:rsidTr="00387C76">
        <w:tc>
          <w:tcPr>
            <w:tcW w:w="1818" w:type="dxa"/>
            <w:vMerge/>
            <w:shd w:val="clear" w:color="auto" w:fill="8DB3E2" w:themeFill="text2" w:themeFillTint="66"/>
          </w:tcPr>
          <w:p w:rsidR="00292321" w:rsidRDefault="00292321" w:rsidP="00387C76"/>
        </w:tc>
        <w:tc>
          <w:tcPr>
            <w:tcW w:w="5154" w:type="dxa"/>
          </w:tcPr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  <w:r>
              <w:rPr>
                <w:rFonts w:cs="Gill Sans MT"/>
                <w:color w:val="000000"/>
                <w:sz w:val="20"/>
                <w:szCs w:val="20"/>
              </w:rPr>
              <w:t>Ensure that reserve stocks of essential medicines and material are available for pregnant women and Children basic drugs.</w:t>
            </w:r>
          </w:p>
          <w:p w:rsidR="00292321" w:rsidRDefault="00292321" w:rsidP="00387C76"/>
        </w:tc>
        <w:tc>
          <w:tcPr>
            <w:tcW w:w="2864" w:type="dxa"/>
            <w:shd w:val="clear" w:color="auto" w:fill="F79646" w:themeFill="accent6"/>
          </w:tcPr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  <w:r>
              <w:rPr>
                <w:rFonts w:cs="Gill Sans MT"/>
                <w:color w:val="000000"/>
                <w:sz w:val="20"/>
                <w:szCs w:val="20"/>
              </w:rPr>
              <w:t>Health system standard; Essential  Drugs and medical supplies</w:t>
            </w:r>
            <w:r>
              <w:rPr>
                <w:rFonts w:cs="Gill Sans MT"/>
                <w:color w:val="000000"/>
                <w:sz w:val="20"/>
                <w:szCs w:val="20"/>
              </w:rPr>
              <w:t xml:space="preserve"> and safety</w:t>
            </w:r>
          </w:p>
          <w:p w:rsidR="00292321" w:rsidRDefault="00292321" w:rsidP="00387C76"/>
        </w:tc>
      </w:tr>
      <w:tr w:rsidR="00292321" w:rsidTr="00387C76">
        <w:tc>
          <w:tcPr>
            <w:tcW w:w="1818" w:type="dxa"/>
            <w:vMerge w:val="restart"/>
            <w:shd w:val="clear" w:color="auto" w:fill="8DB3E2" w:themeFill="text2" w:themeFillTint="66"/>
          </w:tcPr>
          <w:p w:rsidR="00292321" w:rsidRDefault="00292321" w:rsidP="00387C76">
            <w:pPr>
              <w:pStyle w:val="Pa14"/>
              <w:spacing w:after="100"/>
              <w:rPr>
                <w:rFonts w:cs="Gill Sans MT"/>
                <w:b/>
                <w:bCs/>
                <w:color w:val="000000"/>
                <w:sz w:val="20"/>
                <w:szCs w:val="20"/>
              </w:rPr>
            </w:pPr>
          </w:p>
          <w:p w:rsidR="00292321" w:rsidRDefault="00292321" w:rsidP="00387C76">
            <w:pPr>
              <w:pStyle w:val="Pa14"/>
              <w:spacing w:after="100"/>
              <w:rPr>
                <w:rFonts w:cs="Gill Sans MT"/>
                <w:b/>
                <w:bCs/>
                <w:color w:val="000000"/>
                <w:sz w:val="20"/>
                <w:szCs w:val="20"/>
              </w:rPr>
            </w:pPr>
          </w:p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  <w:r>
              <w:rPr>
                <w:rFonts w:cs="Gill Sans MT"/>
                <w:b/>
                <w:bCs/>
                <w:color w:val="000000"/>
                <w:sz w:val="20"/>
                <w:szCs w:val="20"/>
              </w:rPr>
              <w:t>Childbirth; Essential newborn &amp; maternal care</w:t>
            </w:r>
          </w:p>
          <w:p w:rsidR="00292321" w:rsidRDefault="00292321" w:rsidP="00387C76"/>
        </w:tc>
        <w:tc>
          <w:tcPr>
            <w:tcW w:w="5154" w:type="dxa"/>
          </w:tcPr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  <w:r>
              <w:rPr>
                <w:rFonts w:cs="Gill Sans MT"/>
                <w:color w:val="000000"/>
                <w:sz w:val="20"/>
                <w:szCs w:val="20"/>
              </w:rPr>
              <w:t xml:space="preserve">Establish links, including communication and transport, to referral hospitals or </w:t>
            </w:r>
            <w:proofErr w:type="spellStart"/>
            <w:r>
              <w:rPr>
                <w:rFonts w:cs="Gill Sans MT"/>
                <w:color w:val="000000"/>
                <w:sz w:val="20"/>
                <w:szCs w:val="20"/>
              </w:rPr>
              <w:t>centres</w:t>
            </w:r>
            <w:proofErr w:type="spellEnd"/>
            <w:r>
              <w:rPr>
                <w:rFonts w:cs="Gill Sans MT"/>
                <w:color w:val="000000"/>
                <w:sz w:val="20"/>
                <w:szCs w:val="20"/>
              </w:rPr>
              <w:t xml:space="preserve"> for obstetric complications – </w:t>
            </w:r>
            <w:proofErr w:type="spellStart"/>
            <w:r>
              <w:rPr>
                <w:rFonts w:cs="Gill Sans MT"/>
                <w:color w:val="000000"/>
                <w:sz w:val="20"/>
                <w:szCs w:val="20"/>
              </w:rPr>
              <w:t>eg</w:t>
            </w:r>
            <w:proofErr w:type="spellEnd"/>
            <w:r>
              <w:rPr>
                <w:rFonts w:cs="Gill Sans MT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Gill Sans MT"/>
                <w:color w:val="000000"/>
                <w:sz w:val="20"/>
                <w:szCs w:val="20"/>
              </w:rPr>
              <w:t>MoU</w:t>
            </w:r>
            <w:proofErr w:type="spellEnd"/>
            <w:r>
              <w:rPr>
                <w:rFonts w:cs="Gill Sans MT"/>
                <w:color w:val="000000"/>
                <w:sz w:val="20"/>
                <w:szCs w:val="20"/>
              </w:rPr>
              <w:t xml:space="preserve"> with FMC, </w:t>
            </w:r>
            <w:proofErr w:type="spellStart"/>
            <w:r>
              <w:rPr>
                <w:rFonts w:cs="Gill Sans MT"/>
                <w:color w:val="000000"/>
                <w:sz w:val="20"/>
                <w:szCs w:val="20"/>
              </w:rPr>
              <w:t>Efokwo</w:t>
            </w:r>
            <w:proofErr w:type="spellEnd"/>
            <w:r>
              <w:rPr>
                <w:rFonts w:cs="Gill Sans MT"/>
                <w:color w:val="000000"/>
                <w:sz w:val="20"/>
                <w:szCs w:val="20"/>
              </w:rPr>
              <w:t xml:space="preserve">, General </w:t>
            </w:r>
            <w:proofErr w:type="spellStart"/>
            <w:r>
              <w:rPr>
                <w:rFonts w:cs="Gill Sans MT"/>
                <w:color w:val="000000"/>
                <w:sz w:val="20"/>
                <w:szCs w:val="20"/>
              </w:rPr>
              <w:t>Hopital</w:t>
            </w:r>
            <w:proofErr w:type="spellEnd"/>
            <w:r>
              <w:rPr>
                <w:rFonts w:cs="Gill Sans M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Gill Sans MT"/>
                <w:color w:val="000000"/>
                <w:sz w:val="20"/>
                <w:szCs w:val="20"/>
              </w:rPr>
              <w:t>Okpo</w:t>
            </w:r>
            <w:proofErr w:type="spellEnd"/>
            <w:r>
              <w:rPr>
                <w:rFonts w:cs="Gill Sans MT"/>
                <w:color w:val="000000"/>
                <w:sz w:val="20"/>
                <w:szCs w:val="20"/>
              </w:rPr>
              <w:t xml:space="preserve"> </w:t>
            </w:r>
          </w:p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F79646" w:themeFill="accent6"/>
          </w:tcPr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  <w:r>
              <w:rPr>
                <w:rFonts w:cs="Gill Sans MT"/>
                <w:color w:val="000000"/>
                <w:sz w:val="20"/>
                <w:szCs w:val="20"/>
              </w:rPr>
              <w:t>Standard: Reproductive health, pre-arrangement with secondary facilities</w:t>
            </w:r>
          </w:p>
          <w:p w:rsidR="00292321" w:rsidRDefault="00292321" w:rsidP="00387C76"/>
        </w:tc>
      </w:tr>
      <w:tr w:rsidR="00292321" w:rsidTr="00387C76">
        <w:tc>
          <w:tcPr>
            <w:tcW w:w="1818" w:type="dxa"/>
            <w:vMerge/>
            <w:shd w:val="clear" w:color="auto" w:fill="8DB3E2" w:themeFill="text2" w:themeFillTint="66"/>
          </w:tcPr>
          <w:p w:rsidR="00292321" w:rsidRDefault="00292321" w:rsidP="00387C76"/>
        </w:tc>
        <w:tc>
          <w:tcPr>
            <w:tcW w:w="5154" w:type="dxa"/>
          </w:tcPr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  <w:r>
              <w:rPr>
                <w:rFonts w:cs="Gill Sans MT"/>
                <w:color w:val="000000"/>
                <w:sz w:val="20"/>
                <w:szCs w:val="20"/>
              </w:rPr>
              <w:t>Provide essential newborn and maternal care within 24 to 48 hours after delivery by medical personnel (or trained CHEWs) in facilities and through home visits.</w:t>
            </w:r>
          </w:p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F79646" w:themeFill="accent6"/>
          </w:tcPr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  <w:r>
              <w:rPr>
                <w:rFonts w:cs="Gill Sans MT"/>
                <w:color w:val="000000"/>
                <w:sz w:val="20"/>
                <w:szCs w:val="20"/>
              </w:rPr>
              <w:t>Standard : Management of newborn and childhood illnesses</w:t>
            </w:r>
          </w:p>
          <w:p w:rsidR="00292321" w:rsidRDefault="00292321" w:rsidP="00387C76"/>
        </w:tc>
      </w:tr>
      <w:tr w:rsidR="00292321" w:rsidTr="00387C76">
        <w:trPr>
          <w:trHeight w:val="2456"/>
        </w:trPr>
        <w:tc>
          <w:tcPr>
            <w:tcW w:w="1818" w:type="dxa"/>
            <w:vMerge w:val="restart"/>
            <w:shd w:val="clear" w:color="auto" w:fill="8DB3E2" w:themeFill="text2" w:themeFillTint="66"/>
          </w:tcPr>
          <w:p w:rsidR="00292321" w:rsidRDefault="00292321" w:rsidP="00387C76">
            <w:pPr>
              <w:pStyle w:val="Pa14"/>
              <w:spacing w:after="100"/>
              <w:rPr>
                <w:rFonts w:cs="Gill Sans MT"/>
                <w:b/>
                <w:bCs/>
                <w:color w:val="000000"/>
                <w:sz w:val="20"/>
                <w:szCs w:val="20"/>
              </w:rPr>
            </w:pPr>
          </w:p>
          <w:p w:rsidR="00292321" w:rsidRDefault="00292321" w:rsidP="00387C76">
            <w:pPr>
              <w:pStyle w:val="Pa14"/>
              <w:spacing w:after="100"/>
              <w:rPr>
                <w:rFonts w:cs="Gill Sans MT"/>
                <w:b/>
                <w:bCs/>
                <w:color w:val="000000"/>
                <w:sz w:val="20"/>
                <w:szCs w:val="20"/>
              </w:rPr>
            </w:pPr>
          </w:p>
          <w:p w:rsidR="00292321" w:rsidRDefault="00292321" w:rsidP="00387C76">
            <w:pPr>
              <w:pStyle w:val="Pa14"/>
              <w:spacing w:after="100"/>
              <w:rPr>
                <w:rFonts w:cs="Gill Sans MT"/>
                <w:b/>
                <w:bCs/>
                <w:color w:val="000000"/>
                <w:sz w:val="20"/>
                <w:szCs w:val="20"/>
              </w:rPr>
            </w:pPr>
          </w:p>
          <w:p w:rsidR="00292321" w:rsidRDefault="00292321" w:rsidP="00387C76">
            <w:pPr>
              <w:pStyle w:val="Pa14"/>
              <w:spacing w:after="100"/>
              <w:rPr>
                <w:rFonts w:cs="Gill Sans MT"/>
                <w:b/>
                <w:bCs/>
                <w:color w:val="000000"/>
                <w:sz w:val="20"/>
                <w:szCs w:val="20"/>
              </w:rPr>
            </w:pPr>
          </w:p>
          <w:p w:rsidR="00292321" w:rsidRDefault="00292321" w:rsidP="00387C76">
            <w:pPr>
              <w:pStyle w:val="Pa14"/>
              <w:spacing w:after="100"/>
              <w:rPr>
                <w:rFonts w:cs="Gill Sans MT"/>
                <w:b/>
                <w:bCs/>
                <w:color w:val="000000"/>
                <w:sz w:val="20"/>
                <w:szCs w:val="20"/>
              </w:rPr>
            </w:pPr>
          </w:p>
          <w:p w:rsidR="00292321" w:rsidRDefault="00292321" w:rsidP="00387C76">
            <w:pPr>
              <w:pStyle w:val="Pa14"/>
              <w:spacing w:after="100"/>
              <w:rPr>
                <w:rFonts w:cs="Gill Sans MT"/>
                <w:b/>
                <w:bCs/>
                <w:color w:val="000000"/>
                <w:sz w:val="20"/>
                <w:szCs w:val="20"/>
              </w:rPr>
            </w:pPr>
          </w:p>
          <w:p w:rsidR="00292321" w:rsidRDefault="00292321" w:rsidP="00387C76">
            <w:pPr>
              <w:pStyle w:val="Pa14"/>
              <w:spacing w:after="100"/>
              <w:rPr>
                <w:rFonts w:cs="Gill Sans MT"/>
                <w:b/>
                <w:bCs/>
                <w:color w:val="000000"/>
                <w:sz w:val="20"/>
                <w:szCs w:val="20"/>
              </w:rPr>
            </w:pPr>
          </w:p>
          <w:p w:rsidR="00292321" w:rsidRDefault="00292321" w:rsidP="00387C76">
            <w:pPr>
              <w:pStyle w:val="Pa14"/>
              <w:spacing w:after="100"/>
              <w:rPr>
                <w:rFonts w:cs="Gill Sans MT"/>
                <w:b/>
                <w:bCs/>
                <w:color w:val="000000"/>
                <w:sz w:val="20"/>
                <w:szCs w:val="20"/>
              </w:rPr>
            </w:pPr>
          </w:p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  <w:r>
              <w:rPr>
                <w:rFonts w:cs="Gill Sans MT"/>
                <w:b/>
                <w:bCs/>
                <w:color w:val="000000"/>
                <w:sz w:val="20"/>
                <w:szCs w:val="20"/>
              </w:rPr>
              <w:t>Nutrition</w:t>
            </w:r>
          </w:p>
          <w:p w:rsidR="00292321" w:rsidRDefault="00292321" w:rsidP="00387C76">
            <w:r>
              <w:rPr>
                <w:rFonts w:cs="Gill Sans MT"/>
                <w:color w:val="000000"/>
                <w:sz w:val="20"/>
                <w:szCs w:val="20"/>
              </w:rPr>
              <w:t>CU5</w:t>
            </w:r>
          </w:p>
          <w:p w:rsidR="00292321" w:rsidRDefault="00292321" w:rsidP="00387C76"/>
        </w:tc>
        <w:tc>
          <w:tcPr>
            <w:tcW w:w="5154" w:type="dxa"/>
          </w:tcPr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  <w:r>
              <w:rPr>
                <w:rFonts w:cs="Gill Sans MT"/>
                <w:color w:val="000000"/>
                <w:sz w:val="20"/>
                <w:szCs w:val="20"/>
              </w:rPr>
              <w:t>Ensure adequate diet and supplementation (iron, folic acid, micron</w:t>
            </w:r>
            <w:r>
              <w:rPr>
                <w:rFonts w:cs="Gill Sans MT"/>
                <w:color w:val="000000"/>
                <w:sz w:val="20"/>
                <w:szCs w:val="20"/>
              </w:rPr>
              <w:t>utrient supplementation) for CU5</w:t>
            </w:r>
            <w:r>
              <w:rPr>
                <w:rFonts w:cs="Gill Sans MT"/>
                <w:color w:val="000000"/>
                <w:sz w:val="20"/>
                <w:szCs w:val="20"/>
              </w:rPr>
              <w:t>.Provide management of acute malnutrition and micronutrient deficiencies.</w:t>
            </w:r>
          </w:p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F79646" w:themeFill="accent6"/>
          </w:tcPr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  <w:r>
              <w:rPr>
                <w:rFonts w:cs="Gill Sans MT"/>
                <w:color w:val="000000"/>
                <w:sz w:val="20"/>
                <w:szCs w:val="20"/>
              </w:rPr>
              <w:t>S</w:t>
            </w:r>
            <w:r>
              <w:rPr>
                <w:rFonts w:cs="Gill Sans MT"/>
                <w:color w:val="000000"/>
                <w:sz w:val="20"/>
                <w:szCs w:val="20"/>
              </w:rPr>
              <w:t>tandard 2: Basic and skilled support: General nutrition requirements</w:t>
            </w:r>
          </w:p>
          <w:p w:rsidR="00292321" w:rsidRDefault="00292321" w:rsidP="00387C76"/>
        </w:tc>
      </w:tr>
      <w:tr w:rsidR="00292321" w:rsidTr="00387C76">
        <w:tc>
          <w:tcPr>
            <w:tcW w:w="1818" w:type="dxa"/>
            <w:vMerge/>
            <w:shd w:val="clear" w:color="auto" w:fill="8DB3E2" w:themeFill="text2" w:themeFillTint="66"/>
          </w:tcPr>
          <w:p w:rsidR="00292321" w:rsidRDefault="00292321" w:rsidP="00387C76"/>
        </w:tc>
        <w:tc>
          <w:tcPr>
            <w:tcW w:w="5154" w:type="dxa"/>
          </w:tcPr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  <w:r>
              <w:rPr>
                <w:rFonts w:cs="Gill Sans MT"/>
                <w:color w:val="000000"/>
                <w:sz w:val="20"/>
                <w:szCs w:val="20"/>
              </w:rPr>
              <w:t>Support appropriate breast-feeding (establish safe spacing).</w:t>
            </w:r>
          </w:p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F79646" w:themeFill="accent6"/>
          </w:tcPr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  <w:r>
              <w:rPr>
                <w:rFonts w:cs="Gill Sans MT"/>
                <w:color w:val="000000"/>
                <w:sz w:val="20"/>
                <w:szCs w:val="20"/>
              </w:rPr>
              <w:t>Standard; Basic and skilled support</w:t>
            </w:r>
          </w:p>
          <w:p w:rsidR="00292321" w:rsidRDefault="00292321" w:rsidP="00387C76"/>
        </w:tc>
      </w:tr>
      <w:tr w:rsidR="00292321" w:rsidTr="00387C76">
        <w:tc>
          <w:tcPr>
            <w:tcW w:w="1818" w:type="dxa"/>
            <w:vMerge/>
            <w:shd w:val="clear" w:color="auto" w:fill="8DB3E2" w:themeFill="text2" w:themeFillTint="66"/>
          </w:tcPr>
          <w:p w:rsidR="00292321" w:rsidRDefault="00292321" w:rsidP="00387C76"/>
        </w:tc>
        <w:tc>
          <w:tcPr>
            <w:tcW w:w="5154" w:type="dxa"/>
          </w:tcPr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F79646" w:themeFill="accent6"/>
          </w:tcPr>
          <w:p w:rsidR="00292321" w:rsidRDefault="00292321" w:rsidP="00387C76"/>
        </w:tc>
      </w:tr>
      <w:tr w:rsidR="00292321" w:rsidTr="00387C76">
        <w:tc>
          <w:tcPr>
            <w:tcW w:w="1818" w:type="dxa"/>
            <w:vMerge/>
            <w:shd w:val="clear" w:color="auto" w:fill="8DB3E2" w:themeFill="text2" w:themeFillTint="66"/>
          </w:tcPr>
          <w:p w:rsidR="00292321" w:rsidRDefault="00292321" w:rsidP="00387C76"/>
        </w:tc>
        <w:tc>
          <w:tcPr>
            <w:tcW w:w="5154" w:type="dxa"/>
          </w:tcPr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  <w:r>
              <w:rPr>
                <w:rFonts w:cs="Gill Sans MT"/>
                <w:color w:val="000000"/>
                <w:sz w:val="20"/>
                <w:szCs w:val="20"/>
              </w:rPr>
              <w:t>Ensure an appropriate nutritional care for the undernourished (management of acute and severe malnutrition).</w:t>
            </w:r>
          </w:p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F79646" w:themeFill="accent6"/>
          </w:tcPr>
          <w:p w:rsidR="00292321" w:rsidRDefault="00292321" w:rsidP="00387C76">
            <w:pPr>
              <w:pStyle w:val="Pa14"/>
              <w:spacing w:after="100"/>
            </w:pPr>
            <w:r>
              <w:rPr>
                <w:rFonts w:cs="Gill Sans MT"/>
                <w:color w:val="000000"/>
                <w:sz w:val="20"/>
                <w:szCs w:val="20"/>
              </w:rPr>
              <w:t xml:space="preserve">Standard;  micronutrient deficiencies Standard </w:t>
            </w:r>
          </w:p>
        </w:tc>
      </w:tr>
      <w:tr w:rsidR="00292321" w:rsidTr="00387C76">
        <w:tc>
          <w:tcPr>
            <w:tcW w:w="1818" w:type="dxa"/>
            <w:vMerge w:val="restart"/>
            <w:shd w:val="clear" w:color="auto" w:fill="8DB3E2" w:themeFill="text2" w:themeFillTint="66"/>
          </w:tcPr>
          <w:p w:rsidR="00292321" w:rsidRDefault="00292321" w:rsidP="00387C76">
            <w:pPr>
              <w:pStyle w:val="Pa14"/>
              <w:spacing w:after="100"/>
              <w:jc w:val="center"/>
              <w:rPr>
                <w:rFonts w:cs="Gill Sans MT"/>
                <w:b/>
                <w:bCs/>
                <w:color w:val="000000"/>
                <w:sz w:val="20"/>
                <w:szCs w:val="20"/>
              </w:rPr>
            </w:pPr>
          </w:p>
          <w:p w:rsidR="00292321" w:rsidRDefault="00292321" w:rsidP="00387C76">
            <w:pPr>
              <w:pStyle w:val="Pa14"/>
              <w:spacing w:after="100"/>
              <w:jc w:val="center"/>
              <w:rPr>
                <w:rFonts w:cs="Gill Sans MT"/>
                <w:b/>
                <w:bCs/>
                <w:color w:val="000000"/>
                <w:sz w:val="20"/>
                <w:szCs w:val="20"/>
              </w:rPr>
            </w:pPr>
          </w:p>
          <w:p w:rsidR="00292321" w:rsidRDefault="00292321" w:rsidP="00387C76">
            <w:pPr>
              <w:pStyle w:val="Pa14"/>
              <w:spacing w:after="100"/>
              <w:jc w:val="center"/>
              <w:rPr>
                <w:rFonts w:cs="Gill Sans MT"/>
                <w:b/>
                <w:bCs/>
                <w:color w:val="000000"/>
                <w:sz w:val="20"/>
                <w:szCs w:val="20"/>
              </w:rPr>
            </w:pPr>
          </w:p>
          <w:p w:rsidR="00292321" w:rsidRDefault="00292321" w:rsidP="00387C76">
            <w:pPr>
              <w:pStyle w:val="Pa14"/>
              <w:spacing w:after="100"/>
              <w:jc w:val="center"/>
              <w:rPr>
                <w:rFonts w:cs="Gill Sans MT"/>
                <w:b/>
                <w:bCs/>
                <w:color w:val="000000"/>
                <w:sz w:val="20"/>
                <w:szCs w:val="20"/>
              </w:rPr>
            </w:pPr>
          </w:p>
          <w:p w:rsidR="00292321" w:rsidRDefault="00292321" w:rsidP="00387C76">
            <w:pPr>
              <w:pStyle w:val="Pa14"/>
              <w:spacing w:after="100"/>
              <w:jc w:val="center"/>
              <w:rPr>
                <w:rFonts w:cs="Gill Sans MT"/>
                <w:b/>
                <w:bCs/>
                <w:color w:val="000000"/>
                <w:sz w:val="20"/>
                <w:szCs w:val="20"/>
              </w:rPr>
            </w:pPr>
          </w:p>
          <w:p w:rsidR="00292321" w:rsidRDefault="00292321" w:rsidP="00387C76">
            <w:pPr>
              <w:pStyle w:val="Pa14"/>
              <w:spacing w:after="100"/>
              <w:jc w:val="center"/>
              <w:rPr>
                <w:rFonts w:cs="Gill Sans MT"/>
                <w:b/>
                <w:bCs/>
                <w:color w:val="000000"/>
                <w:sz w:val="20"/>
                <w:szCs w:val="20"/>
              </w:rPr>
            </w:pPr>
          </w:p>
          <w:p w:rsidR="00292321" w:rsidRDefault="00292321" w:rsidP="00387C76">
            <w:pPr>
              <w:pStyle w:val="Pa14"/>
              <w:spacing w:after="100"/>
              <w:jc w:val="center"/>
              <w:rPr>
                <w:rFonts w:cs="Gill Sans MT"/>
                <w:b/>
                <w:bCs/>
                <w:color w:val="000000"/>
                <w:sz w:val="20"/>
                <w:szCs w:val="20"/>
              </w:rPr>
            </w:pPr>
          </w:p>
          <w:p w:rsidR="00292321" w:rsidRDefault="00292321" w:rsidP="00387C76">
            <w:pPr>
              <w:pStyle w:val="Pa14"/>
              <w:spacing w:after="100"/>
              <w:jc w:val="center"/>
              <w:rPr>
                <w:rFonts w:cs="Gill Sans MT"/>
                <w:b/>
                <w:bCs/>
                <w:color w:val="000000"/>
                <w:sz w:val="20"/>
                <w:szCs w:val="20"/>
              </w:rPr>
            </w:pPr>
          </w:p>
          <w:p w:rsidR="00292321" w:rsidRDefault="00292321" w:rsidP="00387C76">
            <w:pPr>
              <w:pStyle w:val="Pa14"/>
              <w:spacing w:after="100"/>
              <w:jc w:val="center"/>
              <w:rPr>
                <w:rFonts w:cs="Gill Sans MT"/>
                <w:b/>
                <w:bCs/>
                <w:color w:val="000000"/>
                <w:sz w:val="20"/>
                <w:szCs w:val="20"/>
              </w:rPr>
            </w:pPr>
          </w:p>
          <w:p w:rsidR="00292321" w:rsidRDefault="00292321" w:rsidP="00387C76">
            <w:pPr>
              <w:pStyle w:val="Pa14"/>
              <w:spacing w:after="100"/>
              <w:jc w:val="center"/>
              <w:rPr>
                <w:rFonts w:cs="Gill Sans MT"/>
                <w:b/>
                <w:bCs/>
                <w:color w:val="000000"/>
                <w:sz w:val="20"/>
                <w:szCs w:val="20"/>
              </w:rPr>
            </w:pPr>
          </w:p>
          <w:p w:rsidR="00292321" w:rsidRDefault="00292321" w:rsidP="00387C76">
            <w:pPr>
              <w:pStyle w:val="Pa14"/>
              <w:spacing w:after="100"/>
              <w:jc w:val="center"/>
              <w:rPr>
                <w:rFonts w:cs="Gill Sans MT"/>
                <w:color w:val="000000"/>
                <w:sz w:val="20"/>
                <w:szCs w:val="20"/>
              </w:rPr>
            </w:pPr>
            <w:r>
              <w:rPr>
                <w:rFonts w:cs="Gill Sans MT"/>
                <w:b/>
                <w:bCs/>
                <w:color w:val="000000"/>
                <w:sz w:val="20"/>
                <w:szCs w:val="20"/>
              </w:rPr>
              <w:t>Child health</w:t>
            </w:r>
          </w:p>
          <w:p w:rsidR="00292321" w:rsidRDefault="00292321" w:rsidP="00387C76">
            <w:pPr>
              <w:jc w:val="center"/>
            </w:pPr>
            <w:r>
              <w:t>CU5</w:t>
            </w:r>
          </w:p>
        </w:tc>
        <w:tc>
          <w:tcPr>
            <w:tcW w:w="5154" w:type="dxa"/>
          </w:tcPr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  <w:r>
              <w:rPr>
                <w:rFonts w:cs="Gill Sans MT"/>
                <w:color w:val="000000"/>
                <w:sz w:val="20"/>
                <w:szCs w:val="20"/>
              </w:rPr>
              <w:t xml:space="preserve">Promote prevention and care seeking for malaria; malaria treatment. </w:t>
            </w:r>
          </w:p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F79646" w:themeFill="accent6"/>
          </w:tcPr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  <w:proofErr w:type="gramStart"/>
            <w:r>
              <w:rPr>
                <w:rFonts w:cs="Gill Sans MT"/>
                <w:color w:val="000000"/>
                <w:sz w:val="20"/>
                <w:szCs w:val="20"/>
              </w:rPr>
              <w:t>standard</w:t>
            </w:r>
            <w:proofErr w:type="gramEnd"/>
            <w:r>
              <w:rPr>
                <w:rFonts w:cs="Gill Sans MT"/>
                <w:color w:val="000000"/>
                <w:sz w:val="20"/>
                <w:szCs w:val="20"/>
              </w:rPr>
              <w:t>:  prevention procedure. Use of nets</w:t>
            </w:r>
          </w:p>
          <w:p w:rsidR="00292321" w:rsidRDefault="00292321" w:rsidP="00387C76"/>
        </w:tc>
      </w:tr>
      <w:tr w:rsidR="00292321" w:rsidTr="00387C76">
        <w:tc>
          <w:tcPr>
            <w:tcW w:w="1818" w:type="dxa"/>
            <w:vMerge/>
            <w:shd w:val="clear" w:color="auto" w:fill="8DB3E2" w:themeFill="text2" w:themeFillTint="66"/>
          </w:tcPr>
          <w:p w:rsidR="00292321" w:rsidRDefault="00292321" w:rsidP="00387C76">
            <w:pPr>
              <w:pStyle w:val="Pa14"/>
              <w:spacing w:after="100"/>
              <w:jc w:val="center"/>
              <w:rPr>
                <w:rFonts w:cs="Gill Sans 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54" w:type="dxa"/>
          </w:tcPr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  <w:r>
              <w:rPr>
                <w:rFonts w:cs="Gill Sans MT"/>
                <w:color w:val="000000"/>
                <w:sz w:val="20"/>
                <w:szCs w:val="20"/>
              </w:rPr>
              <w:t>Promote mass vaccination against measles (with vitamin A supplementation), as indicated.</w:t>
            </w:r>
          </w:p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F79646" w:themeFill="accent6"/>
          </w:tcPr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  <w:r>
              <w:rPr>
                <w:rFonts w:cs="Gill Sans MT"/>
                <w:color w:val="000000"/>
                <w:sz w:val="20"/>
                <w:szCs w:val="20"/>
              </w:rPr>
              <w:t>Standard: Communicable disease prevention</w:t>
            </w:r>
          </w:p>
          <w:p w:rsidR="00292321" w:rsidRDefault="00292321" w:rsidP="00387C76"/>
        </w:tc>
      </w:tr>
      <w:tr w:rsidR="00292321" w:rsidTr="00387C76">
        <w:tc>
          <w:tcPr>
            <w:tcW w:w="1818" w:type="dxa"/>
            <w:vMerge/>
            <w:shd w:val="clear" w:color="auto" w:fill="8DB3E2" w:themeFill="text2" w:themeFillTint="66"/>
          </w:tcPr>
          <w:p w:rsidR="00292321" w:rsidRDefault="00292321" w:rsidP="00387C76">
            <w:pPr>
              <w:pStyle w:val="Pa14"/>
              <w:spacing w:after="100"/>
              <w:jc w:val="center"/>
              <w:rPr>
                <w:rFonts w:cs="Gill Sans 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54" w:type="dxa"/>
          </w:tcPr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  <w:r>
              <w:rPr>
                <w:rFonts w:cs="Gill Sans MT"/>
                <w:color w:val="000000"/>
                <w:sz w:val="20"/>
                <w:szCs w:val="20"/>
              </w:rPr>
              <w:t>Ensure children with pneumonia have access to adequate treatment within 24 to 48 hours of symptoms.</w:t>
            </w:r>
          </w:p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F79646" w:themeFill="accent6"/>
          </w:tcPr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  <w:r>
              <w:rPr>
                <w:rFonts w:cs="Gill Sans MT"/>
                <w:color w:val="000000"/>
                <w:sz w:val="20"/>
                <w:szCs w:val="20"/>
              </w:rPr>
              <w:t>Standard : Management of newborn and childhood illnesses</w:t>
            </w:r>
          </w:p>
          <w:p w:rsidR="00292321" w:rsidRDefault="00292321" w:rsidP="00387C76"/>
        </w:tc>
      </w:tr>
      <w:tr w:rsidR="00292321" w:rsidTr="00387C76">
        <w:tc>
          <w:tcPr>
            <w:tcW w:w="1818" w:type="dxa"/>
            <w:vMerge/>
            <w:shd w:val="clear" w:color="auto" w:fill="8DB3E2" w:themeFill="text2" w:themeFillTint="66"/>
          </w:tcPr>
          <w:p w:rsidR="00292321" w:rsidRDefault="00292321" w:rsidP="00387C76"/>
        </w:tc>
        <w:tc>
          <w:tcPr>
            <w:tcW w:w="5154" w:type="dxa"/>
          </w:tcPr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  <w:r>
              <w:rPr>
                <w:rFonts w:cs="Gill Sans MT"/>
                <w:color w:val="000000"/>
                <w:sz w:val="20"/>
                <w:szCs w:val="20"/>
              </w:rPr>
              <w:t>Provide ORS – available at home level, for the treatment of dehydration – with zinc supplementation.</w:t>
            </w:r>
          </w:p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F79646" w:themeFill="accent6"/>
          </w:tcPr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  <w:r>
              <w:rPr>
                <w:rFonts w:cs="Gill Sans MT"/>
                <w:color w:val="000000"/>
                <w:sz w:val="20"/>
                <w:szCs w:val="20"/>
              </w:rPr>
              <w:t>standard ;Management of newborn and childhood illnesses</w:t>
            </w:r>
          </w:p>
          <w:p w:rsidR="00292321" w:rsidRDefault="00292321" w:rsidP="00387C76"/>
        </w:tc>
      </w:tr>
      <w:tr w:rsidR="00292321" w:rsidTr="00387C76">
        <w:tc>
          <w:tcPr>
            <w:tcW w:w="1818" w:type="dxa"/>
            <w:vMerge/>
            <w:shd w:val="clear" w:color="auto" w:fill="8DB3E2" w:themeFill="text2" w:themeFillTint="66"/>
          </w:tcPr>
          <w:p w:rsidR="00292321" w:rsidRDefault="00292321" w:rsidP="00387C76"/>
        </w:tc>
        <w:tc>
          <w:tcPr>
            <w:tcW w:w="5154" w:type="dxa"/>
          </w:tcPr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  <w:r>
              <w:rPr>
                <w:rFonts w:cs="Gill Sans MT"/>
                <w:color w:val="000000"/>
                <w:sz w:val="20"/>
                <w:szCs w:val="20"/>
              </w:rPr>
              <w:t>Provide vitamin A supplementation for all children under the age of 5.</w:t>
            </w:r>
          </w:p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F79646" w:themeFill="accent6"/>
          </w:tcPr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  <w:r>
              <w:rPr>
                <w:rFonts w:cs="Gill Sans MT"/>
                <w:color w:val="000000"/>
                <w:sz w:val="20"/>
                <w:szCs w:val="20"/>
              </w:rPr>
              <w:t xml:space="preserve"> Management of acute malnutrition and micronutrient deficiencies</w:t>
            </w:r>
          </w:p>
          <w:p w:rsidR="00292321" w:rsidRDefault="00292321" w:rsidP="00387C76"/>
        </w:tc>
      </w:tr>
      <w:tr w:rsidR="00292321" w:rsidTr="00387C76">
        <w:tc>
          <w:tcPr>
            <w:tcW w:w="1818" w:type="dxa"/>
            <w:vMerge/>
            <w:shd w:val="clear" w:color="auto" w:fill="8DB3E2" w:themeFill="text2" w:themeFillTint="66"/>
          </w:tcPr>
          <w:p w:rsidR="00292321" w:rsidRDefault="00292321" w:rsidP="00387C76"/>
        </w:tc>
        <w:tc>
          <w:tcPr>
            <w:tcW w:w="5154" w:type="dxa"/>
          </w:tcPr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  <w:r>
              <w:rPr>
                <w:rFonts w:cs="Gill Sans MT"/>
                <w:color w:val="000000"/>
                <w:sz w:val="20"/>
                <w:szCs w:val="20"/>
              </w:rPr>
              <w:t>Promote hand washing with soap.</w:t>
            </w:r>
          </w:p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F79646" w:themeFill="accent6"/>
          </w:tcPr>
          <w:p w:rsidR="00292321" w:rsidRDefault="00292321" w:rsidP="00387C76">
            <w:pPr>
              <w:pStyle w:val="Pa14"/>
              <w:spacing w:after="100"/>
              <w:rPr>
                <w:rFonts w:cs="Gill Sans MT"/>
                <w:color w:val="000000"/>
                <w:sz w:val="20"/>
                <w:szCs w:val="20"/>
              </w:rPr>
            </w:pPr>
            <w:r>
              <w:rPr>
                <w:rFonts w:cs="Gill Sans MT"/>
                <w:color w:val="000000"/>
                <w:sz w:val="20"/>
                <w:szCs w:val="20"/>
              </w:rPr>
              <w:t xml:space="preserve">WASH – Water supply standard 3: Hygiene promotion standard 1 </w:t>
            </w:r>
          </w:p>
          <w:p w:rsidR="00292321" w:rsidRDefault="00292321" w:rsidP="00387C76"/>
        </w:tc>
      </w:tr>
    </w:tbl>
    <w:p w:rsidR="00292321" w:rsidRDefault="00292321" w:rsidP="00292321"/>
    <w:p w:rsidR="00292321" w:rsidRDefault="00292321" w:rsidP="00292321">
      <w:pPr>
        <w:pStyle w:val="Pa27"/>
        <w:spacing w:before="100" w:after="100"/>
        <w:rPr>
          <w:rFonts w:cs="Gill Sans MT"/>
          <w:b/>
          <w:bCs/>
          <w:color w:val="000000"/>
          <w:sz w:val="20"/>
          <w:szCs w:val="20"/>
        </w:rPr>
      </w:pPr>
    </w:p>
    <w:p w:rsidR="00292321" w:rsidRDefault="00292321" w:rsidP="00292321">
      <w:pPr>
        <w:pStyle w:val="Pa27"/>
        <w:spacing w:before="100" w:after="100"/>
        <w:rPr>
          <w:rFonts w:cs="Gill Sans MT"/>
          <w:b/>
          <w:bCs/>
          <w:color w:val="000000"/>
          <w:sz w:val="20"/>
          <w:szCs w:val="20"/>
        </w:rPr>
      </w:pPr>
    </w:p>
    <w:p w:rsidR="00292321" w:rsidRDefault="00292321" w:rsidP="00292321">
      <w:pPr>
        <w:pStyle w:val="Pa27"/>
        <w:spacing w:before="100" w:after="100"/>
        <w:rPr>
          <w:rFonts w:cs="Gill Sans MT"/>
          <w:b/>
          <w:bCs/>
          <w:color w:val="000000"/>
          <w:sz w:val="20"/>
          <w:szCs w:val="20"/>
        </w:rPr>
      </w:pPr>
    </w:p>
    <w:p w:rsidR="00910B77" w:rsidRDefault="00292321"/>
    <w:sectPr w:rsidR="00910B77" w:rsidSect="00203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92321"/>
    <w:rsid w:val="0020321D"/>
    <w:rsid w:val="00292321"/>
    <w:rsid w:val="00444BE0"/>
    <w:rsid w:val="00FC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3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4">
    <w:name w:val="Pa14"/>
    <w:basedOn w:val="Normal"/>
    <w:next w:val="Normal"/>
    <w:uiPriority w:val="99"/>
    <w:rsid w:val="00292321"/>
    <w:pPr>
      <w:autoSpaceDE w:val="0"/>
      <w:autoSpaceDN w:val="0"/>
      <w:adjustRightInd w:val="0"/>
      <w:spacing w:after="0" w:line="201" w:lineRule="atLeast"/>
    </w:pPr>
    <w:rPr>
      <w:rFonts w:ascii="Gill Sans MT" w:hAnsi="Gill Sans MT"/>
      <w:sz w:val="24"/>
      <w:szCs w:val="24"/>
    </w:rPr>
  </w:style>
  <w:style w:type="paragraph" w:customStyle="1" w:styleId="Pa28">
    <w:name w:val="Pa28"/>
    <w:basedOn w:val="Normal"/>
    <w:next w:val="Normal"/>
    <w:uiPriority w:val="99"/>
    <w:rsid w:val="00292321"/>
    <w:pPr>
      <w:autoSpaceDE w:val="0"/>
      <w:autoSpaceDN w:val="0"/>
      <w:adjustRightInd w:val="0"/>
      <w:spacing w:after="0" w:line="201" w:lineRule="atLeast"/>
    </w:pPr>
    <w:rPr>
      <w:rFonts w:ascii="Gill Sans MT" w:hAnsi="Gill Sans MT"/>
      <w:sz w:val="24"/>
      <w:szCs w:val="24"/>
    </w:rPr>
  </w:style>
  <w:style w:type="paragraph" w:customStyle="1" w:styleId="Pa27">
    <w:name w:val="Pa27"/>
    <w:basedOn w:val="Normal"/>
    <w:next w:val="Normal"/>
    <w:uiPriority w:val="99"/>
    <w:rsid w:val="00292321"/>
    <w:pPr>
      <w:autoSpaceDE w:val="0"/>
      <w:autoSpaceDN w:val="0"/>
      <w:adjustRightInd w:val="0"/>
      <w:spacing w:after="0" w:line="201" w:lineRule="atLeast"/>
    </w:pPr>
    <w:rPr>
      <w:rFonts w:ascii="Gill Sans MT" w:hAnsi="Gill Sans MT"/>
      <w:sz w:val="24"/>
      <w:szCs w:val="24"/>
    </w:rPr>
  </w:style>
  <w:style w:type="paragraph" w:styleId="NoSpacing">
    <w:name w:val="No Spacing"/>
    <w:uiPriority w:val="1"/>
    <w:qFormat/>
    <w:rsid w:val="002923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unik</dc:creator>
  <cp:lastModifiedBy>unik</cp:lastModifiedBy>
  <cp:revision>1</cp:revision>
  <dcterms:created xsi:type="dcterms:W3CDTF">2020-09-04T09:37:00Z</dcterms:created>
  <dcterms:modified xsi:type="dcterms:W3CDTF">2020-09-04T09:38:00Z</dcterms:modified>
</cp:coreProperties>
</file>