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2EE4" w14:textId="77777777" w:rsidR="008522DE" w:rsidRDefault="008522DE">
      <w:pPr>
        <w:spacing w:line="480" w:lineRule="auto"/>
        <w:jc w:val="both"/>
        <w:rPr>
          <w:b/>
          <w:sz w:val="24"/>
          <w:szCs w:val="24"/>
        </w:rPr>
      </w:pPr>
    </w:p>
    <w:p w14:paraId="6C66BD70" w14:textId="77777777" w:rsidR="008522DE" w:rsidRDefault="008522DE">
      <w:pPr>
        <w:spacing w:line="480" w:lineRule="auto"/>
        <w:jc w:val="both"/>
        <w:rPr>
          <w:b/>
          <w:sz w:val="24"/>
          <w:szCs w:val="24"/>
        </w:rPr>
      </w:pPr>
    </w:p>
    <w:p w14:paraId="3C7E5F02" w14:textId="77777777" w:rsidR="008522DE" w:rsidRDefault="008522DE">
      <w:pPr>
        <w:spacing w:after="0" w:line="240" w:lineRule="auto"/>
        <w:jc w:val="center"/>
        <w:rPr>
          <w:b/>
          <w:sz w:val="24"/>
          <w:szCs w:val="24"/>
        </w:rPr>
      </w:pPr>
    </w:p>
    <w:p w14:paraId="570FAA2A" w14:textId="77777777" w:rsidR="008522DE" w:rsidRDefault="00523A8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67D181" wp14:editId="0BDD121D">
            <wp:extent cx="2613279" cy="13144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3279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FFF051" w14:textId="77777777" w:rsidR="008522DE" w:rsidRDefault="008522DE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60"/>
          <w:szCs w:val="60"/>
        </w:rPr>
      </w:pPr>
    </w:p>
    <w:p w14:paraId="0BB30BDA" w14:textId="77777777" w:rsidR="008522DE" w:rsidRDefault="00523A88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60"/>
          <w:szCs w:val="60"/>
        </w:rPr>
      </w:pPr>
      <w:r>
        <w:rPr>
          <w:rFonts w:ascii="Times New Roman" w:eastAsia="Times New Roman" w:hAnsi="Times New Roman" w:cs="Times New Roman"/>
          <w:b/>
          <w:sz w:val="60"/>
          <w:szCs w:val="60"/>
        </w:rPr>
        <w:t>GLOBAL GIVING</w:t>
      </w:r>
    </w:p>
    <w:p w14:paraId="6EDA550D" w14:textId="77777777" w:rsidR="008522DE" w:rsidRDefault="00523A88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60"/>
          <w:szCs w:val="60"/>
        </w:rPr>
      </w:pPr>
      <w:r>
        <w:rPr>
          <w:rFonts w:ascii="Times New Roman" w:eastAsia="Times New Roman" w:hAnsi="Times New Roman" w:cs="Times New Roman"/>
          <w:b/>
          <w:sz w:val="60"/>
          <w:szCs w:val="60"/>
        </w:rPr>
        <w:t>JANUARY 2022 REPORT.</w:t>
      </w:r>
    </w:p>
    <w:p w14:paraId="48FDD007" w14:textId="77777777" w:rsidR="008522DE" w:rsidRDefault="00523A88">
      <w:pPr>
        <w:spacing w:line="480" w:lineRule="auto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60"/>
          <w:szCs w:val="60"/>
        </w:rPr>
        <w:t xml:space="preserve">                                </w:t>
      </w:r>
      <w:r>
        <w:br w:type="page"/>
      </w:r>
    </w:p>
    <w:p w14:paraId="4C228392" w14:textId="2F72497C" w:rsidR="008522DE" w:rsidRPr="003E056B" w:rsidRDefault="00523A88" w:rsidP="003E056B">
      <w:pPr>
        <w:pStyle w:val="ListParagraph"/>
        <w:numPr>
          <w:ilvl w:val="0"/>
          <w:numId w:val="4"/>
        </w:numPr>
        <w:spacing w:line="480" w:lineRule="auto"/>
        <w:jc w:val="both"/>
        <w:rPr>
          <w:b/>
          <w:sz w:val="24"/>
          <w:szCs w:val="24"/>
        </w:rPr>
      </w:pPr>
      <w:r w:rsidRPr="003E056B">
        <w:rPr>
          <w:b/>
          <w:sz w:val="24"/>
          <w:szCs w:val="24"/>
        </w:rPr>
        <w:lastRenderedPageBreak/>
        <w:t>BACKGROUND</w:t>
      </w:r>
    </w:p>
    <w:p w14:paraId="1BD0A694" w14:textId="285F3375" w:rsidR="008522DE" w:rsidRDefault="00523A8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the last quarter of </w:t>
      </w:r>
      <w:r w:rsidR="00090DA9">
        <w:rPr>
          <w:sz w:val="24"/>
          <w:szCs w:val="24"/>
        </w:rPr>
        <w:t>2021</w:t>
      </w:r>
      <w:r>
        <w:rPr>
          <w:sz w:val="24"/>
          <w:szCs w:val="24"/>
        </w:rPr>
        <w:t>, the</w:t>
      </w:r>
      <w:r w:rsidR="00090DA9">
        <w:rPr>
          <w:sz w:val="24"/>
          <w:szCs w:val="24"/>
        </w:rPr>
        <w:t xml:space="preserve"> </w:t>
      </w:r>
      <w:r>
        <w:rPr>
          <w:sz w:val="24"/>
          <w:szCs w:val="24"/>
        </w:rPr>
        <w:t>humanitarian needs of the South-West region of Cameroon increased due to</w:t>
      </w:r>
      <w:r w:rsidR="00090D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Cholera outbreak </w:t>
      </w:r>
      <w:r w:rsidR="00090DA9">
        <w:rPr>
          <w:sz w:val="24"/>
          <w:szCs w:val="24"/>
        </w:rPr>
        <w:t xml:space="preserve">in </w:t>
      </w:r>
      <w:proofErr w:type="spellStart"/>
      <w:r w:rsidR="00090DA9">
        <w:rPr>
          <w:sz w:val="24"/>
          <w:szCs w:val="24"/>
        </w:rPr>
        <w:t>Bamusso</w:t>
      </w:r>
      <w:proofErr w:type="spellEnd"/>
      <w:r w:rsidR="00090D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amidst the ongoing </w:t>
      </w:r>
      <w:r w:rsidR="00090DA9">
        <w:rPr>
          <w:sz w:val="24"/>
          <w:szCs w:val="24"/>
        </w:rPr>
        <w:t>humanitarian</w:t>
      </w:r>
      <w:r>
        <w:rPr>
          <w:sz w:val="24"/>
          <w:szCs w:val="24"/>
        </w:rPr>
        <w:t xml:space="preserve"> crisis. </w:t>
      </w:r>
      <w:r w:rsidR="00090DA9">
        <w:rPr>
          <w:sz w:val="24"/>
          <w:szCs w:val="24"/>
        </w:rPr>
        <w:t>Reach Out swiftly acted as first-responders to the outbreak</w:t>
      </w:r>
      <w:r>
        <w:rPr>
          <w:sz w:val="24"/>
          <w:szCs w:val="24"/>
        </w:rPr>
        <w:t xml:space="preserve"> </w:t>
      </w:r>
      <w:r w:rsidR="00090DA9">
        <w:rPr>
          <w:sz w:val="24"/>
          <w:szCs w:val="24"/>
        </w:rPr>
        <w:t xml:space="preserve">with </w:t>
      </w:r>
      <w:r>
        <w:rPr>
          <w:sz w:val="24"/>
          <w:szCs w:val="24"/>
        </w:rPr>
        <w:t xml:space="preserve">funds from </w:t>
      </w:r>
      <w:r w:rsidR="00090DA9">
        <w:rPr>
          <w:sz w:val="24"/>
          <w:szCs w:val="24"/>
        </w:rPr>
        <w:t>Global</w:t>
      </w:r>
      <w:r>
        <w:rPr>
          <w:sz w:val="24"/>
          <w:szCs w:val="24"/>
        </w:rPr>
        <w:t xml:space="preserve"> Giving</w:t>
      </w:r>
      <w:r w:rsidR="002D6B2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 mobile clinic was dispatched to the endemic </w:t>
      </w:r>
      <w:r w:rsidR="00090DA9">
        <w:rPr>
          <w:sz w:val="24"/>
          <w:szCs w:val="24"/>
        </w:rPr>
        <w:t xml:space="preserve">area </w:t>
      </w:r>
      <w:r>
        <w:rPr>
          <w:sz w:val="24"/>
          <w:szCs w:val="24"/>
        </w:rPr>
        <w:t>comp</w:t>
      </w:r>
      <w:r w:rsidR="002D6B2A">
        <w:rPr>
          <w:sz w:val="24"/>
          <w:szCs w:val="24"/>
        </w:rPr>
        <w:t xml:space="preserve">rising </w:t>
      </w:r>
      <w:r>
        <w:rPr>
          <w:sz w:val="24"/>
          <w:szCs w:val="24"/>
        </w:rPr>
        <w:t xml:space="preserve">of a Medical Doctor, Laboratory Scientist, two Nurses, and a WASH officer to provide </w:t>
      </w:r>
      <w:r w:rsidR="0089466B">
        <w:rPr>
          <w:sz w:val="24"/>
          <w:szCs w:val="24"/>
        </w:rPr>
        <w:t xml:space="preserve">emergency </w:t>
      </w:r>
      <w:r>
        <w:rPr>
          <w:sz w:val="24"/>
          <w:szCs w:val="24"/>
        </w:rPr>
        <w:t xml:space="preserve">healthcare </w:t>
      </w:r>
      <w:r w:rsidR="0089466B">
        <w:rPr>
          <w:sz w:val="24"/>
          <w:szCs w:val="24"/>
        </w:rPr>
        <w:t xml:space="preserve">assistance to the affected population. </w:t>
      </w:r>
    </w:p>
    <w:p w14:paraId="2E933F34" w14:textId="19A1EEBF" w:rsidR="008522DE" w:rsidRDefault="00B8059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Meanwhile, i</w:t>
      </w:r>
      <w:r w:rsidR="00523A88">
        <w:rPr>
          <w:sz w:val="24"/>
          <w:szCs w:val="24"/>
        </w:rPr>
        <w:t>n January 2022, activities of the C</w:t>
      </w:r>
      <w:r>
        <w:rPr>
          <w:sz w:val="24"/>
          <w:szCs w:val="24"/>
        </w:rPr>
        <w:t xml:space="preserve">ommunity </w:t>
      </w:r>
      <w:r w:rsidR="00523A88">
        <w:rPr>
          <w:sz w:val="24"/>
          <w:szCs w:val="24"/>
        </w:rPr>
        <w:t>H</w:t>
      </w:r>
      <w:r>
        <w:rPr>
          <w:sz w:val="24"/>
          <w:szCs w:val="24"/>
        </w:rPr>
        <w:t xml:space="preserve">ealth </w:t>
      </w:r>
      <w:r w:rsidR="00523A88">
        <w:rPr>
          <w:sz w:val="24"/>
          <w:szCs w:val="24"/>
        </w:rPr>
        <w:t>W</w:t>
      </w:r>
      <w:r>
        <w:rPr>
          <w:sz w:val="24"/>
          <w:szCs w:val="24"/>
        </w:rPr>
        <w:t>orker</w:t>
      </w:r>
      <w:r w:rsidR="00523A88">
        <w:rPr>
          <w:sz w:val="24"/>
          <w:szCs w:val="24"/>
        </w:rPr>
        <w:t>s</w:t>
      </w:r>
      <w:r>
        <w:rPr>
          <w:sz w:val="24"/>
          <w:szCs w:val="24"/>
        </w:rPr>
        <w:t xml:space="preserve"> (CHWs)</w:t>
      </w:r>
      <w:r w:rsidR="00523A88">
        <w:rPr>
          <w:sz w:val="24"/>
          <w:szCs w:val="24"/>
        </w:rPr>
        <w:t xml:space="preserve"> in </w:t>
      </w:r>
      <w:proofErr w:type="spellStart"/>
      <w:r w:rsidR="00523A88">
        <w:rPr>
          <w:sz w:val="24"/>
          <w:szCs w:val="24"/>
        </w:rPr>
        <w:t>Ekondo</w:t>
      </w:r>
      <w:proofErr w:type="spellEnd"/>
      <w:r w:rsidR="00523A88">
        <w:rPr>
          <w:sz w:val="24"/>
          <w:szCs w:val="24"/>
        </w:rPr>
        <w:t xml:space="preserve"> Titi </w:t>
      </w:r>
      <w:r>
        <w:rPr>
          <w:sz w:val="24"/>
          <w:szCs w:val="24"/>
        </w:rPr>
        <w:t>continued.</w:t>
      </w:r>
      <w:r w:rsidR="002D6B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summary </w:t>
      </w:r>
      <w:r w:rsidR="00523A88">
        <w:rPr>
          <w:sz w:val="24"/>
          <w:szCs w:val="24"/>
        </w:rPr>
        <w:t>of</w:t>
      </w:r>
      <w:r>
        <w:rPr>
          <w:sz w:val="24"/>
          <w:szCs w:val="24"/>
        </w:rPr>
        <w:t xml:space="preserve"> their</w:t>
      </w:r>
      <w:r w:rsidR="00523A88">
        <w:rPr>
          <w:sz w:val="24"/>
          <w:szCs w:val="24"/>
        </w:rPr>
        <w:t xml:space="preserve"> activities </w:t>
      </w:r>
      <w:r w:rsidR="002D6B2A">
        <w:rPr>
          <w:sz w:val="24"/>
          <w:szCs w:val="24"/>
        </w:rPr>
        <w:t>is</w:t>
      </w:r>
      <w:r w:rsidR="00523A88">
        <w:rPr>
          <w:sz w:val="24"/>
          <w:szCs w:val="24"/>
        </w:rPr>
        <w:t xml:space="preserve"> included in this report.  </w:t>
      </w:r>
    </w:p>
    <w:p w14:paraId="61EC73A6" w14:textId="6F6B5078" w:rsidR="008522DE" w:rsidRPr="003E056B" w:rsidRDefault="00523A88" w:rsidP="003E056B">
      <w:pPr>
        <w:pStyle w:val="ListParagraph"/>
        <w:numPr>
          <w:ilvl w:val="0"/>
          <w:numId w:val="4"/>
        </w:numPr>
        <w:spacing w:line="360" w:lineRule="auto"/>
        <w:jc w:val="both"/>
        <w:rPr>
          <w:b/>
          <w:sz w:val="24"/>
          <w:szCs w:val="24"/>
        </w:rPr>
      </w:pPr>
      <w:r w:rsidRPr="003E056B">
        <w:rPr>
          <w:b/>
          <w:sz w:val="24"/>
          <w:szCs w:val="24"/>
        </w:rPr>
        <w:t xml:space="preserve">Project Goal </w:t>
      </w:r>
    </w:p>
    <w:p w14:paraId="471D8544" w14:textId="0B8CCA36" w:rsidR="008522DE" w:rsidRDefault="00523A8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provide free primary healthcare services </w:t>
      </w:r>
      <w:r w:rsidR="00B80598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people in vulnerable </w:t>
      </w:r>
      <w:r w:rsidR="00B80598">
        <w:rPr>
          <w:sz w:val="24"/>
          <w:szCs w:val="24"/>
        </w:rPr>
        <w:t xml:space="preserve">communities </w:t>
      </w:r>
      <w:r>
        <w:rPr>
          <w:sz w:val="24"/>
          <w:szCs w:val="24"/>
        </w:rPr>
        <w:t xml:space="preserve">affected by the ongoing </w:t>
      </w:r>
      <w:r w:rsidR="00B80598">
        <w:rPr>
          <w:sz w:val="24"/>
          <w:szCs w:val="24"/>
        </w:rPr>
        <w:t>humanitarian</w:t>
      </w:r>
      <w:r>
        <w:rPr>
          <w:sz w:val="24"/>
          <w:szCs w:val="24"/>
        </w:rPr>
        <w:t xml:space="preserve"> crisis in the North-West and South-West regions of Cameroon. </w:t>
      </w:r>
    </w:p>
    <w:p w14:paraId="391303E9" w14:textId="77777777" w:rsidR="008522DE" w:rsidRDefault="00523A88">
      <w:pPr>
        <w:spacing w:after="20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Project Objectives</w:t>
      </w:r>
    </w:p>
    <w:p w14:paraId="2989E47A" w14:textId="5BF9E3A7" w:rsidR="008522DE" w:rsidRDefault="00523A88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support two (2) CHWs in </w:t>
      </w:r>
      <w:proofErr w:type="spellStart"/>
      <w:r w:rsidR="002D6B2A">
        <w:rPr>
          <w:sz w:val="24"/>
          <w:szCs w:val="24"/>
        </w:rPr>
        <w:t>Kitta</w:t>
      </w:r>
      <w:proofErr w:type="spellEnd"/>
      <w:r w:rsidR="002D6B2A">
        <w:rPr>
          <w:sz w:val="24"/>
          <w:szCs w:val="24"/>
        </w:rPr>
        <w:t xml:space="preserve">, </w:t>
      </w:r>
      <w:proofErr w:type="spellStart"/>
      <w:r w:rsidR="002D6B2A">
        <w:rPr>
          <w:sz w:val="24"/>
          <w:szCs w:val="24"/>
        </w:rPr>
        <w:t>Ekondo</w:t>
      </w:r>
      <w:proofErr w:type="spellEnd"/>
      <w:r>
        <w:rPr>
          <w:sz w:val="24"/>
          <w:szCs w:val="24"/>
        </w:rPr>
        <w:t>-Titi Health District to provide free primary healthcare services to those in need.</w:t>
      </w:r>
    </w:p>
    <w:p w14:paraId="2A0EE634" w14:textId="77777777" w:rsidR="008522DE" w:rsidRDefault="00523A88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perform surveillance on diseases prone to outbreaks in </w:t>
      </w:r>
      <w:proofErr w:type="spellStart"/>
      <w:r>
        <w:rPr>
          <w:sz w:val="24"/>
          <w:szCs w:val="24"/>
        </w:rPr>
        <w:t>Kitta</w:t>
      </w:r>
      <w:proofErr w:type="spellEnd"/>
      <w:r>
        <w:rPr>
          <w:sz w:val="24"/>
          <w:szCs w:val="24"/>
        </w:rPr>
        <w:t xml:space="preserve"> and Tole.</w:t>
      </w:r>
    </w:p>
    <w:p w14:paraId="6A145736" w14:textId="757B1699" w:rsidR="008522DE" w:rsidRPr="003E056B" w:rsidRDefault="00523A88" w:rsidP="003E05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3E056B">
        <w:rPr>
          <w:b/>
          <w:sz w:val="24"/>
          <w:szCs w:val="24"/>
        </w:rPr>
        <w:t>Results</w:t>
      </w:r>
    </w:p>
    <w:p w14:paraId="29629393" w14:textId="33067802" w:rsidR="008522DE" w:rsidRDefault="00BF6E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23A88">
        <w:rPr>
          <w:sz w:val="24"/>
          <w:szCs w:val="24"/>
        </w:rPr>
        <w:t xml:space="preserve">Community Health workers in </w:t>
      </w:r>
      <w:proofErr w:type="spellStart"/>
      <w:r w:rsidR="00523A88">
        <w:rPr>
          <w:sz w:val="24"/>
          <w:szCs w:val="24"/>
        </w:rPr>
        <w:t>Ekondo</w:t>
      </w:r>
      <w:proofErr w:type="spellEnd"/>
      <w:r w:rsidR="00523A88">
        <w:rPr>
          <w:sz w:val="24"/>
          <w:szCs w:val="24"/>
        </w:rPr>
        <w:t xml:space="preserve"> Titi</w:t>
      </w:r>
      <w:r w:rsidR="002D6B2A">
        <w:rPr>
          <w:sz w:val="24"/>
          <w:szCs w:val="24"/>
        </w:rPr>
        <w:t xml:space="preserve"> </w:t>
      </w:r>
      <w:r w:rsidR="00523A88">
        <w:rPr>
          <w:sz w:val="24"/>
          <w:szCs w:val="24"/>
        </w:rPr>
        <w:t xml:space="preserve">provided primary health care services to 117 vulnerable </w:t>
      </w:r>
      <w:r>
        <w:rPr>
          <w:sz w:val="24"/>
          <w:szCs w:val="24"/>
        </w:rPr>
        <w:t xml:space="preserve">persons in </w:t>
      </w:r>
      <w:proofErr w:type="spellStart"/>
      <w:r w:rsidR="00523A88">
        <w:rPr>
          <w:sz w:val="24"/>
          <w:szCs w:val="24"/>
        </w:rPr>
        <w:t>Kitta</w:t>
      </w:r>
      <w:proofErr w:type="spellEnd"/>
      <w:r w:rsidR="00523A88">
        <w:rPr>
          <w:sz w:val="24"/>
          <w:szCs w:val="24"/>
        </w:rPr>
        <w:t xml:space="preserve">. These services included the treatment of uncomplicated common infections/diseases through the provision of essential drugs, referral of complicated cases, immunization of children, proper nutrition for children &lt;5 years, maternal and child health and education about common diseases with guidelines for prevention and control. Results </w:t>
      </w:r>
      <w:r w:rsidR="002D6B2A">
        <w:rPr>
          <w:sz w:val="24"/>
          <w:szCs w:val="24"/>
        </w:rPr>
        <w:t>from</w:t>
      </w:r>
      <w:r w:rsidR="00523A88">
        <w:rPr>
          <w:sz w:val="24"/>
          <w:szCs w:val="24"/>
        </w:rPr>
        <w:t xml:space="preserve"> activities</w:t>
      </w:r>
      <w:r w:rsidR="002D6B2A">
        <w:rPr>
          <w:sz w:val="24"/>
          <w:szCs w:val="24"/>
        </w:rPr>
        <w:t xml:space="preserve"> carried out are</w:t>
      </w:r>
      <w:r w:rsidR="00523A88">
        <w:rPr>
          <w:sz w:val="24"/>
          <w:szCs w:val="24"/>
        </w:rPr>
        <w:t xml:space="preserve"> grouped </w:t>
      </w:r>
      <w:r w:rsidR="002D6B2A">
        <w:rPr>
          <w:sz w:val="24"/>
          <w:szCs w:val="24"/>
        </w:rPr>
        <w:t>under Health</w:t>
      </w:r>
      <w:r w:rsidR="00523A88">
        <w:rPr>
          <w:sz w:val="24"/>
          <w:szCs w:val="24"/>
        </w:rPr>
        <w:t xml:space="preserve">, </w:t>
      </w:r>
      <w:r w:rsidR="002D6B2A">
        <w:rPr>
          <w:sz w:val="24"/>
          <w:szCs w:val="24"/>
        </w:rPr>
        <w:t>Sensitization</w:t>
      </w:r>
      <w:r w:rsidR="00523A88">
        <w:rPr>
          <w:sz w:val="24"/>
          <w:szCs w:val="24"/>
        </w:rPr>
        <w:t xml:space="preserve"> and Nutrition.</w:t>
      </w:r>
    </w:p>
    <w:p w14:paraId="45C449E4" w14:textId="77777777" w:rsidR="008522DE" w:rsidRDefault="008522DE">
      <w:pPr>
        <w:spacing w:after="0" w:line="360" w:lineRule="auto"/>
        <w:jc w:val="both"/>
        <w:rPr>
          <w:sz w:val="24"/>
          <w:szCs w:val="24"/>
        </w:rPr>
      </w:pPr>
    </w:p>
    <w:p w14:paraId="1653815A" w14:textId="77777777" w:rsidR="008522DE" w:rsidRDefault="00523A88">
      <w:pPr>
        <w:pStyle w:val="Heading2"/>
        <w:spacing w:before="0" w:after="120" w:line="360" w:lineRule="auto"/>
        <w:jc w:val="both"/>
        <w:rPr>
          <w:sz w:val="24"/>
          <w:szCs w:val="24"/>
        </w:rPr>
      </w:pPr>
      <w:bookmarkStart w:id="0" w:name="_2s8eyo1" w:colFirst="0" w:colLast="0"/>
      <w:bookmarkEnd w:id="0"/>
      <w:r>
        <w:rPr>
          <w:sz w:val="24"/>
          <w:szCs w:val="24"/>
        </w:rPr>
        <w:lastRenderedPageBreak/>
        <w:t>3.1 Health Data</w:t>
      </w:r>
    </w:p>
    <w:p w14:paraId="1C962527" w14:textId="0F16326F" w:rsidR="008522DE" w:rsidRDefault="00523A88">
      <w:p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Kitta</w:t>
      </w:r>
      <w:proofErr w:type="spellEnd"/>
      <w:r>
        <w:rPr>
          <w:sz w:val="24"/>
          <w:szCs w:val="24"/>
        </w:rPr>
        <w:t xml:space="preserve">, CHWs received 117 persons (58 males, 59 females) who had health challenges in January 2022 with 59 children &lt;5 years </w:t>
      </w:r>
      <w:r w:rsidR="002D6B2A">
        <w:rPr>
          <w:sz w:val="24"/>
          <w:szCs w:val="24"/>
        </w:rPr>
        <w:t>(29</w:t>
      </w:r>
      <w:r>
        <w:rPr>
          <w:sz w:val="24"/>
          <w:szCs w:val="24"/>
        </w:rPr>
        <w:t xml:space="preserve"> males, 30 females) being the </w:t>
      </w:r>
      <w:r w:rsidR="002D6B2A">
        <w:rPr>
          <w:sz w:val="24"/>
          <w:szCs w:val="24"/>
        </w:rPr>
        <w:t>majority.</w:t>
      </w:r>
      <w:r>
        <w:rPr>
          <w:sz w:val="24"/>
          <w:szCs w:val="24"/>
        </w:rPr>
        <w:t xml:space="preserve"> CHWs provided essential drugs to treat </w:t>
      </w:r>
      <w:r w:rsidR="002D6B2A">
        <w:rPr>
          <w:sz w:val="24"/>
          <w:szCs w:val="24"/>
        </w:rPr>
        <w:t>29 persons</w:t>
      </w:r>
      <w:r>
        <w:rPr>
          <w:sz w:val="24"/>
          <w:szCs w:val="24"/>
        </w:rPr>
        <w:t xml:space="preserve"> </w:t>
      </w:r>
      <w:r w:rsidR="002D6B2A">
        <w:rPr>
          <w:sz w:val="24"/>
          <w:szCs w:val="24"/>
        </w:rPr>
        <w:t>for uncomplicated</w:t>
      </w:r>
      <w:r>
        <w:rPr>
          <w:sz w:val="24"/>
          <w:szCs w:val="24"/>
        </w:rPr>
        <w:t xml:space="preserve"> malaria,15 persons </w:t>
      </w:r>
      <w:r w:rsidR="002D6B2A">
        <w:rPr>
          <w:sz w:val="24"/>
          <w:szCs w:val="24"/>
        </w:rPr>
        <w:t>for acute</w:t>
      </w:r>
      <w:r>
        <w:rPr>
          <w:sz w:val="24"/>
          <w:szCs w:val="24"/>
        </w:rPr>
        <w:t xml:space="preserve"> respiratory tract infections and 33 persons </w:t>
      </w:r>
      <w:r w:rsidR="002D6B2A">
        <w:rPr>
          <w:sz w:val="24"/>
          <w:szCs w:val="24"/>
        </w:rPr>
        <w:t>for acute</w:t>
      </w:r>
      <w:r>
        <w:rPr>
          <w:sz w:val="24"/>
          <w:szCs w:val="24"/>
        </w:rPr>
        <w:t xml:space="preserve"> diarrhea. Vitamin A and Albendazole was administered to </w:t>
      </w:r>
      <w:r w:rsidR="002D6B2A">
        <w:rPr>
          <w:sz w:val="24"/>
          <w:szCs w:val="24"/>
        </w:rPr>
        <w:t>32 children</w:t>
      </w:r>
      <w:r>
        <w:rPr>
          <w:sz w:val="24"/>
          <w:szCs w:val="24"/>
        </w:rPr>
        <w:t xml:space="preserve"> (19 males,13 females). CHW also assisted in 1 </w:t>
      </w:r>
      <w:r w:rsidR="00BF6EBF">
        <w:rPr>
          <w:sz w:val="24"/>
          <w:szCs w:val="24"/>
        </w:rPr>
        <w:t xml:space="preserve">delivery </w:t>
      </w:r>
      <w:r>
        <w:rPr>
          <w:sz w:val="24"/>
          <w:szCs w:val="24"/>
        </w:rPr>
        <w:t xml:space="preserve">within the community and distributed 3 </w:t>
      </w:r>
      <w:r w:rsidR="002D6B2A">
        <w:rPr>
          <w:sz w:val="24"/>
          <w:szCs w:val="24"/>
        </w:rPr>
        <w:t>maternal kits</w:t>
      </w:r>
      <w:r>
        <w:rPr>
          <w:sz w:val="24"/>
          <w:szCs w:val="24"/>
        </w:rPr>
        <w:t xml:space="preserve"> to pregnant women and lactating mothers. A summary of Health data is presented in Table 1 </w:t>
      </w:r>
      <w:r w:rsidR="003E056B">
        <w:rPr>
          <w:sz w:val="24"/>
          <w:szCs w:val="24"/>
        </w:rPr>
        <w:t>found in the attached document</w:t>
      </w:r>
      <w:r>
        <w:rPr>
          <w:sz w:val="24"/>
          <w:szCs w:val="24"/>
        </w:rPr>
        <w:t>.</w:t>
      </w:r>
    </w:p>
    <w:p w14:paraId="471BF946" w14:textId="77777777" w:rsidR="008522DE" w:rsidRDefault="008522DE">
      <w:pPr>
        <w:spacing w:line="360" w:lineRule="auto"/>
        <w:jc w:val="both"/>
        <w:rPr>
          <w:b/>
          <w:sz w:val="24"/>
          <w:szCs w:val="24"/>
        </w:rPr>
      </w:pPr>
    </w:p>
    <w:p w14:paraId="1736BD70" w14:textId="77777777" w:rsidR="008522DE" w:rsidRDefault="00523A88">
      <w:pPr>
        <w:spacing w:line="360" w:lineRule="auto"/>
        <w:jc w:val="both"/>
        <w:rPr>
          <w:b/>
          <w:sz w:val="24"/>
          <w:szCs w:val="24"/>
        </w:rPr>
      </w:pPr>
      <w:r>
        <w:br w:type="page"/>
      </w:r>
    </w:p>
    <w:p w14:paraId="2A0E1E59" w14:textId="77777777" w:rsidR="008522DE" w:rsidRDefault="00523A8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Table 1: Health Data from CHWs in </w:t>
      </w:r>
      <w:proofErr w:type="spellStart"/>
      <w:r>
        <w:rPr>
          <w:b/>
          <w:sz w:val="24"/>
          <w:szCs w:val="24"/>
        </w:rPr>
        <w:t>Ekondo</w:t>
      </w:r>
      <w:proofErr w:type="spellEnd"/>
      <w:r>
        <w:rPr>
          <w:b/>
          <w:sz w:val="24"/>
          <w:szCs w:val="24"/>
        </w:rPr>
        <w:t xml:space="preserve"> Titi</w:t>
      </w:r>
    </w:p>
    <w:tbl>
      <w:tblPr>
        <w:tblStyle w:val="a"/>
        <w:tblW w:w="997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65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8522DE" w14:paraId="58434675" w14:textId="77777777">
        <w:trPr>
          <w:trHeight w:val="570"/>
          <w:jc w:val="center"/>
        </w:trPr>
        <w:tc>
          <w:tcPr>
            <w:tcW w:w="376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EF9B2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Indicators</w:t>
            </w: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AE18CD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5years</w:t>
            </w: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FA431F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17 years</w:t>
            </w: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EDBD26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– 59 years</w:t>
            </w:r>
          </w:p>
        </w:tc>
        <w:tc>
          <w:tcPr>
            <w:tcW w:w="1380" w:type="dxa"/>
            <w:gridSpan w:val="2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7E402F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59 years</w:t>
            </w:r>
          </w:p>
        </w:tc>
        <w:tc>
          <w:tcPr>
            <w:tcW w:w="69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AA84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711BC5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8522DE" w14:paraId="30DEF73A" w14:textId="77777777">
        <w:trPr>
          <w:trHeight w:val="270"/>
          <w:jc w:val="center"/>
        </w:trPr>
        <w:tc>
          <w:tcPr>
            <w:tcW w:w="376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2D3F1" w14:textId="77777777" w:rsidR="008522DE" w:rsidRDefault="008522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B98B6F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26F4B8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87170D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8C3041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2401FC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6CE841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616D8EE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8D2211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0A676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522DE" w14:paraId="15810C85" w14:textId="77777777">
        <w:trPr>
          <w:trHeight w:val="300"/>
          <w:jc w:val="center"/>
        </w:trPr>
        <w:tc>
          <w:tcPr>
            <w:tcW w:w="3765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BF374C" w14:textId="77777777" w:rsidR="008522DE" w:rsidRDefault="008522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94688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Males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D3CD35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Females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74697C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Males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F7E02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Females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1E2E6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Males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A7909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Females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C1FBE6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Males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E99826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Females</w:t>
            </w:r>
          </w:p>
        </w:tc>
        <w:tc>
          <w:tcPr>
            <w:tcW w:w="690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EAB5F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522DE" w14:paraId="5FA93972" w14:textId="77777777">
        <w:trPr>
          <w:trHeight w:val="540"/>
          <w:jc w:val="center"/>
        </w:trPr>
        <w:tc>
          <w:tcPr>
            <w:tcW w:w="376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C9F5DA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People received for health problems by the CHW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E97420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18D7D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1D9312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A00151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5F49DB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A130B2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D60A36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528285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661E67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8522DE" w14:paraId="396F5B55" w14:textId="77777777">
        <w:trPr>
          <w:trHeight w:val="540"/>
          <w:jc w:val="center"/>
        </w:trPr>
        <w:tc>
          <w:tcPr>
            <w:tcW w:w="376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0DB70F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People with health problems referred to the health facility by CHW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34A2D2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57538B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2CBBB7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2A0224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A114CA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A77103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A73BA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A88561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11C2E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22DE" w14:paraId="56BAFD29" w14:textId="77777777">
        <w:trPr>
          <w:trHeight w:val="540"/>
          <w:jc w:val="center"/>
        </w:trPr>
        <w:tc>
          <w:tcPr>
            <w:tcW w:w="376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F9AEF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malaria suspected cases received by CHW in the community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B76823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22F217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AE28B4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5C851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F6B8FF6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7EB5D2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1210E1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1E6E8B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838611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522DE" w14:paraId="0EB82279" w14:textId="77777777">
        <w:trPr>
          <w:trHeight w:val="540"/>
          <w:jc w:val="center"/>
        </w:trPr>
        <w:tc>
          <w:tcPr>
            <w:tcW w:w="376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8EF691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suspected malaria cases who benefited from an RDT in the community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960F5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D831D5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FCAA6C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822B664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BC0D45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55DBF8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E49302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E88C5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5DC76B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522DE" w14:paraId="19A1D4F5" w14:textId="77777777">
        <w:trPr>
          <w:trHeight w:val="525"/>
          <w:jc w:val="center"/>
        </w:trPr>
        <w:tc>
          <w:tcPr>
            <w:tcW w:w="376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0F4430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# of suspected malaria cases who </w:t>
            </w:r>
            <w:proofErr w:type="spellStart"/>
            <w:r>
              <w:rPr>
                <w:b/>
                <w:sz w:val="24"/>
                <w:szCs w:val="24"/>
              </w:rPr>
              <w:t>who</w:t>
            </w:r>
            <w:proofErr w:type="spellEnd"/>
            <w:r>
              <w:rPr>
                <w:b/>
                <w:sz w:val="24"/>
                <w:szCs w:val="24"/>
              </w:rPr>
              <w:t xml:space="preserve"> tested positive with RDT in the community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B7C32C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C751B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97A8E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38BA8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58C7D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F7C4D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486E36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B8E74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8E856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522DE" w14:paraId="767E6F5D" w14:textId="77777777">
        <w:trPr>
          <w:trHeight w:val="525"/>
          <w:jc w:val="center"/>
        </w:trPr>
        <w:tc>
          <w:tcPr>
            <w:tcW w:w="376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73888D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uncomplicated malaria cases confirmed and properly treated in the community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4A895A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840C8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E2424F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16964F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9124BA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3AA6BF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1BC98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0FF532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3E6A3C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522DE" w14:paraId="3EF19D2E" w14:textId="77777777">
        <w:trPr>
          <w:trHeight w:val="540"/>
          <w:jc w:val="center"/>
        </w:trPr>
        <w:tc>
          <w:tcPr>
            <w:tcW w:w="376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832E74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complicated malaria cases referred to a health facility by CHW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9A1918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C1786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35A4B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FE013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825083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5772C7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DB172F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152636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67D20B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22DE" w14:paraId="54C03030" w14:textId="77777777">
        <w:trPr>
          <w:trHeight w:val="300"/>
          <w:jc w:val="center"/>
        </w:trPr>
        <w:tc>
          <w:tcPr>
            <w:tcW w:w="376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27B57E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pregnant women referred to health facility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6A7D10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4CA3EF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39C87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CD33E2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4C4217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902FCB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864481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FEE6D3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E9FDF3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22DE" w14:paraId="62DAC44A" w14:textId="77777777">
        <w:trPr>
          <w:trHeight w:val="300"/>
          <w:jc w:val="center"/>
        </w:trPr>
        <w:tc>
          <w:tcPr>
            <w:tcW w:w="376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058444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Number of deliveries within community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B014F3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2065A6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E87410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1B94CBA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C136EA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648375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13C7D1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E56C20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71E13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522DE" w14:paraId="3B5E6679" w14:textId="77777777">
        <w:trPr>
          <w:trHeight w:val="300"/>
          <w:jc w:val="center"/>
        </w:trPr>
        <w:tc>
          <w:tcPr>
            <w:tcW w:w="376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A930A2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Children provided E. drugs for ARI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BBAA51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81BBD1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0F2B52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FDE64C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78AEA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1FE1C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0E5B27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CBBEFB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6A9EE4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522DE" w14:paraId="2A2F85A8" w14:textId="77777777">
        <w:trPr>
          <w:trHeight w:val="300"/>
          <w:jc w:val="center"/>
        </w:trPr>
        <w:tc>
          <w:tcPr>
            <w:tcW w:w="376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8DFB09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#people with drugs for acute diarrhea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E46241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89A5D95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0514A3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F5A6A1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063A2A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F248A2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D92D90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B5EECB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96906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8522DE" w14:paraId="353958AB" w14:textId="77777777">
        <w:trPr>
          <w:trHeight w:val="300"/>
          <w:jc w:val="center"/>
        </w:trPr>
        <w:tc>
          <w:tcPr>
            <w:tcW w:w="376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27529F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People provided anti-malaria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99A0B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B8399F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873CC2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432E0E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EBC714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412214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C554F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59AA1A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DF7286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522DE" w14:paraId="153C68BF" w14:textId="77777777">
        <w:trPr>
          <w:trHeight w:val="540"/>
          <w:jc w:val="center"/>
        </w:trPr>
        <w:tc>
          <w:tcPr>
            <w:tcW w:w="376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0B77BA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Children 6 months – 15 months of age provided vitamin A and worm therapy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FD1214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AB7EA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27A4F6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F063B6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2DF7C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87BC7A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5661BA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EFC20A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F3A637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8522DE" w14:paraId="35DCA85E" w14:textId="77777777">
        <w:trPr>
          <w:trHeight w:val="300"/>
          <w:jc w:val="center"/>
        </w:trPr>
        <w:tc>
          <w:tcPr>
            <w:tcW w:w="3765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CCCCCC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8B15EB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# PLWs provided with maternal care kits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D4AA7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9D809C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5BBC9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5F81A3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FD49AB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FFFDE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BCB6D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BF8F8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F30390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6D33FE21" w14:textId="2F39C38E" w:rsidR="008522DE" w:rsidRDefault="00523A88">
      <w:pPr>
        <w:pStyle w:val="Heading2"/>
        <w:spacing w:after="120" w:line="360" w:lineRule="auto"/>
        <w:jc w:val="both"/>
        <w:rPr>
          <w:sz w:val="24"/>
          <w:szCs w:val="24"/>
        </w:rPr>
      </w:pPr>
      <w:bookmarkStart w:id="1" w:name="_26in1rg" w:colFirst="0" w:colLast="0"/>
      <w:bookmarkEnd w:id="1"/>
      <w:r>
        <w:rPr>
          <w:sz w:val="24"/>
          <w:szCs w:val="24"/>
        </w:rPr>
        <w:t xml:space="preserve">  </w:t>
      </w:r>
      <w:r w:rsidR="003E056B">
        <w:rPr>
          <w:sz w:val="24"/>
          <w:szCs w:val="24"/>
        </w:rPr>
        <w:t xml:space="preserve">3.2. </w:t>
      </w:r>
      <w:r>
        <w:rPr>
          <w:sz w:val="24"/>
          <w:szCs w:val="24"/>
        </w:rPr>
        <w:t>Sensitization Data</w:t>
      </w:r>
    </w:p>
    <w:p w14:paraId="7EA92BF9" w14:textId="280C297B" w:rsidR="008522DE" w:rsidRDefault="00523A8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CHWs in </w:t>
      </w:r>
      <w:proofErr w:type="spellStart"/>
      <w:r>
        <w:rPr>
          <w:sz w:val="24"/>
          <w:szCs w:val="24"/>
        </w:rPr>
        <w:t>Kitta</w:t>
      </w:r>
      <w:proofErr w:type="spellEnd"/>
      <w:r w:rsidR="002D6B2A">
        <w:rPr>
          <w:sz w:val="24"/>
          <w:szCs w:val="24"/>
        </w:rPr>
        <w:t xml:space="preserve"> </w:t>
      </w:r>
      <w:r>
        <w:rPr>
          <w:sz w:val="24"/>
          <w:szCs w:val="24"/>
        </w:rPr>
        <w:t>provided</w:t>
      </w:r>
      <w:r w:rsidR="002D6B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health sensitization to their host communities on proper </w:t>
      </w:r>
      <w:r w:rsidR="002D6B2A">
        <w:rPr>
          <w:sz w:val="24"/>
          <w:szCs w:val="24"/>
        </w:rPr>
        <w:t>health-seeking</w:t>
      </w:r>
      <w:r>
        <w:rPr>
          <w:sz w:val="24"/>
          <w:szCs w:val="24"/>
        </w:rPr>
        <w:t xml:space="preserve"> practices</w:t>
      </w:r>
      <w:r w:rsidR="002D6B2A">
        <w:rPr>
          <w:sz w:val="24"/>
          <w:szCs w:val="24"/>
        </w:rPr>
        <w:t xml:space="preserve"> </w:t>
      </w:r>
      <w:r>
        <w:rPr>
          <w:sz w:val="24"/>
          <w:szCs w:val="24"/>
        </w:rPr>
        <w:t>vital to prevent diseases common in</w:t>
      </w:r>
      <w:r w:rsidR="002D6B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their communities. A summary of the attendance of these educational talks in </w:t>
      </w:r>
      <w:proofErr w:type="spellStart"/>
      <w:r>
        <w:rPr>
          <w:sz w:val="24"/>
          <w:szCs w:val="24"/>
        </w:rPr>
        <w:t>Kitta</w:t>
      </w:r>
      <w:proofErr w:type="spellEnd"/>
      <w:r>
        <w:rPr>
          <w:sz w:val="24"/>
          <w:szCs w:val="24"/>
        </w:rPr>
        <w:t xml:space="preserve"> from the month of </w:t>
      </w:r>
      <w:r w:rsidR="00034F96">
        <w:rPr>
          <w:sz w:val="24"/>
          <w:szCs w:val="24"/>
        </w:rPr>
        <w:t xml:space="preserve">December 2021 </w:t>
      </w:r>
      <w:r>
        <w:rPr>
          <w:sz w:val="24"/>
          <w:szCs w:val="24"/>
        </w:rPr>
        <w:t xml:space="preserve">to </w:t>
      </w:r>
      <w:r w:rsidR="00034F96">
        <w:rPr>
          <w:sz w:val="24"/>
          <w:szCs w:val="24"/>
        </w:rPr>
        <w:t>January 2022</w:t>
      </w:r>
      <w:r>
        <w:rPr>
          <w:sz w:val="24"/>
          <w:szCs w:val="24"/>
        </w:rPr>
        <w:t xml:space="preserve"> is summarized in Table 2 </w:t>
      </w:r>
      <w:r w:rsidR="003E056B">
        <w:rPr>
          <w:sz w:val="24"/>
          <w:szCs w:val="24"/>
        </w:rPr>
        <w:t>of the attached report</w:t>
      </w:r>
      <w:r>
        <w:rPr>
          <w:sz w:val="24"/>
          <w:szCs w:val="24"/>
        </w:rPr>
        <w:t xml:space="preserve">.  Educational talks were given on topics like proper </w:t>
      </w:r>
      <w:r w:rsidR="002D6B2A">
        <w:rPr>
          <w:sz w:val="24"/>
          <w:szCs w:val="24"/>
        </w:rPr>
        <w:t>handwashing</w:t>
      </w:r>
      <w:r>
        <w:rPr>
          <w:sz w:val="24"/>
          <w:szCs w:val="24"/>
        </w:rPr>
        <w:t xml:space="preserve"> water, purification and preservation</w:t>
      </w:r>
      <w:r w:rsidR="002D6B2A">
        <w:rPr>
          <w:sz w:val="24"/>
          <w:szCs w:val="24"/>
        </w:rPr>
        <w:t>,</w:t>
      </w:r>
      <w:r>
        <w:rPr>
          <w:sz w:val="24"/>
          <w:szCs w:val="24"/>
        </w:rPr>
        <w:t xml:space="preserve"> and proper waste disposal.</w:t>
      </w:r>
    </w:p>
    <w:p w14:paraId="3B08F68E" w14:textId="77777777" w:rsidR="008522DE" w:rsidRDefault="00523A88">
      <w:pPr>
        <w:spacing w:line="360" w:lineRule="auto"/>
        <w:jc w:val="both"/>
        <w:rPr>
          <w:b/>
          <w:sz w:val="24"/>
          <w:szCs w:val="24"/>
        </w:rPr>
      </w:pPr>
      <w:r>
        <w:br w:type="page"/>
      </w:r>
    </w:p>
    <w:p w14:paraId="61E76C3E" w14:textId="77777777" w:rsidR="008522DE" w:rsidRDefault="008522DE">
      <w:pPr>
        <w:spacing w:line="360" w:lineRule="auto"/>
        <w:jc w:val="both"/>
        <w:rPr>
          <w:b/>
          <w:sz w:val="24"/>
          <w:szCs w:val="24"/>
        </w:rPr>
      </w:pPr>
    </w:p>
    <w:p w14:paraId="06306B61" w14:textId="71A63B85" w:rsidR="008522DE" w:rsidRDefault="00523A88">
      <w:pPr>
        <w:spacing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Table 2:  Number of people sensitized </w:t>
      </w:r>
      <w:r w:rsidR="002D6B2A">
        <w:rPr>
          <w:b/>
          <w:sz w:val="24"/>
          <w:szCs w:val="24"/>
        </w:rPr>
        <w:t>by CHWs</w:t>
      </w:r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Ekondo</w:t>
      </w:r>
      <w:proofErr w:type="spellEnd"/>
      <w:r>
        <w:rPr>
          <w:b/>
          <w:sz w:val="24"/>
          <w:szCs w:val="24"/>
        </w:rPr>
        <w:t xml:space="preserve"> Titi</w:t>
      </w:r>
    </w:p>
    <w:tbl>
      <w:tblPr>
        <w:tblStyle w:val="a0"/>
        <w:tblW w:w="10215" w:type="dxa"/>
        <w:tblInd w:w="-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735"/>
        <w:gridCol w:w="735"/>
        <w:gridCol w:w="735"/>
        <w:gridCol w:w="735"/>
        <w:gridCol w:w="735"/>
        <w:gridCol w:w="735"/>
        <w:gridCol w:w="735"/>
        <w:gridCol w:w="735"/>
        <w:gridCol w:w="1185"/>
      </w:tblGrid>
      <w:tr w:rsidR="008522DE" w14:paraId="68B7CDD2" w14:textId="77777777">
        <w:trPr>
          <w:trHeight w:val="285"/>
        </w:trPr>
        <w:tc>
          <w:tcPr>
            <w:tcW w:w="315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42E73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Indicators</w:t>
            </w:r>
          </w:p>
        </w:tc>
        <w:tc>
          <w:tcPr>
            <w:tcW w:w="1470" w:type="dxa"/>
            <w:gridSpan w:val="2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C6ACD1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 5years</w:t>
            </w:r>
          </w:p>
        </w:tc>
        <w:tc>
          <w:tcPr>
            <w:tcW w:w="1470" w:type="dxa"/>
            <w:gridSpan w:val="2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0D339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17 years</w:t>
            </w:r>
          </w:p>
        </w:tc>
        <w:tc>
          <w:tcPr>
            <w:tcW w:w="1470" w:type="dxa"/>
            <w:gridSpan w:val="2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1410F0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– 59 years</w:t>
            </w:r>
          </w:p>
        </w:tc>
        <w:tc>
          <w:tcPr>
            <w:tcW w:w="1470" w:type="dxa"/>
            <w:gridSpan w:val="2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DAC24B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 59 years</w:t>
            </w:r>
          </w:p>
        </w:tc>
        <w:tc>
          <w:tcPr>
            <w:tcW w:w="118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6AA84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CA1CB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8522DE" w14:paraId="2D7E44B6" w14:textId="77777777">
        <w:trPr>
          <w:trHeight w:val="270"/>
        </w:trPr>
        <w:tc>
          <w:tcPr>
            <w:tcW w:w="31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5FF2C3" w14:textId="77777777" w:rsidR="008522DE" w:rsidRDefault="008522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F11E3E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223705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A59675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89BF99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3883A27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2BE7D2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695495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DEA42E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6090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522DE" w14:paraId="27FD8EE8" w14:textId="77777777">
        <w:trPr>
          <w:trHeight w:val="300"/>
        </w:trPr>
        <w:tc>
          <w:tcPr>
            <w:tcW w:w="3150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1ED022" w14:textId="77777777" w:rsidR="008522DE" w:rsidRDefault="008522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239646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Males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48C0D1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Females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19CD0B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Males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DC04E7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Females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B4C697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Males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33834B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Females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40B86E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Males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F001E4" w14:textId="77777777" w:rsidR="008522DE" w:rsidRDefault="00523A88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Females</w:t>
            </w:r>
          </w:p>
        </w:tc>
        <w:tc>
          <w:tcPr>
            <w:tcW w:w="1185" w:type="dxa"/>
            <w:vMerge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56EEE" w14:textId="77777777" w:rsidR="008522DE" w:rsidRDefault="008522DE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8522DE" w14:paraId="15A93562" w14:textId="77777777">
        <w:trPr>
          <w:trHeight w:val="825"/>
        </w:trPr>
        <w:tc>
          <w:tcPr>
            <w:tcW w:w="315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02A14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People provided with education on handwashing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3B2C44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1DEED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617D0A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C06998F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3DF43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CFBA93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358140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AC6B2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97E7E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</w:tr>
      <w:tr w:rsidR="008522DE" w14:paraId="1AC4DABB" w14:textId="77777777">
        <w:trPr>
          <w:trHeight w:val="825"/>
        </w:trPr>
        <w:tc>
          <w:tcPr>
            <w:tcW w:w="315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71B29E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People provided with education on water purification and preservation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DE0BD8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79635F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FE5D767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F85647B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6CA942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A63C71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699171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2FD8673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1BC0EB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</w:tr>
      <w:tr w:rsidR="008522DE" w14:paraId="4B8AB752" w14:textId="77777777">
        <w:trPr>
          <w:trHeight w:val="825"/>
        </w:trPr>
        <w:tc>
          <w:tcPr>
            <w:tcW w:w="315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07E5DE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People provided with education on waste disposal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0A3664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D54B68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AADA6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2A4941F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D3226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DCC682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B82D0A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A49ADF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D6265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8522DE" w14:paraId="49BBF0FC" w14:textId="77777777">
        <w:trPr>
          <w:trHeight w:val="825"/>
        </w:trPr>
        <w:tc>
          <w:tcPr>
            <w:tcW w:w="315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A7903E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People provided with education on proper latrine use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5570F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DC8B46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D7F5E3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00F02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0A47E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758897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05E59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46B34A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59165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 w:rsidR="008522DE" w14:paraId="3D6441CA" w14:textId="77777777">
        <w:trPr>
          <w:trHeight w:val="825"/>
        </w:trPr>
        <w:tc>
          <w:tcPr>
            <w:tcW w:w="315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8CF69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People provided with education on malaria and the use of LLNS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D9BD25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3A11A8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C40C02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0D887B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39DC4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C48AE7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911841A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05BE86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6AF5CB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</w:tr>
      <w:tr w:rsidR="008522DE" w14:paraId="2CB474BA" w14:textId="77777777">
        <w:trPr>
          <w:trHeight w:val="825"/>
        </w:trPr>
        <w:tc>
          <w:tcPr>
            <w:tcW w:w="315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3CC271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People provided with education on diarrhea prevention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FC3DA6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D5BF8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22718C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6ABBDC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B5C303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0706A1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9645B3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FCBD7F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FE5FF8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</w:tr>
      <w:tr w:rsidR="008522DE" w14:paraId="09922FBE" w14:textId="77777777">
        <w:trPr>
          <w:trHeight w:val="825"/>
        </w:trPr>
        <w:tc>
          <w:tcPr>
            <w:tcW w:w="315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EECFED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People provided with education on A.R.I prevention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AB6E18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AB7500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B43227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FF4E1FF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08F000D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01DBD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75BE7AE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D3BB81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CD0DAB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8522DE" w14:paraId="7209AA43" w14:textId="77777777">
        <w:trPr>
          <w:trHeight w:val="825"/>
        </w:trPr>
        <w:tc>
          <w:tcPr>
            <w:tcW w:w="3150" w:type="dxa"/>
            <w:tcBorders>
              <w:top w:val="single" w:sz="6" w:space="0" w:color="CCCCCC"/>
              <w:left w:val="single" w:sz="12" w:space="0" w:color="000000"/>
              <w:bottom w:val="single" w:sz="6" w:space="0" w:color="FFFFFF"/>
              <w:right w:val="single" w:sz="6" w:space="0" w:color="FFFFFF"/>
            </w:tcBorders>
            <w:shd w:val="clear" w:color="auto" w:fill="B7B7B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E3E9A" w14:textId="77777777" w:rsidR="008522DE" w:rsidRDefault="00523A88">
            <w:pPr>
              <w:widowControl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 of girls provided with menstrual hygiene education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F464BA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C8F1B0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ECB6AC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288DC6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D39BA1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0639E5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E7C7D4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E9EE5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69C079" w14:textId="77777777" w:rsidR="008522DE" w:rsidRDefault="00523A88">
            <w:pPr>
              <w:widowControl w:val="0"/>
              <w:spacing w:after="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77D5B10A" w14:textId="77777777" w:rsidR="008522DE" w:rsidRDefault="008522DE">
      <w:pPr>
        <w:spacing w:line="480" w:lineRule="auto"/>
        <w:jc w:val="both"/>
        <w:rPr>
          <w:b/>
          <w:sz w:val="24"/>
          <w:szCs w:val="24"/>
        </w:rPr>
      </w:pPr>
    </w:p>
    <w:p w14:paraId="5BF5D1A1" w14:textId="77777777" w:rsidR="008522DE" w:rsidRDefault="00523A88">
      <w:pPr>
        <w:spacing w:line="480" w:lineRule="auto"/>
        <w:jc w:val="both"/>
        <w:rPr>
          <w:b/>
          <w:sz w:val="24"/>
          <w:szCs w:val="24"/>
        </w:rPr>
      </w:pPr>
      <w:r>
        <w:br w:type="page"/>
      </w:r>
    </w:p>
    <w:p w14:paraId="0077F737" w14:textId="410CFC64" w:rsidR="008522DE" w:rsidRDefault="00523A88">
      <w:pPr>
        <w:pStyle w:val="Heading2"/>
        <w:spacing w:after="120" w:line="360" w:lineRule="auto"/>
        <w:jc w:val="both"/>
        <w:rPr>
          <w:sz w:val="24"/>
          <w:szCs w:val="24"/>
        </w:rPr>
      </w:pPr>
      <w:bookmarkStart w:id="2" w:name="_35nkun2" w:colFirst="0" w:colLast="0"/>
      <w:bookmarkEnd w:id="2"/>
      <w:r>
        <w:rPr>
          <w:sz w:val="24"/>
          <w:szCs w:val="24"/>
        </w:rPr>
        <w:lastRenderedPageBreak/>
        <w:t xml:space="preserve"> </w:t>
      </w:r>
      <w:r w:rsidR="003E056B">
        <w:rPr>
          <w:sz w:val="24"/>
          <w:szCs w:val="24"/>
        </w:rPr>
        <w:t xml:space="preserve">3.3. </w:t>
      </w:r>
      <w:r w:rsidR="002D6B2A">
        <w:rPr>
          <w:sz w:val="24"/>
          <w:szCs w:val="24"/>
        </w:rPr>
        <w:t>Nutrition Data</w:t>
      </w:r>
    </w:p>
    <w:p w14:paraId="1553B7C6" w14:textId="6E717EBE" w:rsidR="008522DE" w:rsidRDefault="002D6B2A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CHWs</w:t>
      </w:r>
      <w:r w:rsidR="00523A88">
        <w:rPr>
          <w:sz w:val="24"/>
          <w:szCs w:val="24"/>
        </w:rPr>
        <w:t xml:space="preserve"> performed routine </w:t>
      </w:r>
      <w:r w:rsidRPr="002D6B2A">
        <w:rPr>
          <w:sz w:val="24"/>
          <w:szCs w:val="24"/>
        </w:rPr>
        <w:t xml:space="preserve">mid-upper arm circumference (MUAC) </w:t>
      </w:r>
      <w:r w:rsidR="00523A88">
        <w:rPr>
          <w:sz w:val="24"/>
          <w:szCs w:val="24"/>
        </w:rPr>
        <w:t xml:space="preserve">screening for 32 children (19 males, 13 females) between the ages of 0-5 years during </w:t>
      </w:r>
      <w:r>
        <w:rPr>
          <w:sz w:val="24"/>
          <w:szCs w:val="24"/>
        </w:rPr>
        <w:t>routine home</w:t>
      </w:r>
      <w:r w:rsidR="00523A88">
        <w:rPr>
          <w:sz w:val="24"/>
          <w:szCs w:val="24"/>
        </w:rPr>
        <w:t xml:space="preserve"> visits in </w:t>
      </w:r>
      <w:proofErr w:type="spellStart"/>
      <w:r w:rsidR="00523A88">
        <w:rPr>
          <w:sz w:val="24"/>
          <w:szCs w:val="24"/>
        </w:rPr>
        <w:t>Kitta</w:t>
      </w:r>
      <w:proofErr w:type="spellEnd"/>
      <w:r w:rsidR="00523A88">
        <w:rPr>
          <w:sz w:val="24"/>
          <w:szCs w:val="24"/>
        </w:rPr>
        <w:t xml:space="preserve">. No cases of Severe Acute Malnutrition were identified with or without complications. </w:t>
      </w:r>
      <w:r>
        <w:rPr>
          <w:sz w:val="24"/>
          <w:szCs w:val="24"/>
        </w:rPr>
        <w:t>However,</w:t>
      </w:r>
      <w:r w:rsidR="00523A88">
        <w:rPr>
          <w:sz w:val="24"/>
          <w:szCs w:val="24"/>
        </w:rPr>
        <w:t xml:space="preserve"> 3 caregivers of infants and young children were sensitized on proper feeding for these groups.</w:t>
      </w:r>
    </w:p>
    <w:p w14:paraId="47BDE2A6" w14:textId="77777777" w:rsidR="008522DE" w:rsidRDefault="008522DE">
      <w:pPr>
        <w:spacing w:after="0" w:line="480" w:lineRule="auto"/>
        <w:jc w:val="both"/>
        <w:rPr>
          <w:b/>
          <w:sz w:val="24"/>
          <w:szCs w:val="24"/>
        </w:rPr>
      </w:pPr>
    </w:p>
    <w:p w14:paraId="5AACD6BA" w14:textId="77777777" w:rsidR="008522DE" w:rsidRDefault="008522DE">
      <w:pPr>
        <w:spacing w:after="0" w:line="480" w:lineRule="auto"/>
        <w:jc w:val="both"/>
        <w:rPr>
          <w:b/>
          <w:sz w:val="24"/>
          <w:szCs w:val="24"/>
        </w:rPr>
      </w:pPr>
    </w:p>
    <w:p w14:paraId="33B68C9D" w14:textId="77777777" w:rsidR="008522DE" w:rsidRDefault="00523A88">
      <w:pPr>
        <w:spacing w:line="480" w:lineRule="auto"/>
        <w:jc w:val="center"/>
        <w:rPr>
          <w:b/>
          <w:sz w:val="24"/>
          <w:szCs w:val="24"/>
        </w:rPr>
      </w:pPr>
      <w:r>
        <w:br w:type="page"/>
      </w:r>
    </w:p>
    <w:p w14:paraId="7D3D4437" w14:textId="46FF4E6B" w:rsidR="008522DE" w:rsidRPr="003E056B" w:rsidRDefault="00523A88" w:rsidP="003E056B">
      <w:pPr>
        <w:pStyle w:val="ListParagraph"/>
        <w:numPr>
          <w:ilvl w:val="0"/>
          <w:numId w:val="1"/>
        </w:numPr>
        <w:spacing w:line="480" w:lineRule="auto"/>
        <w:jc w:val="center"/>
        <w:rPr>
          <w:b/>
          <w:sz w:val="24"/>
          <w:szCs w:val="24"/>
        </w:rPr>
      </w:pPr>
      <w:r w:rsidRPr="003E056B">
        <w:rPr>
          <w:b/>
          <w:sz w:val="24"/>
          <w:szCs w:val="24"/>
        </w:rPr>
        <w:lastRenderedPageBreak/>
        <w:t>STORY OF GLOBAL GIVING IMPACT IN BAMUSSO</w:t>
      </w:r>
    </w:p>
    <w:p w14:paraId="326EE260" w14:textId="22589BC0" w:rsidR="008522DE" w:rsidRDefault="002D6B2A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How My</w:t>
      </w:r>
      <w:r w:rsidR="00523A88">
        <w:rPr>
          <w:b/>
          <w:sz w:val="24"/>
          <w:szCs w:val="24"/>
        </w:rPr>
        <w:t xml:space="preserve"> Canoe Boy Didn't Die Of Cholera</w:t>
      </w:r>
    </w:p>
    <w:p w14:paraId="62EF4208" w14:textId="252C55F1" w:rsidR="008522DE" w:rsidRDefault="00523A8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“Good day, my name is </w:t>
      </w:r>
      <w:r w:rsidR="00F47158">
        <w:rPr>
          <w:sz w:val="24"/>
          <w:szCs w:val="24"/>
        </w:rPr>
        <w:t>E.A</w:t>
      </w:r>
      <w:r>
        <w:rPr>
          <w:sz w:val="24"/>
          <w:szCs w:val="24"/>
        </w:rPr>
        <w:t xml:space="preserve">. I am a canoe master and a fisherman. I am from </w:t>
      </w:r>
      <w:proofErr w:type="spellStart"/>
      <w:r>
        <w:rPr>
          <w:sz w:val="24"/>
          <w:szCs w:val="24"/>
        </w:rPr>
        <w:t>Akwa</w:t>
      </w:r>
      <w:proofErr w:type="spellEnd"/>
      <w:r>
        <w:rPr>
          <w:sz w:val="24"/>
          <w:szCs w:val="24"/>
        </w:rPr>
        <w:t xml:space="preserve">-Ibom state in Nigeria. I have been fishing in Cameroon for over 25 years. When I heard about this disease called cholera, I thought as everyone that it was caused by evil spirits. After fishing, </w:t>
      </w:r>
      <w:r w:rsidR="003A4E67">
        <w:rPr>
          <w:sz w:val="24"/>
          <w:szCs w:val="24"/>
        </w:rPr>
        <w:t xml:space="preserve">I </w:t>
      </w:r>
      <w:r>
        <w:rPr>
          <w:sz w:val="24"/>
          <w:szCs w:val="24"/>
        </w:rPr>
        <w:t>and my canoe boy will pray to God to protect us from the evil spirit. I finally understood the importance and severity of the disease when it affected my canoe boy. In a few hours, I could not recognize him. He had lost a considerable amount of weight; one could literally count his bones. Fortunately, the Reach</w:t>
      </w:r>
      <w:r w:rsidR="00F47158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ut Mobile clinic team sponsored by the Global Giving crowdfunding </w:t>
      </w:r>
      <w:r w:rsidR="003A4E67">
        <w:rPr>
          <w:sz w:val="24"/>
          <w:szCs w:val="24"/>
        </w:rPr>
        <w:t>platform, had</w:t>
      </w:r>
      <w:r>
        <w:rPr>
          <w:sz w:val="24"/>
          <w:szCs w:val="24"/>
        </w:rPr>
        <w:t xml:space="preserve"> engaged in an emergency cholera response in </w:t>
      </w:r>
      <w:proofErr w:type="spellStart"/>
      <w:r>
        <w:rPr>
          <w:sz w:val="24"/>
          <w:szCs w:val="24"/>
        </w:rPr>
        <w:t>Bamuso</w:t>
      </w:r>
      <w:proofErr w:type="spellEnd"/>
      <w:r>
        <w:rPr>
          <w:sz w:val="24"/>
          <w:szCs w:val="24"/>
        </w:rPr>
        <w:t xml:space="preserve">. They were the first to respond by </w:t>
      </w:r>
      <w:r w:rsidR="003A4E67">
        <w:rPr>
          <w:sz w:val="24"/>
          <w:szCs w:val="24"/>
        </w:rPr>
        <w:t>providing medical</w:t>
      </w:r>
      <w:r>
        <w:rPr>
          <w:sz w:val="24"/>
          <w:szCs w:val="24"/>
        </w:rPr>
        <w:t xml:space="preserve"> care to persons who are infected with cholera.</w:t>
      </w:r>
    </w:p>
    <w:p w14:paraId="0FC51FD9" w14:textId="39C6997F" w:rsidR="008522DE" w:rsidRDefault="00523A88">
      <w:pPr>
        <w:spacing w:before="200"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So, I boarded my canoe and rushed him there. I had just Three Thousand Naira (approximately 8 USD) on me and was ready to borrow more to keep my canoe boy alive. When I arrived at the health center, the treatment provided was free. This was unbelievable! I have always known for every </w:t>
      </w:r>
      <w:r w:rsidR="003A4E67">
        <w:rPr>
          <w:sz w:val="24"/>
          <w:szCs w:val="24"/>
        </w:rPr>
        <w:t>disease;</w:t>
      </w:r>
      <w:r>
        <w:rPr>
          <w:sz w:val="24"/>
          <w:szCs w:val="24"/>
        </w:rPr>
        <w:t xml:space="preserve"> a charge is required considering the cost of education for medical doctors. They immediately took him in, provided all the necessary care, and </w:t>
      </w:r>
      <w:r w:rsidR="003A4E67">
        <w:rPr>
          <w:sz w:val="24"/>
          <w:szCs w:val="24"/>
        </w:rPr>
        <w:t>within eight</w:t>
      </w:r>
      <w:r>
        <w:rPr>
          <w:sz w:val="24"/>
          <w:szCs w:val="24"/>
        </w:rPr>
        <w:t xml:space="preserve"> hours, he could eat and sit by himself. I am so grateful to the </w:t>
      </w:r>
      <w:r w:rsidR="003A4E67">
        <w:rPr>
          <w:sz w:val="24"/>
          <w:szCs w:val="24"/>
        </w:rPr>
        <w:t>Reach Out</w:t>
      </w:r>
      <w:r>
        <w:rPr>
          <w:sz w:val="24"/>
          <w:szCs w:val="24"/>
        </w:rPr>
        <w:t xml:space="preserve"> mobile clinic </w:t>
      </w:r>
      <w:r w:rsidR="003A4E67">
        <w:rPr>
          <w:sz w:val="24"/>
          <w:szCs w:val="24"/>
        </w:rPr>
        <w:t>Team and</w:t>
      </w:r>
      <w:r>
        <w:rPr>
          <w:sz w:val="24"/>
          <w:szCs w:val="24"/>
        </w:rPr>
        <w:t xml:space="preserve"> the Global Giving crowd-funding platform for coming to our aid.</w:t>
      </w:r>
    </w:p>
    <w:p w14:paraId="186393BD" w14:textId="543B448D" w:rsidR="008522DE" w:rsidRDefault="00523A88">
      <w:pPr>
        <w:spacing w:before="200"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“I pledged to use my canoe to bring anyone who is infected </w:t>
      </w:r>
      <w:r w:rsidR="003A4E67">
        <w:rPr>
          <w:sz w:val="24"/>
          <w:szCs w:val="24"/>
        </w:rPr>
        <w:t>with this</w:t>
      </w:r>
      <w:r>
        <w:rPr>
          <w:sz w:val="24"/>
          <w:szCs w:val="24"/>
        </w:rPr>
        <w:t xml:space="preserve"> deadly disease to the hospital as my appreciation for </w:t>
      </w:r>
      <w:r w:rsidR="00F47158">
        <w:rPr>
          <w:sz w:val="24"/>
          <w:szCs w:val="24"/>
        </w:rPr>
        <w:t>y</w:t>
      </w:r>
      <w:r>
        <w:rPr>
          <w:sz w:val="24"/>
          <w:szCs w:val="24"/>
        </w:rPr>
        <w:t xml:space="preserve">our generosity while following guidelines for prevention recommended by the mobile clinic team.” </w:t>
      </w:r>
    </w:p>
    <w:tbl>
      <w:tblPr>
        <w:tblStyle w:val="a1"/>
        <w:tblW w:w="8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A03B9E" w14:paraId="7A5B057C" w14:textId="77777777" w:rsidTr="00D20856">
        <w:trPr>
          <w:trHeight w:val="3850"/>
        </w:trPr>
        <w:tc>
          <w:tcPr>
            <w:tcW w:w="8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E820" w14:textId="77777777" w:rsidR="008457ED" w:rsidRDefault="00845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788EA839" wp14:editId="46906199">
                  <wp:extent cx="2171700" cy="4357746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639" cy="4463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BF7E40" w14:textId="34FB1A12" w:rsidR="00A03B9E" w:rsidRDefault="00845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Clinic team</w:t>
            </w:r>
          </w:p>
        </w:tc>
      </w:tr>
      <w:tr w:rsidR="008522DE" w14:paraId="3073D54F" w14:textId="77777777">
        <w:trPr>
          <w:trHeight w:val="4410"/>
        </w:trPr>
        <w:tc>
          <w:tcPr>
            <w:tcW w:w="8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CE0D1" w14:textId="77777777" w:rsidR="008522DE" w:rsidRDefault="008522D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A699B34" w14:textId="77777777" w:rsidR="008522DE" w:rsidRDefault="00523A8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0E9D56B3" wp14:editId="4513C8ED">
                  <wp:extent cx="5810250" cy="2552700"/>
                  <wp:effectExtent l="0" t="0" r="0" b="0"/>
                  <wp:docPr id="3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0" cy="255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2DE" w14:paraId="17A90A17" w14:textId="77777777">
        <w:trPr>
          <w:trHeight w:val="420"/>
        </w:trPr>
        <w:tc>
          <w:tcPr>
            <w:tcW w:w="8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131C" w14:textId="0E7005C9" w:rsidR="008522DE" w:rsidRDefault="00F4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E.A</w:t>
            </w:r>
            <w:r w:rsidR="00523A88">
              <w:rPr>
                <w:sz w:val="24"/>
                <w:szCs w:val="24"/>
              </w:rPr>
              <w:t xml:space="preserve"> complying to Cholera</w:t>
            </w:r>
            <w:r w:rsidR="003A4E67">
              <w:rPr>
                <w:sz w:val="24"/>
                <w:szCs w:val="24"/>
              </w:rPr>
              <w:t xml:space="preserve"> </w:t>
            </w:r>
            <w:r w:rsidR="00523A88">
              <w:rPr>
                <w:sz w:val="24"/>
                <w:szCs w:val="24"/>
              </w:rPr>
              <w:t xml:space="preserve">prevention techniques after being sensitized by the REO mobile clinic team using a </w:t>
            </w:r>
            <w:proofErr w:type="spellStart"/>
            <w:r w:rsidR="00523A88">
              <w:rPr>
                <w:sz w:val="24"/>
                <w:szCs w:val="24"/>
              </w:rPr>
              <w:t>Washstation</w:t>
            </w:r>
            <w:proofErr w:type="spellEnd"/>
            <w:r w:rsidR="00523A88">
              <w:rPr>
                <w:sz w:val="24"/>
                <w:szCs w:val="24"/>
              </w:rPr>
              <w:t xml:space="preserve"> provided by team’s sponsors. </w:t>
            </w:r>
          </w:p>
        </w:tc>
      </w:tr>
    </w:tbl>
    <w:p w14:paraId="4AF4E3EE" w14:textId="77777777" w:rsidR="008522DE" w:rsidRDefault="008522DE">
      <w:pPr>
        <w:spacing w:line="480" w:lineRule="auto"/>
        <w:jc w:val="both"/>
        <w:rPr>
          <w:b/>
          <w:sz w:val="24"/>
          <w:szCs w:val="24"/>
        </w:rPr>
      </w:pPr>
    </w:p>
    <w:p w14:paraId="2FD8F78E" w14:textId="39181709" w:rsidR="008522DE" w:rsidRPr="00E4521A" w:rsidRDefault="00523A88" w:rsidP="00E4521A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sz w:val="24"/>
          <w:szCs w:val="24"/>
        </w:rPr>
      </w:pPr>
      <w:r w:rsidRPr="00E4521A">
        <w:rPr>
          <w:b/>
          <w:sz w:val="24"/>
          <w:szCs w:val="24"/>
        </w:rPr>
        <w:t>Challenges</w:t>
      </w:r>
    </w:p>
    <w:p w14:paraId="319DD11D" w14:textId="77777777" w:rsidR="008522DE" w:rsidRDefault="00523A88">
      <w:pPr>
        <w:numPr>
          <w:ilvl w:val="0"/>
          <w:numId w:val="2"/>
        </w:numPr>
        <w:spacing w:after="0" w:line="48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Insecurity </w:t>
      </w:r>
      <w:r>
        <w:rPr>
          <w:sz w:val="24"/>
          <w:szCs w:val="24"/>
        </w:rPr>
        <w:t xml:space="preserve">from the NSAGs group in </w:t>
      </w:r>
      <w:proofErr w:type="spellStart"/>
      <w:r>
        <w:rPr>
          <w:sz w:val="24"/>
          <w:szCs w:val="24"/>
        </w:rPr>
        <w:t>Kitta</w:t>
      </w:r>
      <w:proofErr w:type="spellEnd"/>
      <w:r>
        <w:rPr>
          <w:sz w:val="24"/>
          <w:szCs w:val="24"/>
        </w:rPr>
        <w:t>.</w:t>
      </w:r>
    </w:p>
    <w:p w14:paraId="0E6C06CD" w14:textId="77777777" w:rsidR="008522DE" w:rsidRDefault="00523A88">
      <w:pPr>
        <w:numPr>
          <w:ilvl w:val="0"/>
          <w:numId w:val="2"/>
        </w:numPr>
        <w:spacing w:after="0" w:line="4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Mobile Communication challeng</w:t>
      </w:r>
      <w:r>
        <w:rPr>
          <w:sz w:val="24"/>
          <w:szCs w:val="24"/>
        </w:rPr>
        <w:t>es between CHWs and project managers leading to delayed submission of reports.</w:t>
      </w:r>
    </w:p>
    <w:p w14:paraId="614DA1F7" w14:textId="77777777" w:rsidR="008522DE" w:rsidRDefault="00523A88">
      <w:pPr>
        <w:numPr>
          <w:ilvl w:val="0"/>
          <w:numId w:val="2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CHW has no mobile phone to provide JPEG image reports of activities in the </w:t>
      </w:r>
      <w:proofErr w:type="spellStart"/>
      <w:r>
        <w:rPr>
          <w:sz w:val="24"/>
          <w:szCs w:val="24"/>
        </w:rPr>
        <w:t>Kitta</w:t>
      </w:r>
      <w:proofErr w:type="spellEnd"/>
      <w:r>
        <w:rPr>
          <w:sz w:val="24"/>
          <w:szCs w:val="24"/>
        </w:rPr>
        <w:t>.</w:t>
      </w:r>
    </w:p>
    <w:p w14:paraId="7A4B631C" w14:textId="37095140" w:rsidR="008522DE" w:rsidRPr="00E4521A" w:rsidRDefault="00523A88" w:rsidP="00E4521A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sz w:val="24"/>
          <w:szCs w:val="24"/>
        </w:rPr>
      </w:pPr>
      <w:r w:rsidRPr="00E4521A">
        <w:rPr>
          <w:b/>
          <w:sz w:val="24"/>
          <w:szCs w:val="24"/>
        </w:rPr>
        <w:t>Recommendations</w:t>
      </w:r>
    </w:p>
    <w:p w14:paraId="392615F8" w14:textId="3097D30E" w:rsidR="008522DE" w:rsidRDefault="00523A88">
      <w:pPr>
        <w:numPr>
          <w:ilvl w:val="0"/>
          <w:numId w:val="3"/>
        </w:num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mobile phone should</w:t>
      </w:r>
      <w:r w:rsidR="003A4E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 purchased for the CHWs to </w:t>
      </w:r>
      <w:r w:rsidR="003A4E67">
        <w:rPr>
          <w:sz w:val="24"/>
          <w:szCs w:val="24"/>
        </w:rPr>
        <w:t>send JPEG</w:t>
      </w:r>
      <w:r>
        <w:rPr>
          <w:sz w:val="24"/>
          <w:szCs w:val="24"/>
        </w:rPr>
        <w:t xml:space="preserve"> image reports of field activities.</w:t>
      </w:r>
    </w:p>
    <w:p w14:paraId="05259B0C" w14:textId="4F9A8C65" w:rsidR="008522DE" w:rsidRDefault="00523A88">
      <w:pPr>
        <w:numPr>
          <w:ilvl w:val="0"/>
          <w:numId w:val="3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Allocate a monthly budget of 5000 </w:t>
      </w:r>
      <w:proofErr w:type="spellStart"/>
      <w:r>
        <w:rPr>
          <w:sz w:val="24"/>
          <w:szCs w:val="24"/>
        </w:rPr>
        <w:t>frs</w:t>
      </w:r>
      <w:proofErr w:type="spellEnd"/>
      <w:r>
        <w:rPr>
          <w:sz w:val="24"/>
          <w:szCs w:val="24"/>
        </w:rPr>
        <w:t xml:space="preserve"> to CHW to make 2 trips to field office to </w:t>
      </w:r>
      <w:r w:rsidR="003A4E67">
        <w:rPr>
          <w:sz w:val="24"/>
          <w:szCs w:val="24"/>
        </w:rPr>
        <w:t>avoid late</w:t>
      </w:r>
      <w:r>
        <w:rPr>
          <w:sz w:val="24"/>
          <w:szCs w:val="24"/>
        </w:rPr>
        <w:t xml:space="preserve"> submission of reports</w:t>
      </w:r>
    </w:p>
    <w:p w14:paraId="0EB9C792" w14:textId="4FAE0064" w:rsidR="008522DE" w:rsidRPr="00E4521A" w:rsidRDefault="00523A88" w:rsidP="00E4521A">
      <w:pPr>
        <w:pStyle w:val="ListParagraph"/>
        <w:numPr>
          <w:ilvl w:val="0"/>
          <w:numId w:val="1"/>
        </w:numPr>
        <w:spacing w:line="480" w:lineRule="auto"/>
        <w:jc w:val="both"/>
        <w:rPr>
          <w:b/>
          <w:sz w:val="24"/>
          <w:szCs w:val="24"/>
        </w:rPr>
      </w:pPr>
      <w:r w:rsidRPr="00E4521A">
        <w:rPr>
          <w:b/>
          <w:sz w:val="24"/>
          <w:szCs w:val="24"/>
        </w:rPr>
        <w:t>Conclusion</w:t>
      </w:r>
    </w:p>
    <w:p w14:paraId="0829E5F6" w14:textId="28EEF083" w:rsidR="008522DE" w:rsidRDefault="00523A88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people of </w:t>
      </w:r>
      <w:proofErr w:type="spellStart"/>
      <w:r>
        <w:rPr>
          <w:sz w:val="24"/>
          <w:szCs w:val="24"/>
        </w:rPr>
        <w:t>Bamuso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Ekondo</w:t>
      </w:r>
      <w:proofErr w:type="spellEnd"/>
      <w:r>
        <w:rPr>
          <w:sz w:val="24"/>
          <w:szCs w:val="24"/>
        </w:rPr>
        <w:t xml:space="preserve"> titi extend their heartfelt appreciation to the sponsors of </w:t>
      </w:r>
      <w:r w:rsidR="003A4E67">
        <w:rPr>
          <w:sz w:val="24"/>
          <w:szCs w:val="24"/>
        </w:rPr>
        <w:t>the activities</w:t>
      </w:r>
      <w:r>
        <w:rPr>
          <w:sz w:val="24"/>
          <w:szCs w:val="24"/>
        </w:rPr>
        <w:t xml:space="preserve"> of REO mobile clinic team and CHW. </w:t>
      </w:r>
    </w:p>
    <w:sectPr w:rsidR="008522D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9B6"/>
    <w:multiLevelType w:val="multilevel"/>
    <w:tmpl w:val="BA5E3F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C854E87"/>
    <w:multiLevelType w:val="multilevel"/>
    <w:tmpl w:val="C28892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E7935F2"/>
    <w:multiLevelType w:val="hybridMultilevel"/>
    <w:tmpl w:val="8A161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9517B"/>
    <w:multiLevelType w:val="multilevel"/>
    <w:tmpl w:val="A52066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2DE"/>
    <w:rsid w:val="00034F96"/>
    <w:rsid w:val="00090DA9"/>
    <w:rsid w:val="00282A2B"/>
    <w:rsid w:val="002D6B2A"/>
    <w:rsid w:val="00300E66"/>
    <w:rsid w:val="003A4E67"/>
    <w:rsid w:val="003E056B"/>
    <w:rsid w:val="00523A88"/>
    <w:rsid w:val="008457ED"/>
    <w:rsid w:val="008522DE"/>
    <w:rsid w:val="0089466B"/>
    <w:rsid w:val="00A03B9E"/>
    <w:rsid w:val="00B80598"/>
    <w:rsid w:val="00BF6EBF"/>
    <w:rsid w:val="00E17292"/>
    <w:rsid w:val="00E4521A"/>
    <w:rsid w:val="00F4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7AB6"/>
  <w15:docId w15:val="{FF88F920-7CA0-4F7D-B88B-401D2417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090D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0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Pride Yanu</dc:creator>
  <cp:lastModifiedBy>Pride Yanu</cp:lastModifiedBy>
  <cp:revision>2</cp:revision>
  <dcterms:created xsi:type="dcterms:W3CDTF">2022-02-08T22:28:00Z</dcterms:created>
  <dcterms:modified xsi:type="dcterms:W3CDTF">2022-02-08T22:28:00Z</dcterms:modified>
</cp:coreProperties>
</file>