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15CFC03" w14:textId="78FEC306" w:rsidR="000A2A32" w:rsidRDefault="00C3083C" w:rsidP="006C3262">
      <w:pPr>
        <w:tabs>
          <w:tab w:val="left" w:pos="2587"/>
        </w:tabs>
        <w:rPr>
          <w:rFonts w:ascii="Times New Roman" w:hAnsi="Times New Roman"/>
          <w:sz w:val="16"/>
          <w:szCs w:val="16"/>
        </w:rPr>
      </w:pPr>
      <w:r w:rsidRPr="00A57DAD">
        <w:rPr>
          <w:rFonts w:ascii="Book Antiqua" w:hAnsi="Book Antiqua" w:cs="Arial"/>
          <w:i/>
          <w:noProof/>
          <w:color w:val="600000" w:themeColor="accent6" w:themeShade="80"/>
          <w:sz w:val="16"/>
          <w:szCs w:val="16"/>
          <w:lang w:val="en-US"/>
        </w:rPr>
        <w:drawing>
          <wp:anchor distT="0" distB="0" distL="114300" distR="114300" simplePos="0" relativeHeight="252705792" behindDoc="1" locked="0" layoutInCell="1" allowOverlap="1" wp14:anchorId="43629D82" wp14:editId="6C0CF535">
            <wp:simplePos x="0" y="0"/>
            <wp:positionH relativeFrom="column">
              <wp:posOffset>-1732280</wp:posOffset>
            </wp:positionH>
            <wp:positionV relativeFrom="paragraph">
              <wp:posOffset>-914400</wp:posOffset>
            </wp:positionV>
            <wp:extent cx="7744460" cy="10693400"/>
            <wp:effectExtent l="0" t="0" r="2540" b="0"/>
            <wp:wrapNone/>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t="2" b="52000"/>
                    <a:stretch>
                      <a:fillRect/>
                    </a:stretch>
                  </pic:blipFill>
                  <pic:spPr bwMode="auto">
                    <a:xfrm>
                      <a:off x="0" y="0"/>
                      <a:ext cx="774446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58A95" w14:textId="11BFF00C" w:rsidR="00172D1A" w:rsidRDefault="00172D1A" w:rsidP="006C3262">
      <w:pPr>
        <w:tabs>
          <w:tab w:val="left" w:pos="2587"/>
        </w:tabs>
        <w:rPr>
          <w:rFonts w:ascii="Times New Roman" w:hAnsi="Times New Roman"/>
          <w:sz w:val="16"/>
          <w:szCs w:val="16"/>
        </w:rPr>
      </w:pPr>
    </w:p>
    <w:p w14:paraId="169E6B73" w14:textId="44D44271" w:rsidR="001750AD" w:rsidRDefault="00B445C8" w:rsidP="00B445C8">
      <w:pPr>
        <w:tabs>
          <w:tab w:val="left" w:pos="3492"/>
        </w:tabs>
        <w:rPr>
          <w:rFonts w:ascii="Times New Roman" w:hAnsi="Times New Roman"/>
          <w:sz w:val="16"/>
          <w:szCs w:val="16"/>
        </w:rPr>
      </w:pPr>
      <w:r>
        <w:rPr>
          <w:rFonts w:ascii="Times New Roman" w:hAnsi="Times New Roman"/>
          <w:sz w:val="16"/>
          <w:szCs w:val="16"/>
        </w:rPr>
        <w:tab/>
      </w:r>
      <w:r>
        <w:rPr>
          <w:noProof/>
          <w:lang w:val="en-US"/>
        </w:rPr>
        <w:drawing>
          <wp:anchor distT="0" distB="0" distL="114300" distR="114300" simplePos="0" relativeHeight="252709888" behindDoc="0" locked="0" layoutInCell="1" allowOverlap="1" wp14:anchorId="1E05C8F6" wp14:editId="5EFB4C06">
            <wp:simplePos x="0" y="0"/>
            <wp:positionH relativeFrom="column">
              <wp:posOffset>-260985</wp:posOffset>
            </wp:positionH>
            <wp:positionV relativeFrom="paragraph">
              <wp:posOffset>-296545</wp:posOffset>
            </wp:positionV>
            <wp:extent cx="836295" cy="1061720"/>
            <wp:effectExtent l="254000" t="203200" r="306705" b="259080"/>
            <wp:wrapThrough wrapText="bothSides">
              <wp:wrapPolygon edited="0">
                <wp:start x="-2835" y="-1148"/>
                <wp:lineTo x="-6299" y="413"/>
                <wp:lineTo x="-2654" y="8167"/>
                <wp:lineTo x="-6345" y="9243"/>
                <wp:lineTo x="-2724" y="21412"/>
                <wp:lineTo x="5251" y="23494"/>
                <wp:lineTo x="19377" y="23782"/>
                <wp:lineTo x="20448" y="24572"/>
                <wp:lineTo x="25370" y="23137"/>
                <wp:lineTo x="25031" y="92"/>
                <wp:lineTo x="23436" y="-3300"/>
                <wp:lineTo x="9082" y="-4073"/>
                <wp:lineTo x="241" y="-2045"/>
                <wp:lineTo x="-2835" y="-1148"/>
              </wp:wrapPolygon>
            </wp:wrapThrough>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rcRect r="8939" b="10938"/>
                    <a:stretch>
                      <a:fillRect/>
                    </a:stretch>
                  </pic:blipFill>
                  <pic:spPr bwMode="auto">
                    <a:xfrm rot="1219069">
                      <a:off x="0" y="0"/>
                      <a:ext cx="836295" cy="106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68CCB54" w14:textId="52856E56" w:rsidR="001750AD" w:rsidRDefault="001750AD" w:rsidP="006C3262">
      <w:pPr>
        <w:tabs>
          <w:tab w:val="left" w:pos="2587"/>
        </w:tabs>
        <w:rPr>
          <w:rFonts w:ascii="Times New Roman" w:hAnsi="Times New Roman"/>
          <w:sz w:val="16"/>
          <w:szCs w:val="16"/>
        </w:rPr>
      </w:pPr>
    </w:p>
    <w:p w14:paraId="72614A53" w14:textId="77777777" w:rsidR="001750AD" w:rsidRDefault="001750AD" w:rsidP="006C3262">
      <w:pPr>
        <w:tabs>
          <w:tab w:val="left" w:pos="2587"/>
        </w:tabs>
        <w:rPr>
          <w:rFonts w:ascii="Times New Roman" w:hAnsi="Times New Roman"/>
          <w:sz w:val="16"/>
          <w:szCs w:val="16"/>
        </w:rPr>
      </w:pPr>
    </w:p>
    <w:p w14:paraId="196D592D" w14:textId="77777777" w:rsidR="001750AD" w:rsidRDefault="001750AD" w:rsidP="006C3262">
      <w:pPr>
        <w:tabs>
          <w:tab w:val="left" w:pos="2587"/>
        </w:tabs>
        <w:rPr>
          <w:rFonts w:ascii="Times New Roman" w:hAnsi="Times New Roman"/>
          <w:sz w:val="16"/>
          <w:szCs w:val="16"/>
        </w:rPr>
      </w:pPr>
    </w:p>
    <w:p w14:paraId="1302D31D" w14:textId="2AB1692B" w:rsidR="001750AD" w:rsidRDefault="001750AD" w:rsidP="006C3262">
      <w:pPr>
        <w:tabs>
          <w:tab w:val="left" w:pos="2587"/>
        </w:tabs>
        <w:rPr>
          <w:rFonts w:ascii="Times New Roman" w:hAnsi="Times New Roman"/>
          <w:sz w:val="16"/>
          <w:szCs w:val="16"/>
        </w:rPr>
      </w:pPr>
    </w:p>
    <w:p w14:paraId="6E69C91D" w14:textId="39C2E6A8" w:rsidR="001750AD" w:rsidRDefault="001750AD" w:rsidP="006C3262">
      <w:pPr>
        <w:tabs>
          <w:tab w:val="left" w:pos="2587"/>
        </w:tabs>
        <w:rPr>
          <w:rFonts w:ascii="Times New Roman" w:hAnsi="Times New Roman"/>
          <w:sz w:val="16"/>
          <w:szCs w:val="16"/>
        </w:rPr>
      </w:pPr>
    </w:p>
    <w:p w14:paraId="28673E12" w14:textId="77777777" w:rsidR="002A1222" w:rsidRPr="00FD22D8" w:rsidRDefault="002A1222" w:rsidP="00FD22D8">
      <w:pPr>
        <w:spacing w:after="0" w:line="240" w:lineRule="auto"/>
        <w:rPr>
          <w:rFonts w:ascii="Times New Roman" w:hAnsi="Times New Roman"/>
          <w:sz w:val="28"/>
          <w:szCs w:val="28"/>
        </w:rPr>
      </w:pPr>
    </w:p>
    <w:p w14:paraId="293F6104" w14:textId="026C83D1" w:rsidR="00707091" w:rsidRPr="00707091" w:rsidRDefault="004654DA" w:rsidP="009724DE">
      <w:pPr>
        <w:pStyle w:val="ListParagraph"/>
        <w:spacing w:after="0" w:line="240" w:lineRule="auto"/>
        <w:ind w:left="426"/>
        <w:jc w:val="center"/>
        <w:rPr>
          <w:rFonts w:ascii="Times New Roman" w:hAnsi="Times New Roman"/>
          <w:b/>
          <w:sz w:val="56"/>
          <w:szCs w:val="56"/>
        </w:rPr>
      </w:pPr>
      <w:r w:rsidRPr="00707091">
        <w:rPr>
          <w:rFonts w:ascii="Times New Roman" w:hAnsi="Times New Roman"/>
          <w:b/>
          <w:sz w:val="56"/>
          <w:szCs w:val="56"/>
        </w:rPr>
        <w:t xml:space="preserve">BIO-BRIQUETTING </w:t>
      </w:r>
      <w:r w:rsidR="00707091" w:rsidRPr="00707091">
        <w:rPr>
          <w:rFonts w:ascii="Times New Roman" w:hAnsi="Times New Roman"/>
          <w:color w:val="E2751D" w:themeColor="accent3"/>
          <w:sz w:val="56"/>
          <w:szCs w:val="56"/>
        </w:rPr>
        <w:t>4</w:t>
      </w:r>
    </w:p>
    <w:p w14:paraId="2F27EB08" w14:textId="00748357" w:rsidR="004654DA" w:rsidRPr="00BC74F9" w:rsidRDefault="00707091" w:rsidP="009724DE">
      <w:pPr>
        <w:pStyle w:val="ListParagraph"/>
        <w:spacing w:after="0" w:line="240" w:lineRule="auto"/>
        <w:ind w:left="426"/>
        <w:jc w:val="center"/>
        <w:rPr>
          <w:rFonts w:ascii="Times New Roman" w:hAnsi="Times New Roman"/>
          <w:b/>
          <w:sz w:val="25"/>
          <w:szCs w:val="25"/>
        </w:rPr>
      </w:pPr>
      <w:r w:rsidRPr="00BC74F9">
        <w:rPr>
          <w:rFonts w:ascii="Times New Roman" w:hAnsi="Times New Roman"/>
          <w:b/>
          <w:sz w:val="25"/>
          <w:szCs w:val="25"/>
        </w:rPr>
        <w:t xml:space="preserve"> </w:t>
      </w:r>
      <w:r w:rsidR="003D6B26" w:rsidRPr="00BC74F9">
        <w:rPr>
          <w:rFonts w:ascii="Times New Roman" w:hAnsi="Times New Roman"/>
          <w:b/>
          <w:sz w:val="25"/>
          <w:szCs w:val="25"/>
        </w:rPr>
        <w:t>EDUCATION</w:t>
      </w:r>
      <w:r w:rsidR="00BC74F9" w:rsidRPr="00BC74F9">
        <w:rPr>
          <w:rFonts w:ascii="Times New Roman" w:hAnsi="Times New Roman"/>
          <w:b/>
          <w:sz w:val="25"/>
          <w:szCs w:val="25"/>
        </w:rPr>
        <w:t>, ECONOMIC EMPOWERMENT</w:t>
      </w:r>
      <w:r w:rsidR="003D6B26" w:rsidRPr="00BC74F9">
        <w:rPr>
          <w:rFonts w:ascii="Times New Roman" w:hAnsi="Times New Roman"/>
          <w:b/>
          <w:sz w:val="25"/>
          <w:szCs w:val="25"/>
        </w:rPr>
        <w:t xml:space="preserve"> &amp; </w:t>
      </w:r>
      <w:r w:rsidRPr="00BC74F9">
        <w:rPr>
          <w:rFonts w:ascii="Times New Roman" w:hAnsi="Times New Roman"/>
          <w:b/>
          <w:sz w:val="25"/>
          <w:szCs w:val="25"/>
        </w:rPr>
        <w:t>CLIMATE ACTION</w:t>
      </w:r>
    </w:p>
    <w:p w14:paraId="3E17878F" w14:textId="77777777" w:rsidR="00FD22D8" w:rsidRDefault="00FD22D8" w:rsidP="00FD22D8">
      <w:pPr>
        <w:pStyle w:val="ListParagraph"/>
        <w:spacing w:after="0" w:line="240" w:lineRule="auto"/>
        <w:ind w:left="426"/>
        <w:jc w:val="right"/>
        <w:rPr>
          <w:rFonts w:ascii="Times New Roman" w:hAnsi="Times New Roman"/>
          <w:b/>
          <w:sz w:val="28"/>
          <w:szCs w:val="28"/>
        </w:rPr>
      </w:pPr>
    </w:p>
    <w:p w14:paraId="67CA80CA" w14:textId="77777777" w:rsidR="00541AE5" w:rsidRDefault="00541AE5" w:rsidP="00FD22D8">
      <w:pPr>
        <w:pStyle w:val="ListParagraph"/>
        <w:spacing w:after="0" w:line="240" w:lineRule="auto"/>
        <w:ind w:left="426"/>
        <w:jc w:val="right"/>
        <w:rPr>
          <w:rFonts w:ascii="Times New Roman" w:hAnsi="Times New Roman"/>
          <w:b/>
          <w:sz w:val="28"/>
          <w:szCs w:val="28"/>
        </w:rPr>
      </w:pPr>
    </w:p>
    <w:p w14:paraId="652BB826" w14:textId="77777777" w:rsidR="00252DA9" w:rsidRDefault="00252DA9" w:rsidP="009724DE">
      <w:pPr>
        <w:spacing w:after="0" w:line="240" w:lineRule="auto"/>
        <w:jc w:val="center"/>
        <w:rPr>
          <w:rFonts w:ascii="Times New Roman" w:hAnsi="Times New Roman"/>
          <w:b/>
          <w:sz w:val="28"/>
          <w:szCs w:val="28"/>
        </w:rPr>
      </w:pPr>
    </w:p>
    <w:p w14:paraId="594465E4" w14:textId="77777777" w:rsidR="00252DA9" w:rsidRDefault="00252DA9" w:rsidP="009724DE">
      <w:pPr>
        <w:spacing w:after="0" w:line="240" w:lineRule="auto"/>
        <w:jc w:val="center"/>
        <w:rPr>
          <w:rFonts w:ascii="Times New Roman" w:hAnsi="Times New Roman"/>
          <w:b/>
          <w:sz w:val="28"/>
          <w:szCs w:val="28"/>
        </w:rPr>
      </w:pPr>
    </w:p>
    <w:p w14:paraId="3005BEBC" w14:textId="77777777" w:rsidR="00252DA9" w:rsidRDefault="00252DA9" w:rsidP="009724DE">
      <w:pPr>
        <w:spacing w:after="0" w:line="240" w:lineRule="auto"/>
        <w:jc w:val="center"/>
        <w:rPr>
          <w:rFonts w:ascii="Times New Roman" w:hAnsi="Times New Roman"/>
          <w:b/>
          <w:sz w:val="28"/>
          <w:szCs w:val="28"/>
        </w:rPr>
      </w:pPr>
    </w:p>
    <w:p w14:paraId="67730324" w14:textId="77777777" w:rsidR="00252DA9" w:rsidRDefault="00252DA9" w:rsidP="009724DE">
      <w:pPr>
        <w:spacing w:after="0" w:line="240" w:lineRule="auto"/>
        <w:jc w:val="center"/>
        <w:rPr>
          <w:rFonts w:ascii="Times New Roman" w:hAnsi="Times New Roman"/>
          <w:b/>
          <w:sz w:val="28"/>
          <w:szCs w:val="28"/>
        </w:rPr>
      </w:pPr>
    </w:p>
    <w:p w14:paraId="4647D825" w14:textId="6794FAB1" w:rsidR="00FD22D8" w:rsidRPr="0035391F" w:rsidRDefault="00FD22D8" w:rsidP="009724DE">
      <w:pPr>
        <w:spacing w:after="0" w:line="240" w:lineRule="auto"/>
        <w:jc w:val="center"/>
        <w:rPr>
          <w:rFonts w:ascii="Times New Roman" w:hAnsi="Times New Roman"/>
          <w:b/>
          <w:sz w:val="28"/>
          <w:szCs w:val="28"/>
        </w:rPr>
      </w:pPr>
    </w:p>
    <w:p w14:paraId="30986AB3" w14:textId="77777777" w:rsidR="0035391F" w:rsidRDefault="0035391F" w:rsidP="006C3262">
      <w:pPr>
        <w:tabs>
          <w:tab w:val="left" w:pos="2587"/>
        </w:tabs>
        <w:rPr>
          <w:rFonts w:ascii="Times New Roman" w:eastAsia="Times New Roman" w:hAnsi="Times New Roman"/>
          <w:sz w:val="24"/>
          <w:szCs w:val="24"/>
        </w:rPr>
      </w:pPr>
    </w:p>
    <w:p w14:paraId="7D65041E" w14:textId="43E9646E" w:rsidR="001750AD" w:rsidRDefault="001750AD" w:rsidP="006C3262">
      <w:pPr>
        <w:tabs>
          <w:tab w:val="left" w:pos="2587"/>
        </w:tabs>
        <w:rPr>
          <w:rFonts w:ascii="Times New Roman" w:eastAsia="Times New Roman" w:hAnsi="Times New Roman"/>
          <w:sz w:val="24"/>
          <w:szCs w:val="24"/>
        </w:rPr>
      </w:pPr>
    </w:p>
    <w:p w14:paraId="3DA41071" w14:textId="77777777" w:rsidR="00EB3EA6" w:rsidRDefault="00EB3EA6" w:rsidP="006C3262">
      <w:pPr>
        <w:tabs>
          <w:tab w:val="left" w:pos="2587"/>
        </w:tabs>
        <w:rPr>
          <w:rFonts w:ascii="Times New Roman" w:eastAsia="Times New Roman" w:hAnsi="Times New Roman"/>
          <w:sz w:val="24"/>
          <w:szCs w:val="24"/>
        </w:rPr>
      </w:pPr>
    </w:p>
    <w:p w14:paraId="5A1783E9" w14:textId="77777777" w:rsidR="00EB3EA6" w:rsidRDefault="00EB3EA6" w:rsidP="006C3262">
      <w:pPr>
        <w:tabs>
          <w:tab w:val="left" w:pos="2587"/>
        </w:tabs>
        <w:rPr>
          <w:rFonts w:ascii="Times New Roman" w:hAnsi="Times New Roman"/>
          <w:color w:val="808080" w:themeColor="background1" w:themeShade="80"/>
          <w:sz w:val="16"/>
          <w:szCs w:val="16"/>
        </w:rPr>
      </w:pPr>
    </w:p>
    <w:p w14:paraId="5F6487FC" w14:textId="77777777" w:rsidR="00C3083C" w:rsidRDefault="00C3083C" w:rsidP="006C3262">
      <w:pPr>
        <w:tabs>
          <w:tab w:val="left" w:pos="2587"/>
        </w:tabs>
        <w:rPr>
          <w:rFonts w:ascii="Times New Roman" w:hAnsi="Times New Roman"/>
          <w:sz w:val="16"/>
          <w:szCs w:val="16"/>
        </w:rPr>
      </w:pPr>
    </w:p>
    <w:p w14:paraId="0C03A17C" w14:textId="5AB04D85" w:rsidR="000A2D45" w:rsidRPr="00D445DD" w:rsidRDefault="000A2D45" w:rsidP="000A2D45">
      <w:pPr>
        <w:tabs>
          <w:tab w:val="left" w:pos="2587"/>
        </w:tabs>
        <w:jc w:val="center"/>
        <w:rPr>
          <w:rFonts w:ascii="Times New Roman" w:hAnsi="Times New Roman"/>
          <w:b/>
          <w:sz w:val="24"/>
          <w:szCs w:val="24"/>
        </w:rPr>
      </w:pPr>
      <w:r>
        <w:rPr>
          <w:rFonts w:ascii="Times New Roman" w:hAnsi="Times New Roman"/>
          <w:b/>
          <w:sz w:val="24"/>
          <w:szCs w:val="24"/>
        </w:rPr>
        <w:t xml:space="preserve">DATE: </w:t>
      </w:r>
      <w:r w:rsidR="00EB3EA6">
        <w:rPr>
          <w:rFonts w:ascii="Times New Roman" w:hAnsi="Times New Roman"/>
          <w:b/>
          <w:sz w:val="24"/>
          <w:szCs w:val="24"/>
        </w:rPr>
        <w:t>20</w:t>
      </w:r>
      <w:r>
        <w:rPr>
          <w:rFonts w:ascii="Times New Roman" w:hAnsi="Times New Roman"/>
          <w:b/>
          <w:sz w:val="24"/>
          <w:szCs w:val="24"/>
        </w:rPr>
        <w:t xml:space="preserve"> </w:t>
      </w:r>
      <w:r w:rsidR="00EB3EA6">
        <w:rPr>
          <w:rFonts w:ascii="Times New Roman" w:hAnsi="Times New Roman"/>
          <w:b/>
          <w:sz w:val="24"/>
          <w:szCs w:val="24"/>
        </w:rPr>
        <w:t>November</w:t>
      </w:r>
      <w:r w:rsidRPr="00D445DD">
        <w:rPr>
          <w:rFonts w:ascii="Times New Roman" w:hAnsi="Times New Roman"/>
          <w:b/>
          <w:sz w:val="24"/>
          <w:szCs w:val="24"/>
        </w:rPr>
        <w:t xml:space="preserve"> 2019</w:t>
      </w:r>
    </w:p>
    <w:p w14:paraId="4F537D23" w14:textId="70622D51" w:rsidR="00172D1A" w:rsidRDefault="00172D1A" w:rsidP="00557FE1">
      <w:pPr>
        <w:tabs>
          <w:tab w:val="left" w:pos="6592"/>
        </w:tabs>
        <w:rPr>
          <w:rFonts w:ascii="Times New Roman" w:hAnsi="Times New Roman"/>
          <w:sz w:val="16"/>
          <w:szCs w:val="16"/>
        </w:rPr>
      </w:pPr>
    </w:p>
    <w:p w14:paraId="74E7BC49" w14:textId="285C723A" w:rsidR="00172D1A" w:rsidRDefault="00172D1A" w:rsidP="00201537">
      <w:pPr>
        <w:tabs>
          <w:tab w:val="left" w:pos="2587"/>
        </w:tabs>
        <w:jc w:val="right"/>
        <w:rPr>
          <w:rFonts w:ascii="Times New Roman" w:hAnsi="Times New Roman"/>
          <w:sz w:val="16"/>
          <w:szCs w:val="16"/>
        </w:rPr>
      </w:pPr>
    </w:p>
    <w:p w14:paraId="2EC1BB45" w14:textId="77777777" w:rsidR="00C3083C" w:rsidRDefault="00C3083C" w:rsidP="00201537">
      <w:pPr>
        <w:tabs>
          <w:tab w:val="left" w:pos="2587"/>
        </w:tabs>
        <w:jc w:val="right"/>
        <w:rPr>
          <w:rFonts w:ascii="Times New Roman" w:hAnsi="Times New Roman"/>
          <w:sz w:val="16"/>
          <w:szCs w:val="16"/>
        </w:rPr>
      </w:pPr>
    </w:p>
    <w:p w14:paraId="593A0F0C" w14:textId="77777777" w:rsidR="00C3083C" w:rsidRDefault="00C3083C" w:rsidP="00201537">
      <w:pPr>
        <w:tabs>
          <w:tab w:val="left" w:pos="2587"/>
        </w:tabs>
        <w:jc w:val="right"/>
        <w:rPr>
          <w:rFonts w:ascii="Times New Roman" w:hAnsi="Times New Roman"/>
          <w:sz w:val="16"/>
          <w:szCs w:val="16"/>
        </w:rPr>
      </w:pPr>
    </w:p>
    <w:p w14:paraId="75DFA57F" w14:textId="1B306760" w:rsidR="00FD22D8" w:rsidRDefault="00FD22D8" w:rsidP="00FD22D8">
      <w:pPr>
        <w:spacing w:after="0" w:line="240" w:lineRule="auto"/>
        <w:rPr>
          <w:rFonts w:ascii="Times New Roman" w:hAnsi="Times New Roman"/>
          <w:b/>
          <w:color w:val="FFFFFF" w:themeColor="background1"/>
          <w:sz w:val="56"/>
          <w:szCs w:val="56"/>
        </w:rPr>
      </w:pPr>
      <w:r w:rsidRPr="009B511B">
        <w:rPr>
          <w:noProof/>
          <w:color w:val="FFFFFF" w:themeColor="background1"/>
          <w:lang w:val="en-US"/>
        </w:rPr>
        <mc:AlternateContent>
          <mc:Choice Requires="wps">
            <w:drawing>
              <wp:anchor distT="0" distB="0" distL="114300" distR="114300" simplePos="0" relativeHeight="252707840" behindDoc="0" locked="0" layoutInCell="1" allowOverlap="1" wp14:anchorId="42E6C4FB" wp14:editId="52E1EA67">
                <wp:simplePos x="0" y="0"/>
                <wp:positionH relativeFrom="column">
                  <wp:posOffset>2933700</wp:posOffset>
                </wp:positionH>
                <wp:positionV relativeFrom="paragraph">
                  <wp:posOffset>69215</wp:posOffset>
                </wp:positionV>
                <wp:extent cx="3003550" cy="145351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003550" cy="1453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30B758" w14:textId="3F82391B" w:rsidR="002E5195" w:rsidRDefault="002E5195" w:rsidP="000A2D45">
                            <w:pPr>
                              <w:spacing w:after="0" w:line="240" w:lineRule="exact"/>
                              <w:rPr>
                                <w:rFonts w:ascii="Avenir Book" w:hAnsi="Avenir Book"/>
                                <w:b/>
                                <w:color w:val="FFFFFF" w:themeColor="background1"/>
                              </w:rPr>
                            </w:pPr>
                            <w:r>
                              <w:rPr>
                                <w:rFonts w:ascii="Avenir Book" w:hAnsi="Avenir Book"/>
                                <w:b/>
                                <w:color w:val="FFFFFF" w:themeColor="background1"/>
                              </w:rPr>
                              <w:t>CONTACT</w:t>
                            </w:r>
                          </w:p>
                          <w:p w14:paraId="156667C4" w14:textId="77777777" w:rsidR="002E5195" w:rsidRDefault="002E5195" w:rsidP="000A2D45">
                            <w:pPr>
                              <w:spacing w:after="0" w:line="240" w:lineRule="exact"/>
                              <w:rPr>
                                <w:rFonts w:ascii="Avenir Book" w:hAnsi="Avenir Book"/>
                                <w:b/>
                                <w:color w:val="FFFFFF" w:themeColor="background1"/>
                              </w:rPr>
                            </w:pPr>
                          </w:p>
                          <w:p w14:paraId="64F66A48" w14:textId="5E3D2A16" w:rsidR="002E5195" w:rsidRDefault="002E5195" w:rsidP="000A2D45">
                            <w:pPr>
                              <w:spacing w:after="0" w:line="240" w:lineRule="exact"/>
                              <w:rPr>
                                <w:rFonts w:ascii="Avenir Book" w:hAnsi="Avenir Book"/>
                                <w:b/>
                                <w:color w:val="FFFFFF" w:themeColor="background1"/>
                              </w:rPr>
                            </w:pPr>
                            <w:r>
                              <w:rPr>
                                <w:rFonts w:ascii="Avenir Book" w:hAnsi="Avenir Book"/>
                                <w:b/>
                                <w:color w:val="FFFFFF" w:themeColor="background1"/>
                              </w:rPr>
                              <w:t xml:space="preserve">Raphael </w:t>
                            </w:r>
                            <w:proofErr w:type="spellStart"/>
                            <w:r>
                              <w:rPr>
                                <w:rFonts w:ascii="Avenir Book" w:hAnsi="Avenir Book"/>
                                <w:color w:val="FFFFFF" w:themeColor="background1"/>
                              </w:rPr>
                              <w:t>Otakwa</w:t>
                            </w:r>
                            <w:proofErr w:type="spellEnd"/>
                          </w:p>
                          <w:p w14:paraId="4E9FF546" w14:textId="77777777" w:rsidR="002E5195" w:rsidRPr="009B511B" w:rsidRDefault="002E5195" w:rsidP="000A2D45">
                            <w:pPr>
                              <w:spacing w:after="0" w:line="240" w:lineRule="exact"/>
                              <w:rPr>
                                <w:rFonts w:ascii="Avenir Book" w:hAnsi="Avenir Book"/>
                                <w:color w:val="FFFFFF" w:themeColor="background1"/>
                              </w:rPr>
                            </w:pPr>
                            <w:r w:rsidRPr="009B511B">
                              <w:rPr>
                                <w:rFonts w:ascii="Avenir Book" w:hAnsi="Avenir Book"/>
                                <w:b/>
                                <w:color w:val="FFFFFF" w:themeColor="background1"/>
                              </w:rPr>
                              <w:t>PO Box</w:t>
                            </w:r>
                            <w:r w:rsidRPr="009B511B">
                              <w:rPr>
                                <w:rFonts w:ascii="Avenir Book" w:hAnsi="Avenir Book"/>
                                <w:color w:val="FFFFFF" w:themeColor="background1"/>
                              </w:rPr>
                              <w:t xml:space="preserve"> 28097 – 00200 Nairobi</w:t>
                            </w:r>
                          </w:p>
                          <w:p w14:paraId="69914F80" w14:textId="77777777" w:rsidR="002E5195" w:rsidRPr="009B511B" w:rsidRDefault="002E5195" w:rsidP="000A2D45">
                            <w:pPr>
                              <w:spacing w:after="0" w:line="240" w:lineRule="exact"/>
                              <w:rPr>
                                <w:rFonts w:ascii="Avenir Book" w:hAnsi="Avenir Book"/>
                                <w:color w:val="FFFFFF" w:themeColor="background1"/>
                              </w:rPr>
                            </w:pPr>
                            <w:r w:rsidRPr="009B511B">
                              <w:rPr>
                                <w:rFonts w:ascii="Avenir Book" w:hAnsi="Avenir Book"/>
                                <w:b/>
                                <w:color w:val="FFFFFF" w:themeColor="background1"/>
                              </w:rPr>
                              <w:t>Email</w:t>
                            </w:r>
                            <w:r w:rsidRPr="009B511B">
                              <w:rPr>
                                <w:rFonts w:ascii="Avenir Book" w:hAnsi="Avenir Book"/>
                                <w:color w:val="FFFFFF" w:themeColor="background1"/>
                              </w:rPr>
                              <w:t>: ask@africanpridecentre.org</w:t>
                            </w:r>
                          </w:p>
                          <w:p w14:paraId="06A3CFE0" w14:textId="77777777" w:rsidR="002E5195" w:rsidRPr="009B511B" w:rsidRDefault="002E5195" w:rsidP="000A2D45">
                            <w:pPr>
                              <w:spacing w:after="0" w:line="240" w:lineRule="exact"/>
                              <w:rPr>
                                <w:rFonts w:ascii="Avenir Book" w:hAnsi="Avenir Book"/>
                                <w:color w:val="FFFFFF" w:themeColor="background1"/>
                              </w:rPr>
                            </w:pPr>
                            <w:r w:rsidRPr="009B511B">
                              <w:rPr>
                                <w:rFonts w:ascii="Avenir Book" w:hAnsi="Avenir Book"/>
                                <w:b/>
                                <w:color w:val="FFFFFF" w:themeColor="background1"/>
                              </w:rPr>
                              <w:t>Tel.:</w:t>
                            </w:r>
                            <w:r w:rsidRPr="009B511B">
                              <w:rPr>
                                <w:rFonts w:ascii="Avenir Book" w:hAnsi="Avenir Book"/>
                                <w:color w:val="FFFFFF" w:themeColor="background1"/>
                              </w:rPr>
                              <w:t xml:space="preserve"> +254 202 670 380 </w:t>
                            </w:r>
                            <w:proofErr w:type="spellStart"/>
                            <w:r w:rsidRPr="009B511B">
                              <w:rPr>
                                <w:rFonts w:ascii="Avenir Book" w:hAnsi="Avenir Book"/>
                                <w:b/>
                                <w:color w:val="FFFFFF" w:themeColor="background1"/>
                              </w:rPr>
                              <w:t>Cel</w:t>
                            </w:r>
                            <w:proofErr w:type="spellEnd"/>
                            <w:r w:rsidRPr="009B511B">
                              <w:rPr>
                                <w:rFonts w:ascii="Avenir Book" w:hAnsi="Avenir Book"/>
                                <w:b/>
                                <w:color w:val="FFFFFF" w:themeColor="background1"/>
                              </w:rPr>
                              <w:t>:</w:t>
                            </w:r>
                            <w:r w:rsidRPr="009B511B">
                              <w:rPr>
                                <w:rFonts w:ascii="Avenir Book" w:hAnsi="Avenir Book"/>
                                <w:color w:val="FFFFFF" w:themeColor="background1"/>
                              </w:rPr>
                              <w:t xml:space="preserve"> 0727 457 333</w:t>
                            </w:r>
                          </w:p>
                          <w:p w14:paraId="556A66D7" w14:textId="77777777" w:rsidR="002E5195" w:rsidRPr="009B511B" w:rsidRDefault="002E5195" w:rsidP="000A2D45">
                            <w:pPr>
                              <w:spacing w:after="0" w:line="240" w:lineRule="exact"/>
                              <w:rPr>
                                <w:rFonts w:ascii="Avenir Book" w:hAnsi="Avenir Book"/>
                                <w:color w:val="FFFFFF" w:themeColor="background1"/>
                              </w:rPr>
                            </w:pPr>
                            <w:proofErr w:type="spellStart"/>
                            <w:proofErr w:type="gramStart"/>
                            <w:r w:rsidRPr="009B511B">
                              <w:rPr>
                                <w:rFonts w:ascii="Avenir Book" w:hAnsi="Avenir Book"/>
                                <w:b/>
                                <w:color w:val="FFFFFF" w:themeColor="background1"/>
                              </w:rPr>
                              <w:t>fb</w:t>
                            </w:r>
                            <w:proofErr w:type="spellEnd"/>
                            <w:proofErr w:type="gramEnd"/>
                            <w:r w:rsidRPr="009B511B">
                              <w:rPr>
                                <w:rFonts w:ascii="Avenir Book" w:hAnsi="Avenir Book"/>
                                <w:b/>
                                <w:color w:val="FFFFFF" w:themeColor="background1"/>
                              </w:rPr>
                              <w:t xml:space="preserve">: </w:t>
                            </w:r>
                            <w:r w:rsidRPr="009B511B">
                              <w:rPr>
                                <w:rFonts w:ascii="Avenir Book" w:hAnsi="Avenir Book"/>
                                <w:color w:val="FFFFFF" w:themeColor="background1"/>
                              </w:rPr>
                              <w:t xml:space="preserve">African PRIDE Centre  </w:t>
                            </w:r>
                            <w:proofErr w:type="spellStart"/>
                            <w:r w:rsidRPr="009B511B">
                              <w:rPr>
                                <w:rFonts w:ascii="Avenir Book" w:hAnsi="Avenir Book"/>
                                <w:b/>
                                <w:color w:val="FFFFFF" w:themeColor="background1"/>
                              </w:rPr>
                              <w:t>twt</w:t>
                            </w:r>
                            <w:proofErr w:type="spellEnd"/>
                            <w:r w:rsidRPr="009B511B">
                              <w:rPr>
                                <w:rFonts w:ascii="Avenir Book" w:hAnsi="Avenir Book"/>
                                <w:b/>
                                <w:color w:val="FFFFFF" w:themeColor="background1"/>
                              </w:rPr>
                              <w:t xml:space="preserve">: </w:t>
                            </w:r>
                            <w:r w:rsidRPr="009B511B">
                              <w:rPr>
                                <w:rFonts w:ascii="Avenir Book" w:hAnsi="Avenir Book"/>
                                <w:color w:val="FFFFFF" w:themeColor="background1"/>
                              </w:rPr>
                              <w:t>@</w:t>
                            </w:r>
                            <w:proofErr w:type="spellStart"/>
                            <w:r w:rsidRPr="009B511B">
                              <w:rPr>
                                <w:rFonts w:ascii="Avenir Book" w:hAnsi="Avenir Book"/>
                                <w:color w:val="FFFFFF" w:themeColor="background1"/>
                              </w:rPr>
                              <w:t>apcentre</w:t>
                            </w:r>
                            <w:proofErr w:type="spellEnd"/>
                          </w:p>
                          <w:p w14:paraId="6DF83539" w14:textId="77777777" w:rsidR="002E5195" w:rsidRPr="009B511B" w:rsidRDefault="002E5195" w:rsidP="000A2D45">
                            <w:pPr>
                              <w:spacing w:after="0" w:line="240" w:lineRule="exact"/>
                              <w:rPr>
                                <w:rFonts w:ascii="Avenir Book" w:hAnsi="Avenir Book"/>
                                <w:color w:val="FFFFFF" w:themeColor="background1"/>
                              </w:rPr>
                            </w:pPr>
                            <w:r w:rsidRPr="009B511B">
                              <w:rPr>
                                <w:rFonts w:ascii="Avenir Book" w:hAnsi="Avenir Book"/>
                                <w:b/>
                                <w:color w:val="FFFFFF" w:themeColor="background1"/>
                              </w:rPr>
                              <w:t>www.</w:t>
                            </w:r>
                            <w:r w:rsidRPr="009B511B">
                              <w:rPr>
                                <w:rFonts w:ascii="Avenir Book" w:hAnsi="Avenir Book"/>
                                <w:color w:val="FFFFFF" w:themeColor="background1"/>
                              </w:rPr>
                              <w:t>africanpridecentre.org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231pt;margin-top:5.45pt;width:236.5pt;height:114.4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" filled="f" stroked="f">
                <v:textbox>
                  <w:txbxContent>
                    <w:p w14:paraId="2130B758" w14:textId="3F82391B" w:rsidR="002E5195" w:rsidRDefault="002E5195" w:rsidP="000A2D45">
                      <w:pPr>
                        <w:spacing w:after="0" w:line="240" w:lineRule="exact"/>
                        <w:rPr>
                          <w:rFonts w:ascii="Avenir Book" w:hAnsi="Avenir Book"/>
                          <w:b/>
                          <w:color w:val="FFFFFF" w:themeColor="background1"/>
                        </w:rPr>
                      </w:pPr>
                      <w:r>
                        <w:rPr>
                          <w:rFonts w:ascii="Avenir Book" w:hAnsi="Avenir Book"/>
                          <w:b/>
                          <w:color w:val="FFFFFF" w:themeColor="background1"/>
                        </w:rPr>
                        <w:t>CONTACT</w:t>
                      </w:r>
                    </w:p>
                    <w:p w14:paraId="156667C4" w14:textId="77777777" w:rsidR="002E5195" w:rsidRDefault="002E5195" w:rsidP="000A2D45">
                      <w:pPr>
                        <w:spacing w:after="0" w:line="240" w:lineRule="exact"/>
                        <w:rPr>
                          <w:rFonts w:ascii="Avenir Book" w:hAnsi="Avenir Book"/>
                          <w:b/>
                          <w:color w:val="FFFFFF" w:themeColor="background1"/>
                        </w:rPr>
                      </w:pPr>
                    </w:p>
                    <w:p w14:paraId="64F66A48" w14:textId="5E3D2A16" w:rsidR="002E5195" w:rsidRDefault="002E5195" w:rsidP="000A2D45">
                      <w:pPr>
                        <w:spacing w:after="0" w:line="240" w:lineRule="exact"/>
                        <w:rPr>
                          <w:rFonts w:ascii="Avenir Book" w:hAnsi="Avenir Book"/>
                          <w:b/>
                          <w:color w:val="FFFFFF" w:themeColor="background1"/>
                        </w:rPr>
                      </w:pPr>
                      <w:r>
                        <w:rPr>
                          <w:rFonts w:ascii="Avenir Book" w:hAnsi="Avenir Book"/>
                          <w:b/>
                          <w:color w:val="FFFFFF" w:themeColor="background1"/>
                        </w:rPr>
                        <w:t xml:space="preserve">Raphael </w:t>
                      </w:r>
                      <w:proofErr w:type="spellStart"/>
                      <w:r>
                        <w:rPr>
                          <w:rFonts w:ascii="Avenir Book" w:hAnsi="Avenir Book"/>
                          <w:color w:val="FFFFFF" w:themeColor="background1"/>
                        </w:rPr>
                        <w:t>Otakwa</w:t>
                      </w:r>
                      <w:proofErr w:type="spellEnd"/>
                    </w:p>
                    <w:p w14:paraId="4E9FF546" w14:textId="77777777" w:rsidR="002E5195" w:rsidRPr="009B511B" w:rsidRDefault="002E5195" w:rsidP="000A2D45">
                      <w:pPr>
                        <w:spacing w:after="0" w:line="240" w:lineRule="exact"/>
                        <w:rPr>
                          <w:rFonts w:ascii="Avenir Book" w:hAnsi="Avenir Book"/>
                          <w:color w:val="FFFFFF" w:themeColor="background1"/>
                        </w:rPr>
                      </w:pPr>
                      <w:r w:rsidRPr="009B511B">
                        <w:rPr>
                          <w:rFonts w:ascii="Avenir Book" w:hAnsi="Avenir Book"/>
                          <w:b/>
                          <w:color w:val="FFFFFF" w:themeColor="background1"/>
                        </w:rPr>
                        <w:t>PO Box</w:t>
                      </w:r>
                      <w:r w:rsidRPr="009B511B">
                        <w:rPr>
                          <w:rFonts w:ascii="Avenir Book" w:hAnsi="Avenir Book"/>
                          <w:color w:val="FFFFFF" w:themeColor="background1"/>
                        </w:rPr>
                        <w:t xml:space="preserve"> 28097 – 00200 Nairobi</w:t>
                      </w:r>
                    </w:p>
                    <w:p w14:paraId="69914F80" w14:textId="77777777" w:rsidR="002E5195" w:rsidRPr="009B511B" w:rsidRDefault="002E5195" w:rsidP="000A2D45">
                      <w:pPr>
                        <w:spacing w:after="0" w:line="240" w:lineRule="exact"/>
                        <w:rPr>
                          <w:rFonts w:ascii="Avenir Book" w:hAnsi="Avenir Book"/>
                          <w:color w:val="FFFFFF" w:themeColor="background1"/>
                        </w:rPr>
                      </w:pPr>
                      <w:r w:rsidRPr="009B511B">
                        <w:rPr>
                          <w:rFonts w:ascii="Avenir Book" w:hAnsi="Avenir Book"/>
                          <w:b/>
                          <w:color w:val="FFFFFF" w:themeColor="background1"/>
                        </w:rPr>
                        <w:t>Email</w:t>
                      </w:r>
                      <w:r w:rsidRPr="009B511B">
                        <w:rPr>
                          <w:rFonts w:ascii="Avenir Book" w:hAnsi="Avenir Book"/>
                          <w:color w:val="FFFFFF" w:themeColor="background1"/>
                        </w:rPr>
                        <w:t>: ask@africanpridecentre.org</w:t>
                      </w:r>
                    </w:p>
                    <w:p w14:paraId="06A3CFE0" w14:textId="77777777" w:rsidR="002E5195" w:rsidRPr="009B511B" w:rsidRDefault="002E5195" w:rsidP="000A2D45">
                      <w:pPr>
                        <w:spacing w:after="0" w:line="240" w:lineRule="exact"/>
                        <w:rPr>
                          <w:rFonts w:ascii="Avenir Book" w:hAnsi="Avenir Book"/>
                          <w:color w:val="FFFFFF" w:themeColor="background1"/>
                        </w:rPr>
                      </w:pPr>
                      <w:r w:rsidRPr="009B511B">
                        <w:rPr>
                          <w:rFonts w:ascii="Avenir Book" w:hAnsi="Avenir Book"/>
                          <w:b/>
                          <w:color w:val="FFFFFF" w:themeColor="background1"/>
                        </w:rPr>
                        <w:t>Tel.:</w:t>
                      </w:r>
                      <w:r w:rsidRPr="009B511B">
                        <w:rPr>
                          <w:rFonts w:ascii="Avenir Book" w:hAnsi="Avenir Book"/>
                          <w:color w:val="FFFFFF" w:themeColor="background1"/>
                        </w:rPr>
                        <w:t xml:space="preserve"> +254 202 670 380 </w:t>
                      </w:r>
                      <w:proofErr w:type="spellStart"/>
                      <w:r w:rsidRPr="009B511B">
                        <w:rPr>
                          <w:rFonts w:ascii="Avenir Book" w:hAnsi="Avenir Book"/>
                          <w:b/>
                          <w:color w:val="FFFFFF" w:themeColor="background1"/>
                        </w:rPr>
                        <w:t>Cel</w:t>
                      </w:r>
                      <w:proofErr w:type="spellEnd"/>
                      <w:r w:rsidRPr="009B511B">
                        <w:rPr>
                          <w:rFonts w:ascii="Avenir Book" w:hAnsi="Avenir Book"/>
                          <w:b/>
                          <w:color w:val="FFFFFF" w:themeColor="background1"/>
                        </w:rPr>
                        <w:t>:</w:t>
                      </w:r>
                      <w:r w:rsidRPr="009B511B">
                        <w:rPr>
                          <w:rFonts w:ascii="Avenir Book" w:hAnsi="Avenir Book"/>
                          <w:color w:val="FFFFFF" w:themeColor="background1"/>
                        </w:rPr>
                        <w:t xml:space="preserve"> 0727 457 333</w:t>
                      </w:r>
                    </w:p>
                    <w:p w14:paraId="556A66D7" w14:textId="77777777" w:rsidR="002E5195" w:rsidRPr="009B511B" w:rsidRDefault="002E5195" w:rsidP="000A2D45">
                      <w:pPr>
                        <w:spacing w:after="0" w:line="240" w:lineRule="exact"/>
                        <w:rPr>
                          <w:rFonts w:ascii="Avenir Book" w:hAnsi="Avenir Book"/>
                          <w:color w:val="FFFFFF" w:themeColor="background1"/>
                        </w:rPr>
                      </w:pPr>
                      <w:proofErr w:type="spellStart"/>
                      <w:proofErr w:type="gramStart"/>
                      <w:r w:rsidRPr="009B511B">
                        <w:rPr>
                          <w:rFonts w:ascii="Avenir Book" w:hAnsi="Avenir Book"/>
                          <w:b/>
                          <w:color w:val="FFFFFF" w:themeColor="background1"/>
                        </w:rPr>
                        <w:t>fb</w:t>
                      </w:r>
                      <w:proofErr w:type="spellEnd"/>
                      <w:proofErr w:type="gramEnd"/>
                      <w:r w:rsidRPr="009B511B">
                        <w:rPr>
                          <w:rFonts w:ascii="Avenir Book" w:hAnsi="Avenir Book"/>
                          <w:b/>
                          <w:color w:val="FFFFFF" w:themeColor="background1"/>
                        </w:rPr>
                        <w:t xml:space="preserve">: </w:t>
                      </w:r>
                      <w:r w:rsidRPr="009B511B">
                        <w:rPr>
                          <w:rFonts w:ascii="Avenir Book" w:hAnsi="Avenir Book"/>
                          <w:color w:val="FFFFFF" w:themeColor="background1"/>
                        </w:rPr>
                        <w:t xml:space="preserve">African PRIDE Centre  </w:t>
                      </w:r>
                      <w:proofErr w:type="spellStart"/>
                      <w:r w:rsidRPr="009B511B">
                        <w:rPr>
                          <w:rFonts w:ascii="Avenir Book" w:hAnsi="Avenir Book"/>
                          <w:b/>
                          <w:color w:val="FFFFFF" w:themeColor="background1"/>
                        </w:rPr>
                        <w:t>twt</w:t>
                      </w:r>
                      <w:proofErr w:type="spellEnd"/>
                      <w:r w:rsidRPr="009B511B">
                        <w:rPr>
                          <w:rFonts w:ascii="Avenir Book" w:hAnsi="Avenir Book"/>
                          <w:b/>
                          <w:color w:val="FFFFFF" w:themeColor="background1"/>
                        </w:rPr>
                        <w:t xml:space="preserve">: </w:t>
                      </w:r>
                      <w:r w:rsidRPr="009B511B">
                        <w:rPr>
                          <w:rFonts w:ascii="Avenir Book" w:hAnsi="Avenir Book"/>
                          <w:color w:val="FFFFFF" w:themeColor="background1"/>
                        </w:rPr>
                        <w:t>@</w:t>
                      </w:r>
                      <w:proofErr w:type="spellStart"/>
                      <w:r w:rsidRPr="009B511B">
                        <w:rPr>
                          <w:rFonts w:ascii="Avenir Book" w:hAnsi="Avenir Book"/>
                          <w:color w:val="FFFFFF" w:themeColor="background1"/>
                        </w:rPr>
                        <w:t>apcentre</w:t>
                      </w:r>
                      <w:proofErr w:type="spellEnd"/>
                    </w:p>
                    <w:p w14:paraId="6DF83539" w14:textId="77777777" w:rsidR="002E5195" w:rsidRPr="009B511B" w:rsidRDefault="002E5195" w:rsidP="000A2D45">
                      <w:pPr>
                        <w:spacing w:after="0" w:line="240" w:lineRule="exact"/>
                        <w:rPr>
                          <w:rFonts w:ascii="Avenir Book" w:hAnsi="Avenir Book"/>
                          <w:color w:val="FFFFFF" w:themeColor="background1"/>
                        </w:rPr>
                      </w:pPr>
                      <w:r w:rsidRPr="009B511B">
                        <w:rPr>
                          <w:rFonts w:ascii="Avenir Book" w:hAnsi="Avenir Book"/>
                          <w:b/>
                          <w:color w:val="FFFFFF" w:themeColor="background1"/>
                        </w:rPr>
                        <w:t>www.</w:t>
                      </w:r>
                      <w:r w:rsidRPr="009B511B">
                        <w:rPr>
                          <w:rFonts w:ascii="Avenir Book" w:hAnsi="Avenir Book"/>
                          <w:color w:val="FFFFFF" w:themeColor="background1"/>
                        </w:rPr>
                        <w:t>africanpridecentre.org</w:t>
                      </w:r>
                    </w:p>
                  </w:txbxContent>
                </v:textbox>
              </v:shape>
            </w:pict>
          </mc:Fallback>
        </mc:AlternateContent>
      </w:r>
      <w:r>
        <w:rPr>
          <w:rFonts w:ascii="Times New Roman" w:hAnsi="Times New Roman"/>
          <w:b/>
          <w:color w:val="FFFFFF" w:themeColor="background1"/>
          <w:sz w:val="56"/>
          <w:szCs w:val="56"/>
        </w:rPr>
        <w:t xml:space="preserve">      </w:t>
      </w:r>
      <w:r w:rsidR="0035391F">
        <w:rPr>
          <w:rFonts w:ascii="Times New Roman" w:hAnsi="Times New Roman"/>
          <w:b/>
          <w:color w:val="FFFFFF" w:themeColor="background1"/>
          <w:sz w:val="56"/>
          <w:szCs w:val="56"/>
        </w:rPr>
        <w:t xml:space="preserve">BUSINESS </w:t>
      </w:r>
      <w:r>
        <w:rPr>
          <w:rFonts w:ascii="Times New Roman" w:hAnsi="Times New Roman"/>
          <w:b/>
          <w:color w:val="FFFFFF" w:themeColor="background1"/>
          <w:sz w:val="56"/>
          <w:szCs w:val="56"/>
        </w:rPr>
        <w:t xml:space="preserve"> </w:t>
      </w:r>
    </w:p>
    <w:p w14:paraId="3A879DEA" w14:textId="77777777" w:rsidR="004B545A" w:rsidRDefault="00FD22D8" w:rsidP="00FD22D8">
      <w:pPr>
        <w:spacing w:after="0" w:line="240" w:lineRule="auto"/>
        <w:rPr>
          <w:rFonts w:ascii="Times New Roman" w:hAnsi="Times New Roman"/>
          <w:b/>
          <w:color w:val="FFFFFF" w:themeColor="background1"/>
          <w:sz w:val="56"/>
          <w:szCs w:val="56"/>
        </w:rPr>
      </w:pPr>
      <w:r>
        <w:rPr>
          <w:rFonts w:ascii="Times New Roman" w:hAnsi="Times New Roman"/>
          <w:b/>
          <w:color w:val="FFFFFF" w:themeColor="background1"/>
          <w:sz w:val="56"/>
          <w:szCs w:val="56"/>
        </w:rPr>
        <w:t xml:space="preserve">      </w:t>
      </w:r>
      <w:r w:rsidR="004B545A">
        <w:rPr>
          <w:rFonts w:ascii="Times New Roman" w:hAnsi="Times New Roman"/>
          <w:b/>
          <w:color w:val="FFFFFF" w:themeColor="background1"/>
          <w:sz w:val="56"/>
          <w:szCs w:val="56"/>
        </w:rPr>
        <w:t>CONCEPT</w:t>
      </w:r>
    </w:p>
    <w:p w14:paraId="693011FC" w14:textId="5066A9FA" w:rsidR="00FD22D8" w:rsidRPr="00E46F8A" w:rsidRDefault="004B545A" w:rsidP="00FD22D8">
      <w:pPr>
        <w:spacing w:after="0" w:line="240" w:lineRule="auto"/>
        <w:rPr>
          <w:rFonts w:ascii="Times New Roman" w:hAnsi="Times New Roman"/>
          <w:b/>
          <w:color w:val="600000" w:themeColor="accent6" w:themeShade="80"/>
          <w:sz w:val="56"/>
          <w:szCs w:val="56"/>
        </w:rPr>
      </w:pPr>
      <w:r>
        <w:rPr>
          <w:rFonts w:ascii="Times New Roman" w:hAnsi="Times New Roman"/>
          <w:b/>
          <w:color w:val="FFFFFF" w:themeColor="background1"/>
          <w:sz w:val="56"/>
          <w:szCs w:val="56"/>
        </w:rPr>
        <w:t xml:space="preserve">      </w:t>
      </w:r>
      <w:r w:rsidR="0035391F">
        <w:rPr>
          <w:rFonts w:ascii="Times New Roman" w:hAnsi="Times New Roman"/>
          <w:b/>
          <w:color w:val="FFFFFF" w:themeColor="background1"/>
          <w:sz w:val="56"/>
          <w:szCs w:val="56"/>
        </w:rPr>
        <w:t xml:space="preserve"> </w:t>
      </w:r>
      <w:r w:rsidR="00FD22D8">
        <w:rPr>
          <w:rFonts w:ascii="Times New Roman" w:hAnsi="Times New Roman"/>
          <w:b/>
          <w:color w:val="FFFFFF" w:themeColor="background1"/>
          <w:sz w:val="56"/>
          <w:szCs w:val="56"/>
        </w:rPr>
        <w:t>2019</w:t>
      </w:r>
    </w:p>
    <w:p w14:paraId="2360160E" w14:textId="12303F04" w:rsidR="00C3083C" w:rsidRDefault="00C3083C" w:rsidP="00201537">
      <w:pPr>
        <w:tabs>
          <w:tab w:val="left" w:pos="2587"/>
        </w:tabs>
        <w:jc w:val="right"/>
        <w:rPr>
          <w:rFonts w:ascii="Times New Roman" w:hAnsi="Times New Roman"/>
          <w:sz w:val="16"/>
          <w:szCs w:val="16"/>
        </w:rPr>
      </w:pPr>
    </w:p>
    <w:p w14:paraId="792F37A0" w14:textId="77777777" w:rsidR="00172D1A" w:rsidRDefault="00172D1A" w:rsidP="006C3262">
      <w:pPr>
        <w:tabs>
          <w:tab w:val="left" w:pos="2587"/>
        </w:tabs>
        <w:rPr>
          <w:rFonts w:ascii="Times New Roman" w:hAnsi="Times New Roman"/>
          <w:sz w:val="16"/>
          <w:szCs w:val="16"/>
        </w:rPr>
      </w:pPr>
    </w:p>
    <w:p w14:paraId="2375DFC0" w14:textId="266DAF14" w:rsidR="00172D1A" w:rsidRDefault="00172D1A" w:rsidP="006C3262">
      <w:pPr>
        <w:tabs>
          <w:tab w:val="left" w:pos="2587"/>
        </w:tabs>
        <w:rPr>
          <w:rFonts w:ascii="Times New Roman" w:hAnsi="Times New Roman"/>
          <w:sz w:val="16"/>
          <w:szCs w:val="16"/>
        </w:rPr>
      </w:pPr>
    </w:p>
    <w:p w14:paraId="57237F7F" w14:textId="728BA65A" w:rsidR="00596280" w:rsidRPr="005F3FCD" w:rsidRDefault="005B11F9" w:rsidP="00596280">
      <w:pPr>
        <w:pStyle w:val="ListParagraph"/>
        <w:numPr>
          <w:ilvl w:val="0"/>
          <w:numId w:val="7"/>
        </w:numPr>
        <w:spacing w:after="0" w:line="360" w:lineRule="auto"/>
        <w:ind w:left="426" w:hanging="426"/>
        <w:jc w:val="both"/>
        <w:rPr>
          <w:rFonts w:ascii="Times New Roman" w:hAnsi="Times New Roman"/>
          <w:b/>
        </w:rPr>
      </w:pPr>
      <w:r>
        <w:rPr>
          <w:rFonts w:ascii="Times New Roman" w:hAnsi="Times New Roman"/>
          <w:b/>
        </w:rPr>
        <w:lastRenderedPageBreak/>
        <w:t xml:space="preserve">INTRODUCTION </w:t>
      </w:r>
    </w:p>
    <w:p w14:paraId="6419448F" w14:textId="2F719369" w:rsidR="00304C7F" w:rsidRPr="00C145BC" w:rsidRDefault="008604ED" w:rsidP="00C145BC">
      <w:pPr>
        <w:pStyle w:val="ListParagraph"/>
        <w:numPr>
          <w:ilvl w:val="1"/>
          <w:numId w:val="6"/>
        </w:numPr>
        <w:spacing w:after="0" w:line="360" w:lineRule="auto"/>
        <w:ind w:left="426" w:hanging="426"/>
        <w:jc w:val="both"/>
        <w:rPr>
          <w:rFonts w:ascii="Times New Roman" w:hAnsi="Times New Roman"/>
          <w:b/>
        </w:rPr>
      </w:pPr>
      <w:r>
        <w:rPr>
          <w:rFonts w:ascii="Times New Roman" w:hAnsi="Times New Roman"/>
          <w:b/>
        </w:rPr>
        <w:t>T</w:t>
      </w:r>
      <w:r w:rsidR="003D6772">
        <w:rPr>
          <w:rFonts w:ascii="Times New Roman" w:hAnsi="Times New Roman"/>
          <w:b/>
        </w:rPr>
        <w:t>he Wood Energy Sub-Sector</w:t>
      </w:r>
      <w:r>
        <w:rPr>
          <w:rFonts w:ascii="Times New Roman" w:hAnsi="Times New Roman"/>
          <w:b/>
        </w:rPr>
        <w:t>: A Complex System</w:t>
      </w:r>
      <w:r w:rsidR="00981518">
        <w:rPr>
          <w:rFonts w:ascii="Times New Roman" w:hAnsi="Times New Roman"/>
          <w:b/>
        </w:rPr>
        <w:t xml:space="preserve"> with Constraining </w:t>
      </w:r>
      <w:r w:rsidR="00887F52">
        <w:rPr>
          <w:rFonts w:ascii="Times New Roman" w:hAnsi="Times New Roman"/>
          <w:b/>
        </w:rPr>
        <w:t>Realities</w:t>
      </w:r>
    </w:p>
    <w:p w14:paraId="08DFC99A" w14:textId="708A6B30" w:rsidR="003D14AF" w:rsidRPr="005F3FCD" w:rsidRDefault="00CC51FC" w:rsidP="003D14AF">
      <w:pPr>
        <w:spacing w:after="0" w:line="360" w:lineRule="auto"/>
        <w:jc w:val="both"/>
        <w:rPr>
          <w:rFonts w:ascii="Times New Roman" w:hAnsi="Times New Roman"/>
        </w:rPr>
      </w:pPr>
      <w:r w:rsidRPr="005F3FCD">
        <w:rPr>
          <w:rFonts w:ascii="Times New Roman" w:hAnsi="Times New Roman"/>
        </w:rPr>
        <w:t xml:space="preserve">The wood-based energy </w:t>
      </w:r>
      <w:r w:rsidR="00917D57" w:rsidRPr="005F3FCD">
        <w:rPr>
          <w:rFonts w:ascii="Times New Roman" w:hAnsi="Times New Roman"/>
        </w:rPr>
        <w:t>sub-</w:t>
      </w:r>
      <w:r w:rsidRPr="005F3FCD">
        <w:rPr>
          <w:rFonts w:ascii="Times New Roman" w:hAnsi="Times New Roman"/>
        </w:rPr>
        <w:t xml:space="preserve">sector </w:t>
      </w:r>
      <w:r w:rsidR="006357DB" w:rsidRPr="005F3FCD">
        <w:rPr>
          <w:rFonts w:ascii="Times New Roman" w:hAnsi="Times New Roman"/>
        </w:rPr>
        <w:t xml:space="preserve">is </w:t>
      </w:r>
      <w:r w:rsidR="00C27DA9" w:rsidRPr="005F3FCD">
        <w:rPr>
          <w:rFonts w:ascii="Times New Roman" w:hAnsi="Times New Roman"/>
        </w:rPr>
        <w:t>evolving</w:t>
      </w:r>
      <w:r w:rsidRPr="005F3FCD">
        <w:rPr>
          <w:rFonts w:ascii="Times New Roman" w:hAnsi="Times New Roman"/>
        </w:rPr>
        <w:t xml:space="preserve"> rapidly in tec</w:t>
      </w:r>
      <w:r w:rsidR="00C57C07" w:rsidRPr="005F3FCD">
        <w:rPr>
          <w:rFonts w:ascii="Times New Roman" w:hAnsi="Times New Roman"/>
        </w:rPr>
        <w:t>hnology-</w:t>
      </w:r>
      <w:r w:rsidR="00E32A8E" w:rsidRPr="005F3FCD">
        <w:rPr>
          <w:rFonts w:ascii="Times New Roman" w:hAnsi="Times New Roman"/>
        </w:rPr>
        <w:t>d</w:t>
      </w:r>
      <w:r w:rsidR="004F7E63" w:rsidRPr="005F3FCD">
        <w:rPr>
          <w:rFonts w:ascii="Times New Roman" w:hAnsi="Times New Roman"/>
        </w:rPr>
        <w:t>riven</w:t>
      </w:r>
      <w:r w:rsidR="00AA04D8" w:rsidRPr="005F3FCD">
        <w:rPr>
          <w:rFonts w:ascii="Times New Roman" w:hAnsi="Times New Roman"/>
        </w:rPr>
        <w:t xml:space="preserve"> ways</w:t>
      </w:r>
      <w:r w:rsidR="00D37829">
        <w:rPr>
          <w:rFonts w:ascii="Times New Roman" w:hAnsi="Times New Roman"/>
        </w:rPr>
        <w:t xml:space="preserve"> </w:t>
      </w:r>
      <w:r w:rsidR="000D33C9" w:rsidRPr="005F3FCD">
        <w:rPr>
          <w:rFonts w:ascii="Times New Roman" w:hAnsi="Times New Roman"/>
        </w:rPr>
        <w:t xml:space="preserve">but </w:t>
      </w:r>
      <w:r w:rsidR="00517358" w:rsidRPr="005F3FCD">
        <w:rPr>
          <w:rFonts w:ascii="Times New Roman" w:hAnsi="Times New Roman"/>
        </w:rPr>
        <w:t>has</w:t>
      </w:r>
      <w:r w:rsidRPr="005F3FCD">
        <w:rPr>
          <w:rFonts w:ascii="Times New Roman" w:hAnsi="Times New Roman"/>
        </w:rPr>
        <w:t xml:space="preserve"> sustainability</w:t>
      </w:r>
      <w:r w:rsidR="00C27DA9" w:rsidRPr="005F3FCD">
        <w:rPr>
          <w:rFonts w:ascii="Times New Roman" w:hAnsi="Times New Roman"/>
        </w:rPr>
        <w:t>-related questions</w:t>
      </w:r>
      <w:r w:rsidR="004F7E63" w:rsidRPr="005F3FCD">
        <w:rPr>
          <w:rFonts w:ascii="Times New Roman" w:hAnsi="Times New Roman"/>
        </w:rPr>
        <w:t xml:space="preserve"> </w:t>
      </w:r>
      <w:sdt>
        <w:sdtPr>
          <w:rPr>
            <w:rFonts w:ascii="Times New Roman" w:hAnsi="Times New Roman"/>
          </w:rPr>
          <w:id w:val="634533693"/>
          <w:citation/>
        </w:sdtPr>
        <w:sdtEndPr/>
        <w:sdtContent>
          <w:r w:rsidR="001F799B" w:rsidRPr="005F3FCD">
            <w:rPr>
              <w:rFonts w:ascii="Times New Roman" w:hAnsi="Times New Roman"/>
            </w:rPr>
            <w:fldChar w:fldCharType="begin"/>
          </w:r>
          <w:r w:rsidR="001F799B" w:rsidRPr="005F3FCD">
            <w:rPr>
              <w:rFonts w:ascii="Times New Roman" w:hAnsi="Times New Roman"/>
              <w:lang w:val="en-US"/>
            </w:rPr>
            <w:instrText xml:space="preserve"> CITATION Szu19 \l 1033 </w:instrText>
          </w:r>
          <w:r w:rsidR="001F799B" w:rsidRPr="005F3FCD">
            <w:rPr>
              <w:rFonts w:ascii="Times New Roman" w:hAnsi="Times New Roman"/>
            </w:rPr>
            <w:fldChar w:fldCharType="separate"/>
          </w:r>
          <w:r w:rsidR="00F845CA" w:rsidRPr="00F845CA">
            <w:rPr>
              <w:rFonts w:ascii="Times New Roman" w:hAnsi="Times New Roman"/>
              <w:noProof/>
              <w:lang w:val="en-US"/>
            </w:rPr>
            <w:t>(Szulecka, 2019)</w:t>
          </w:r>
          <w:r w:rsidR="001F799B" w:rsidRPr="005F3FCD">
            <w:rPr>
              <w:rFonts w:ascii="Times New Roman" w:hAnsi="Times New Roman"/>
            </w:rPr>
            <w:fldChar w:fldCharType="end"/>
          </w:r>
        </w:sdtContent>
      </w:sdt>
      <w:r w:rsidR="00AA74A1" w:rsidRPr="005F3FCD">
        <w:rPr>
          <w:rFonts w:ascii="Times New Roman" w:hAnsi="Times New Roman"/>
        </w:rPr>
        <w:t xml:space="preserve">. </w:t>
      </w:r>
      <w:r w:rsidR="003D14AF">
        <w:rPr>
          <w:rFonts w:ascii="Times New Roman" w:hAnsi="Times New Roman"/>
        </w:rPr>
        <w:t xml:space="preserve">In Kenya, </w:t>
      </w:r>
      <w:r w:rsidR="003D14AF" w:rsidRPr="005F3FCD">
        <w:rPr>
          <w:rFonts w:ascii="Times New Roman" w:hAnsi="Times New Roman"/>
        </w:rPr>
        <w:t xml:space="preserve">80% urban and 90% rural </w:t>
      </w:r>
      <w:r w:rsidR="003D14AF">
        <w:rPr>
          <w:rFonts w:ascii="Times New Roman" w:hAnsi="Times New Roman"/>
        </w:rPr>
        <w:t>folk</w:t>
      </w:r>
      <w:r w:rsidR="003D14AF" w:rsidRPr="005F3FCD">
        <w:rPr>
          <w:rFonts w:ascii="Times New Roman" w:hAnsi="Times New Roman"/>
        </w:rPr>
        <w:t xml:space="preserve"> rely on biomass, in the form of firewood and charcoal, for heating and cooking</w:t>
      </w:r>
      <w:r w:rsidR="00600239">
        <w:rPr>
          <w:rFonts w:ascii="Times New Roman" w:hAnsi="Times New Roman"/>
          <w:noProof/>
          <w:lang w:val="en-US"/>
        </w:rPr>
        <w:t xml:space="preserve"> </w:t>
      </w:r>
      <w:r w:rsidR="00600239" w:rsidRPr="00F845CA">
        <w:rPr>
          <w:rFonts w:ascii="Times New Roman" w:hAnsi="Times New Roman"/>
          <w:noProof/>
          <w:lang w:val="en-US"/>
        </w:rPr>
        <w:t xml:space="preserve">(Ndegwa, </w:t>
      </w:r>
      <w:r w:rsidR="00600239">
        <w:rPr>
          <w:rFonts w:ascii="Times New Roman" w:hAnsi="Times New Roman"/>
          <w:noProof/>
          <w:lang w:val="en-US"/>
        </w:rPr>
        <w:t>et al.</w:t>
      </w:r>
      <w:r w:rsidR="00600239" w:rsidRPr="00F845CA">
        <w:rPr>
          <w:rFonts w:ascii="Times New Roman" w:hAnsi="Times New Roman"/>
          <w:noProof/>
          <w:lang w:val="en-US"/>
        </w:rPr>
        <w:t>, 2011)</w:t>
      </w:r>
      <w:r w:rsidR="003D14AF" w:rsidRPr="005F3FCD">
        <w:rPr>
          <w:rFonts w:ascii="Times New Roman" w:hAnsi="Times New Roman"/>
        </w:rPr>
        <w:t>.</w:t>
      </w:r>
      <w:r w:rsidR="003D14AF">
        <w:rPr>
          <w:rFonts w:ascii="Times New Roman" w:hAnsi="Times New Roman"/>
        </w:rPr>
        <w:t xml:space="preserve"> </w:t>
      </w:r>
      <w:r w:rsidR="003D14AF" w:rsidRPr="005F3FCD">
        <w:rPr>
          <w:rFonts w:ascii="Times New Roman" w:hAnsi="Times New Roman"/>
        </w:rPr>
        <w:t xml:space="preserve">64.6% of the country’s 8.7 million households depend entirely on firewood for cooking - each estimated to </w:t>
      </w:r>
      <w:r w:rsidR="00127BE2">
        <w:rPr>
          <w:rFonts w:ascii="Times New Roman" w:hAnsi="Times New Roman"/>
        </w:rPr>
        <w:t>be consuming</w:t>
      </w:r>
      <w:r w:rsidR="003D14AF" w:rsidRPr="005F3FCD">
        <w:rPr>
          <w:rFonts w:ascii="Times New Roman" w:hAnsi="Times New Roman"/>
        </w:rPr>
        <w:t xml:space="preserve"> between 10 Kg and 20 Kg of firewood daily</w:t>
      </w:r>
      <w:sdt>
        <w:sdtPr>
          <w:rPr>
            <w:rFonts w:ascii="Times New Roman" w:hAnsi="Times New Roman"/>
          </w:rPr>
          <w:id w:val="-1175727728"/>
          <w:citation/>
        </w:sdtPr>
        <w:sdtEndPr/>
        <w:sdtContent>
          <w:r w:rsidR="003D14AF" w:rsidRPr="005F3FCD">
            <w:rPr>
              <w:rFonts w:ascii="Times New Roman" w:hAnsi="Times New Roman"/>
            </w:rPr>
            <w:fldChar w:fldCharType="begin"/>
          </w:r>
          <w:r w:rsidR="003D14AF" w:rsidRPr="005F3FCD">
            <w:rPr>
              <w:rFonts w:ascii="Times New Roman" w:hAnsi="Times New Roman"/>
              <w:lang w:val="en-US"/>
            </w:rPr>
            <w:instrText xml:space="preserve"> CITATION Cap151 \l 1033 </w:instrText>
          </w:r>
          <w:r w:rsidR="003D14AF" w:rsidRPr="005F3FCD">
            <w:rPr>
              <w:rFonts w:ascii="Times New Roman" w:hAnsi="Times New Roman"/>
            </w:rPr>
            <w:fldChar w:fldCharType="separate"/>
          </w:r>
          <w:r w:rsidR="00F845CA">
            <w:rPr>
              <w:rFonts w:ascii="Times New Roman" w:hAnsi="Times New Roman"/>
              <w:noProof/>
              <w:lang w:val="en-US"/>
            </w:rPr>
            <w:t xml:space="preserve"> </w:t>
          </w:r>
          <w:r w:rsidR="00F845CA" w:rsidRPr="00F845CA">
            <w:rPr>
              <w:rFonts w:ascii="Times New Roman" w:hAnsi="Times New Roman"/>
              <w:noProof/>
              <w:lang w:val="en-US"/>
            </w:rPr>
            <w:t>(CapitalNews, 2015)</w:t>
          </w:r>
          <w:r w:rsidR="003D14AF" w:rsidRPr="005F3FCD">
            <w:rPr>
              <w:rFonts w:ascii="Times New Roman" w:hAnsi="Times New Roman"/>
            </w:rPr>
            <w:fldChar w:fldCharType="end"/>
          </w:r>
        </w:sdtContent>
      </w:sdt>
      <w:r w:rsidR="003D14AF" w:rsidRPr="005F3FCD">
        <w:rPr>
          <w:rFonts w:ascii="Times New Roman" w:hAnsi="Times New Roman"/>
        </w:rPr>
        <w:t xml:space="preserve">. This </w:t>
      </w:r>
      <w:r w:rsidR="003D14AF">
        <w:rPr>
          <w:rFonts w:ascii="Times New Roman" w:hAnsi="Times New Roman"/>
        </w:rPr>
        <w:t xml:space="preserve">consumption </w:t>
      </w:r>
      <w:r w:rsidR="003D14AF" w:rsidRPr="005F3FCD">
        <w:rPr>
          <w:rFonts w:ascii="Times New Roman" w:hAnsi="Times New Roman"/>
        </w:rPr>
        <w:t xml:space="preserve">is equivalent to between 3 to 6 fast-growing trees and, is </w:t>
      </w:r>
      <w:r w:rsidR="003D14AF">
        <w:rPr>
          <w:rFonts w:ascii="Times New Roman" w:hAnsi="Times New Roman"/>
        </w:rPr>
        <w:t>resulting in the shrinking of the country’s</w:t>
      </w:r>
      <w:r w:rsidR="003D14AF" w:rsidRPr="005F3FCD">
        <w:rPr>
          <w:rFonts w:ascii="Times New Roman" w:hAnsi="Times New Roman"/>
        </w:rPr>
        <w:t xml:space="preserve"> tree-cover and forests</w:t>
      </w:r>
      <w:r w:rsidR="003D14AF">
        <w:rPr>
          <w:rFonts w:ascii="Times New Roman" w:hAnsi="Times New Roman"/>
        </w:rPr>
        <w:t xml:space="preserve">, </w:t>
      </w:r>
      <w:r w:rsidR="00F16FF1">
        <w:rPr>
          <w:rFonts w:ascii="Times New Roman" w:hAnsi="Times New Roman"/>
        </w:rPr>
        <w:t>and</w:t>
      </w:r>
      <w:r w:rsidR="003D14AF">
        <w:rPr>
          <w:rFonts w:ascii="Times New Roman" w:hAnsi="Times New Roman"/>
        </w:rPr>
        <w:t xml:space="preserve"> is </w:t>
      </w:r>
      <w:r w:rsidR="00C75202">
        <w:rPr>
          <w:rFonts w:ascii="Times New Roman" w:hAnsi="Times New Roman"/>
        </w:rPr>
        <w:t>annihilating sustainable</w:t>
      </w:r>
      <w:r w:rsidR="003D14AF" w:rsidRPr="005F3FCD">
        <w:rPr>
          <w:rFonts w:ascii="Times New Roman" w:hAnsi="Times New Roman"/>
        </w:rPr>
        <w:t xml:space="preserve"> </w:t>
      </w:r>
      <w:r w:rsidR="00C75202">
        <w:rPr>
          <w:rFonts w:ascii="Times New Roman" w:hAnsi="Times New Roman"/>
        </w:rPr>
        <w:t>supply</w:t>
      </w:r>
      <w:r w:rsidR="003D14AF" w:rsidRPr="005F3FCD">
        <w:rPr>
          <w:rFonts w:ascii="Times New Roman" w:hAnsi="Times New Roman"/>
        </w:rPr>
        <w:t xml:space="preserve"> of wood-fuel </w:t>
      </w:r>
      <w:r w:rsidR="003D14AF">
        <w:rPr>
          <w:rFonts w:ascii="Times New Roman" w:hAnsi="Times New Roman"/>
        </w:rPr>
        <w:t xml:space="preserve">in the country. Poor </w:t>
      </w:r>
      <w:r w:rsidR="003D14AF" w:rsidRPr="005F3FCD">
        <w:rPr>
          <w:rFonts w:ascii="Times New Roman" w:hAnsi="Times New Roman"/>
        </w:rPr>
        <w:t xml:space="preserve">households’ budgets </w:t>
      </w:r>
      <w:r w:rsidR="003D14AF">
        <w:rPr>
          <w:rFonts w:ascii="Times New Roman" w:hAnsi="Times New Roman"/>
        </w:rPr>
        <w:t xml:space="preserve">are </w:t>
      </w:r>
      <w:r w:rsidR="003D14AF" w:rsidRPr="005F3FCD">
        <w:rPr>
          <w:rFonts w:ascii="Times New Roman" w:hAnsi="Times New Roman"/>
        </w:rPr>
        <w:t xml:space="preserve">straining under this </w:t>
      </w:r>
      <w:r w:rsidR="003D14AF">
        <w:rPr>
          <w:rFonts w:ascii="Times New Roman" w:hAnsi="Times New Roman"/>
        </w:rPr>
        <w:t>constrained</w:t>
      </w:r>
      <w:r w:rsidR="003D14AF" w:rsidRPr="005F3FCD">
        <w:rPr>
          <w:rFonts w:ascii="Times New Roman" w:hAnsi="Times New Roman"/>
        </w:rPr>
        <w:t xml:space="preserve"> supply</w:t>
      </w:r>
      <w:r w:rsidR="00C75202">
        <w:rPr>
          <w:rFonts w:ascii="Times New Roman" w:hAnsi="Times New Roman"/>
        </w:rPr>
        <w:t xml:space="preserve"> </w:t>
      </w:r>
      <w:r w:rsidR="00145F9C">
        <w:rPr>
          <w:rFonts w:ascii="Times New Roman" w:hAnsi="Times New Roman"/>
        </w:rPr>
        <w:t>that</w:t>
      </w:r>
      <w:r w:rsidR="00C75202">
        <w:rPr>
          <w:rFonts w:ascii="Times New Roman" w:hAnsi="Times New Roman"/>
        </w:rPr>
        <w:t xml:space="preserve"> is </w:t>
      </w:r>
      <w:r w:rsidR="003D14AF">
        <w:rPr>
          <w:rFonts w:ascii="Times New Roman" w:hAnsi="Times New Roman"/>
        </w:rPr>
        <w:t xml:space="preserve">aggravated by the </w:t>
      </w:r>
      <w:r w:rsidR="003D14AF" w:rsidRPr="005F3FCD">
        <w:rPr>
          <w:rFonts w:ascii="Times New Roman" w:hAnsi="Times New Roman"/>
        </w:rPr>
        <w:t>ever-rising cost</w:t>
      </w:r>
      <w:r w:rsidR="003D14AF">
        <w:rPr>
          <w:rFonts w:ascii="Times New Roman" w:hAnsi="Times New Roman"/>
        </w:rPr>
        <w:t xml:space="preserve">s of fuel. </w:t>
      </w:r>
    </w:p>
    <w:p w14:paraId="67C8ACB1" w14:textId="1E06E083" w:rsidR="003D14AF" w:rsidRPr="00C75202" w:rsidRDefault="003D14AF" w:rsidP="003D14AF">
      <w:pPr>
        <w:spacing w:after="0" w:line="360" w:lineRule="auto"/>
        <w:jc w:val="both"/>
        <w:rPr>
          <w:rFonts w:ascii="Times New Roman" w:hAnsi="Times New Roman"/>
          <w:sz w:val="12"/>
          <w:szCs w:val="12"/>
        </w:rPr>
      </w:pPr>
    </w:p>
    <w:p w14:paraId="795CBB18" w14:textId="0E637A95" w:rsidR="003D14AF" w:rsidRDefault="003D14AF" w:rsidP="00596280">
      <w:pPr>
        <w:spacing w:after="0" w:line="360" w:lineRule="auto"/>
        <w:jc w:val="both"/>
        <w:rPr>
          <w:rFonts w:ascii="Times New Roman" w:hAnsi="Times New Roman"/>
        </w:rPr>
      </w:pPr>
      <w:r>
        <w:rPr>
          <w:rFonts w:ascii="Times New Roman" w:hAnsi="Times New Roman"/>
        </w:rPr>
        <w:t>Constrained by these realities, m</w:t>
      </w:r>
      <w:r w:rsidRPr="005F3FCD">
        <w:rPr>
          <w:rFonts w:ascii="Times New Roman" w:hAnsi="Times New Roman"/>
        </w:rPr>
        <w:t xml:space="preserve">ost poor households </w:t>
      </w:r>
      <w:r>
        <w:rPr>
          <w:rFonts w:ascii="Times New Roman" w:hAnsi="Times New Roman"/>
        </w:rPr>
        <w:t xml:space="preserve">in </w:t>
      </w:r>
      <w:r w:rsidR="00C75202">
        <w:rPr>
          <w:rFonts w:ascii="Times New Roman" w:hAnsi="Times New Roman"/>
        </w:rPr>
        <w:t>the country</w:t>
      </w:r>
      <w:r>
        <w:rPr>
          <w:rFonts w:ascii="Times New Roman" w:hAnsi="Times New Roman"/>
        </w:rPr>
        <w:t xml:space="preserve"> </w:t>
      </w:r>
      <w:r w:rsidRPr="005F3FCD">
        <w:rPr>
          <w:rFonts w:ascii="Times New Roman" w:hAnsi="Times New Roman"/>
        </w:rPr>
        <w:t xml:space="preserve">are reverting to agro-waste use for </w:t>
      </w:r>
      <w:r>
        <w:rPr>
          <w:rFonts w:ascii="Times New Roman" w:hAnsi="Times New Roman"/>
        </w:rPr>
        <w:t xml:space="preserve">their </w:t>
      </w:r>
      <w:r w:rsidRPr="005F3FCD">
        <w:rPr>
          <w:rFonts w:ascii="Times New Roman" w:hAnsi="Times New Roman"/>
        </w:rPr>
        <w:t xml:space="preserve">cooking and heating. Burning </w:t>
      </w:r>
      <w:r>
        <w:rPr>
          <w:rFonts w:ascii="Times New Roman" w:hAnsi="Times New Roman"/>
        </w:rPr>
        <w:t xml:space="preserve">of </w:t>
      </w:r>
      <w:r w:rsidRPr="005F3FCD">
        <w:rPr>
          <w:rFonts w:ascii="Times New Roman" w:hAnsi="Times New Roman"/>
        </w:rPr>
        <w:t>agro-wastes releases large amounts of particulate matter in the atmosphere. Concentrations of fine particulate matter (PM</w:t>
      </w:r>
      <w:r w:rsidRPr="005F3FCD">
        <w:rPr>
          <w:rFonts w:ascii="Times New Roman" w:hAnsi="Times New Roman"/>
          <w:vertAlign w:val="subscript"/>
        </w:rPr>
        <w:t>2.5</w:t>
      </w:r>
      <w:r w:rsidRPr="005F3FCD">
        <w:rPr>
          <w:rFonts w:ascii="Times New Roman" w:hAnsi="Times New Roman"/>
        </w:rPr>
        <w:t>) cause elevated susceptibility to respiratory diseases, pulmonary and systemic oxidative stress, and diabetes mellitus, among other ailments</w:t>
      </w:r>
      <w:sdt>
        <w:sdtPr>
          <w:rPr>
            <w:rFonts w:ascii="Times New Roman" w:hAnsi="Times New Roman"/>
          </w:rPr>
          <w:id w:val="822467562"/>
          <w:citation/>
        </w:sdtPr>
        <w:sdtEndPr/>
        <w:sdtContent>
          <w:r w:rsidRPr="005F3FCD">
            <w:rPr>
              <w:rFonts w:ascii="Times New Roman" w:hAnsi="Times New Roman"/>
            </w:rPr>
            <w:fldChar w:fldCharType="begin"/>
          </w:r>
          <w:r w:rsidRPr="005F3FCD">
            <w:rPr>
              <w:rFonts w:ascii="Times New Roman" w:hAnsi="Times New Roman"/>
              <w:lang w:val="en-US"/>
            </w:rPr>
            <w:instrText xml:space="preserve"> CITATION Tao18 \l 1033 </w:instrText>
          </w:r>
          <w:r w:rsidRPr="005F3FCD">
            <w:rPr>
              <w:rFonts w:ascii="Times New Roman" w:hAnsi="Times New Roman"/>
            </w:rPr>
            <w:fldChar w:fldCharType="separate"/>
          </w:r>
          <w:r w:rsidR="00F845CA">
            <w:rPr>
              <w:rFonts w:ascii="Times New Roman" w:hAnsi="Times New Roman"/>
              <w:noProof/>
              <w:lang w:val="en-US"/>
            </w:rPr>
            <w:t xml:space="preserve"> </w:t>
          </w:r>
          <w:r w:rsidR="00F845CA" w:rsidRPr="00F845CA">
            <w:rPr>
              <w:rFonts w:ascii="Times New Roman" w:hAnsi="Times New Roman"/>
              <w:noProof/>
              <w:lang w:val="en-US"/>
            </w:rPr>
            <w:t>(Tao, et al., 2018)</w:t>
          </w:r>
          <w:r w:rsidRPr="005F3FCD">
            <w:rPr>
              <w:rFonts w:ascii="Times New Roman" w:hAnsi="Times New Roman"/>
            </w:rPr>
            <w:fldChar w:fldCharType="end"/>
          </w:r>
        </w:sdtContent>
      </w:sdt>
      <w:r>
        <w:rPr>
          <w:rFonts w:ascii="Times New Roman" w:hAnsi="Times New Roman"/>
        </w:rPr>
        <w:t>.</w:t>
      </w:r>
    </w:p>
    <w:p w14:paraId="27C5872D" w14:textId="77777777" w:rsidR="003D14AF" w:rsidRPr="00C75202" w:rsidRDefault="003D14AF" w:rsidP="00596280">
      <w:pPr>
        <w:spacing w:after="0" w:line="360" w:lineRule="auto"/>
        <w:jc w:val="both"/>
        <w:rPr>
          <w:rFonts w:ascii="Times New Roman" w:hAnsi="Times New Roman"/>
          <w:sz w:val="12"/>
          <w:szCs w:val="12"/>
        </w:rPr>
      </w:pPr>
    </w:p>
    <w:p w14:paraId="07AD0F3B" w14:textId="28E8B229" w:rsidR="006A7BEA" w:rsidRPr="00ED126F" w:rsidRDefault="00D33363" w:rsidP="006A7BEA">
      <w:pPr>
        <w:spacing w:after="0" w:line="360" w:lineRule="auto"/>
        <w:jc w:val="both"/>
        <w:rPr>
          <w:rFonts w:ascii="Times New Roman" w:hAnsi="Times New Roman"/>
        </w:rPr>
      </w:pPr>
      <w:r w:rsidRPr="005F3FCD">
        <w:rPr>
          <w:rFonts w:ascii="Times New Roman" w:hAnsi="Times New Roman"/>
        </w:rPr>
        <w:t>R</w:t>
      </w:r>
      <w:r w:rsidR="00DB50C4" w:rsidRPr="005F3FCD">
        <w:rPr>
          <w:rFonts w:ascii="Times New Roman" w:hAnsi="Times New Roman"/>
        </w:rPr>
        <w:t>e</w:t>
      </w:r>
      <w:r w:rsidR="008D2B5F" w:rsidRPr="005F3FCD">
        <w:rPr>
          <w:rFonts w:ascii="Times New Roman" w:hAnsi="Times New Roman"/>
        </w:rPr>
        <w:t xml:space="preserve">liance on wood-fuel for heating and </w:t>
      </w:r>
      <w:r w:rsidR="00DB50C4" w:rsidRPr="005F3FCD">
        <w:rPr>
          <w:rFonts w:ascii="Times New Roman" w:hAnsi="Times New Roman"/>
        </w:rPr>
        <w:t xml:space="preserve">cooking </w:t>
      </w:r>
      <w:r w:rsidR="005B7469" w:rsidRPr="005F3FCD">
        <w:rPr>
          <w:rFonts w:ascii="Times New Roman" w:hAnsi="Times New Roman"/>
        </w:rPr>
        <w:t xml:space="preserve">also </w:t>
      </w:r>
      <w:r w:rsidR="00D96413">
        <w:rPr>
          <w:rFonts w:ascii="Times New Roman" w:hAnsi="Times New Roman"/>
        </w:rPr>
        <w:t xml:space="preserve">exacerbates </w:t>
      </w:r>
      <w:r w:rsidR="00DB50C4" w:rsidRPr="005F3FCD">
        <w:rPr>
          <w:rFonts w:ascii="Times New Roman" w:hAnsi="Times New Roman"/>
        </w:rPr>
        <w:t>deforestation</w:t>
      </w:r>
      <w:r w:rsidR="00C75BCB" w:rsidRPr="005F3FCD">
        <w:rPr>
          <w:rFonts w:ascii="Times New Roman" w:hAnsi="Times New Roman"/>
          <w:noProof/>
          <w:lang w:val="en-US"/>
        </w:rPr>
        <w:t xml:space="preserve"> (Liyama, et al., 2014)</w:t>
      </w:r>
      <w:r w:rsidR="007B7E97" w:rsidRPr="005F3FCD">
        <w:rPr>
          <w:rFonts w:ascii="Times New Roman" w:hAnsi="Times New Roman"/>
        </w:rPr>
        <w:t>, which</w:t>
      </w:r>
      <w:r w:rsidR="003449E4" w:rsidRPr="005F3FCD">
        <w:rPr>
          <w:rFonts w:ascii="Times New Roman" w:hAnsi="Times New Roman"/>
        </w:rPr>
        <w:t xml:space="preserve"> </w:t>
      </w:r>
      <w:r w:rsidR="00DB008D">
        <w:rPr>
          <w:rFonts w:ascii="Times New Roman" w:hAnsi="Times New Roman"/>
        </w:rPr>
        <w:t>destroys</w:t>
      </w:r>
      <w:r w:rsidR="000D33C9" w:rsidRPr="005F3FCD">
        <w:rPr>
          <w:rFonts w:ascii="Times New Roman" w:hAnsi="Times New Roman"/>
        </w:rPr>
        <w:t xml:space="preserve"> forests that are </w:t>
      </w:r>
      <w:r w:rsidR="007B7E97" w:rsidRPr="005F3FCD">
        <w:rPr>
          <w:rFonts w:ascii="Times New Roman" w:hAnsi="Times New Roman"/>
        </w:rPr>
        <w:t>key</w:t>
      </w:r>
      <w:r w:rsidR="008D2B5F" w:rsidRPr="005F3FCD">
        <w:rPr>
          <w:rFonts w:ascii="Times New Roman" w:hAnsi="Times New Roman"/>
        </w:rPr>
        <w:t xml:space="preserve"> carbon sink</w:t>
      </w:r>
      <w:r w:rsidR="000D33C9" w:rsidRPr="005F3FCD">
        <w:rPr>
          <w:rFonts w:ascii="Times New Roman" w:hAnsi="Times New Roman"/>
        </w:rPr>
        <w:t>s</w:t>
      </w:r>
      <w:r w:rsidR="008D2B5F" w:rsidRPr="005F3FCD">
        <w:rPr>
          <w:rFonts w:ascii="Times New Roman" w:hAnsi="Times New Roman"/>
        </w:rPr>
        <w:t xml:space="preserve">. It </w:t>
      </w:r>
      <w:r w:rsidR="00ED126F">
        <w:rPr>
          <w:rFonts w:ascii="Times New Roman" w:hAnsi="Times New Roman"/>
        </w:rPr>
        <w:t>thus</w:t>
      </w:r>
      <w:r w:rsidR="008D2B5F" w:rsidRPr="005F3FCD">
        <w:rPr>
          <w:rFonts w:ascii="Times New Roman" w:hAnsi="Times New Roman"/>
        </w:rPr>
        <w:t xml:space="preserve"> </w:t>
      </w:r>
      <w:r w:rsidR="007B7E97" w:rsidRPr="005F3FCD">
        <w:rPr>
          <w:rFonts w:ascii="Times New Roman" w:hAnsi="Times New Roman"/>
        </w:rPr>
        <w:t>adds</w:t>
      </w:r>
      <w:r w:rsidR="008D2B5F" w:rsidRPr="005F3FCD">
        <w:rPr>
          <w:rFonts w:ascii="Times New Roman" w:hAnsi="Times New Roman"/>
        </w:rPr>
        <w:t xml:space="preserve"> to the burden </w:t>
      </w:r>
      <w:r w:rsidR="007B7E97" w:rsidRPr="005F3FCD">
        <w:rPr>
          <w:rFonts w:ascii="Times New Roman" w:hAnsi="Times New Roman"/>
        </w:rPr>
        <w:t>of</w:t>
      </w:r>
      <w:r w:rsidR="008D2B5F" w:rsidRPr="005F3FCD">
        <w:rPr>
          <w:rFonts w:ascii="Times New Roman" w:hAnsi="Times New Roman"/>
        </w:rPr>
        <w:t xml:space="preserve"> global warming and climate change. The poor, </w:t>
      </w:r>
      <w:r w:rsidR="003D6772">
        <w:rPr>
          <w:rFonts w:ascii="Times New Roman" w:hAnsi="Times New Roman"/>
        </w:rPr>
        <w:t>particularly</w:t>
      </w:r>
      <w:r w:rsidR="008D2B5F" w:rsidRPr="005F3FCD">
        <w:rPr>
          <w:rFonts w:ascii="Times New Roman" w:hAnsi="Times New Roman"/>
        </w:rPr>
        <w:t xml:space="preserve"> women and children, bear the </w:t>
      </w:r>
      <w:r w:rsidR="0038400F" w:rsidRPr="005F3FCD">
        <w:rPr>
          <w:rFonts w:ascii="Times New Roman" w:hAnsi="Times New Roman"/>
        </w:rPr>
        <w:t>bulkiest</w:t>
      </w:r>
      <w:r w:rsidR="008D2B5F" w:rsidRPr="005F3FCD">
        <w:rPr>
          <w:rFonts w:ascii="Times New Roman" w:hAnsi="Times New Roman"/>
        </w:rPr>
        <w:t xml:space="preserve"> impa</w:t>
      </w:r>
      <w:r w:rsidR="00433A00">
        <w:rPr>
          <w:rFonts w:ascii="Times New Roman" w:hAnsi="Times New Roman"/>
        </w:rPr>
        <w:t>ct of climate change</w:t>
      </w:r>
      <w:r w:rsidR="008D2B5F" w:rsidRPr="005F3FCD">
        <w:rPr>
          <w:rFonts w:ascii="Times New Roman" w:hAnsi="Times New Roman"/>
        </w:rPr>
        <w:t xml:space="preserve">. </w:t>
      </w:r>
      <w:r w:rsidR="003449E4" w:rsidRPr="005F3FCD">
        <w:rPr>
          <w:rFonts w:ascii="Times New Roman" w:hAnsi="Times New Roman"/>
        </w:rPr>
        <w:t>P</w:t>
      </w:r>
      <w:r w:rsidRPr="005F3FCD">
        <w:rPr>
          <w:rFonts w:ascii="Times New Roman" w:hAnsi="Times New Roman"/>
        </w:rPr>
        <w:t>overty, pressures of population growth</w:t>
      </w:r>
      <w:r w:rsidR="003449E4" w:rsidRPr="005F3FCD">
        <w:rPr>
          <w:rFonts w:ascii="Times New Roman" w:hAnsi="Times New Roman"/>
        </w:rPr>
        <w:t>, and inadequate i</w:t>
      </w:r>
      <w:r w:rsidR="006E0912">
        <w:rPr>
          <w:rFonts w:ascii="Times New Roman" w:hAnsi="Times New Roman"/>
        </w:rPr>
        <w:t>nnovations in the clean-</w:t>
      </w:r>
      <w:r w:rsidR="00B71B95" w:rsidRPr="005F3FCD">
        <w:rPr>
          <w:rFonts w:ascii="Times New Roman" w:hAnsi="Times New Roman"/>
        </w:rPr>
        <w:t>cook</w:t>
      </w:r>
      <w:r w:rsidR="007B7E97" w:rsidRPr="005F3FCD">
        <w:rPr>
          <w:rFonts w:ascii="Times New Roman" w:hAnsi="Times New Roman"/>
        </w:rPr>
        <w:t>ing</w:t>
      </w:r>
      <w:r w:rsidR="003449E4" w:rsidRPr="005F3FCD">
        <w:rPr>
          <w:rFonts w:ascii="Times New Roman" w:hAnsi="Times New Roman"/>
        </w:rPr>
        <w:t xml:space="preserve"> energy sub-sector</w:t>
      </w:r>
      <w:r w:rsidR="00DC4235" w:rsidRPr="005F3FCD">
        <w:rPr>
          <w:rFonts w:ascii="Times New Roman" w:hAnsi="Times New Roman"/>
        </w:rPr>
        <w:t xml:space="preserve"> have made deforestation a </w:t>
      </w:r>
      <w:r w:rsidR="007B7E97" w:rsidRPr="005F3FCD">
        <w:rPr>
          <w:rFonts w:ascii="Times New Roman" w:hAnsi="Times New Roman"/>
        </w:rPr>
        <w:t>major</w:t>
      </w:r>
      <w:r w:rsidR="00DC4235" w:rsidRPr="005F3FCD">
        <w:rPr>
          <w:rFonts w:ascii="Times New Roman" w:hAnsi="Times New Roman"/>
        </w:rPr>
        <w:t xml:space="preserve"> </w:t>
      </w:r>
      <w:proofErr w:type="spellStart"/>
      <w:r w:rsidR="008D2B5F" w:rsidRPr="005F3FCD">
        <w:rPr>
          <w:rFonts w:ascii="Times New Roman" w:hAnsi="Times New Roman"/>
        </w:rPr>
        <w:t>catastrophie</w:t>
      </w:r>
      <w:proofErr w:type="spellEnd"/>
      <w:r w:rsidR="00C75BCB" w:rsidRPr="005F3FCD">
        <w:rPr>
          <w:rFonts w:ascii="Times New Roman" w:hAnsi="Times New Roman"/>
          <w:noProof/>
          <w:lang w:val="en-US"/>
        </w:rPr>
        <w:t xml:space="preserve"> (Lele, et al., 2013)</w:t>
      </w:r>
      <w:r w:rsidR="00DC4235" w:rsidRPr="005F3FCD">
        <w:rPr>
          <w:rFonts w:ascii="Times New Roman" w:hAnsi="Times New Roman"/>
        </w:rPr>
        <w:t>.</w:t>
      </w:r>
      <w:r w:rsidR="00B71B95" w:rsidRPr="005F3FCD">
        <w:rPr>
          <w:rFonts w:ascii="Times New Roman" w:hAnsi="Times New Roman"/>
        </w:rPr>
        <w:t xml:space="preserve"> </w:t>
      </w:r>
      <w:r w:rsidR="000D33C9" w:rsidRPr="005F3FCD">
        <w:rPr>
          <w:rFonts w:ascii="Times New Roman" w:hAnsi="Times New Roman"/>
        </w:rPr>
        <w:t>Solutions</w:t>
      </w:r>
      <w:r w:rsidR="00B71B95" w:rsidRPr="005F3FCD">
        <w:rPr>
          <w:rFonts w:ascii="Times New Roman" w:hAnsi="Times New Roman"/>
        </w:rPr>
        <w:t xml:space="preserve"> to </w:t>
      </w:r>
      <w:r w:rsidR="009156F2" w:rsidRPr="005F3FCD">
        <w:rPr>
          <w:rFonts w:ascii="Times New Roman" w:hAnsi="Times New Roman"/>
        </w:rPr>
        <w:t>firewood</w:t>
      </w:r>
      <w:r w:rsidR="008F5FF0">
        <w:rPr>
          <w:rFonts w:ascii="Times New Roman" w:hAnsi="Times New Roman"/>
        </w:rPr>
        <w:t>/</w:t>
      </w:r>
      <w:r w:rsidR="009156F2" w:rsidRPr="005F3FCD">
        <w:rPr>
          <w:rFonts w:ascii="Times New Roman" w:hAnsi="Times New Roman"/>
        </w:rPr>
        <w:t>charcoal</w:t>
      </w:r>
      <w:r w:rsidR="00433A00">
        <w:rPr>
          <w:rFonts w:ascii="Times New Roman" w:hAnsi="Times New Roman"/>
        </w:rPr>
        <w:t>-</w:t>
      </w:r>
      <w:r w:rsidR="007B7E97" w:rsidRPr="005F3FCD">
        <w:rPr>
          <w:rFonts w:ascii="Times New Roman" w:hAnsi="Times New Roman"/>
        </w:rPr>
        <w:t>use</w:t>
      </w:r>
      <w:r w:rsidR="000D33C9" w:rsidRPr="005F3FCD">
        <w:rPr>
          <w:rFonts w:ascii="Times New Roman" w:hAnsi="Times New Roman"/>
        </w:rPr>
        <w:t xml:space="preserve"> that are </w:t>
      </w:r>
      <w:r w:rsidR="00433A00">
        <w:rPr>
          <w:rFonts w:ascii="Times New Roman" w:hAnsi="Times New Roman"/>
        </w:rPr>
        <w:t>informed</w:t>
      </w:r>
      <w:r w:rsidR="000D33C9" w:rsidRPr="005F3FCD">
        <w:rPr>
          <w:rFonts w:ascii="Times New Roman" w:hAnsi="Times New Roman"/>
        </w:rPr>
        <w:t xml:space="preserve"> by the</w:t>
      </w:r>
      <w:r w:rsidR="000D755E" w:rsidRPr="005F3FCD">
        <w:rPr>
          <w:rFonts w:ascii="Times New Roman" w:hAnsi="Times New Roman"/>
        </w:rPr>
        <w:t xml:space="preserve"> existing</w:t>
      </w:r>
      <w:r w:rsidR="000D33C9" w:rsidRPr="005F3FCD">
        <w:rPr>
          <w:rFonts w:ascii="Times New Roman" w:hAnsi="Times New Roman"/>
        </w:rPr>
        <w:t xml:space="preserve"> state of poverty, pressures of population growth, and research-</w:t>
      </w:r>
      <w:r w:rsidR="00CD1239">
        <w:rPr>
          <w:rFonts w:ascii="Times New Roman" w:hAnsi="Times New Roman"/>
        </w:rPr>
        <w:t>inspired</w:t>
      </w:r>
      <w:r w:rsidR="000D33C9" w:rsidRPr="005F3FCD">
        <w:rPr>
          <w:rFonts w:ascii="Times New Roman" w:hAnsi="Times New Roman"/>
        </w:rPr>
        <w:t xml:space="preserve"> innovations</w:t>
      </w:r>
      <w:r w:rsidR="005B7469" w:rsidRPr="005F3FCD">
        <w:rPr>
          <w:rFonts w:ascii="Times New Roman" w:hAnsi="Times New Roman"/>
        </w:rPr>
        <w:t xml:space="preserve"> are </w:t>
      </w:r>
      <w:r w:rsidR="008F5FF0">
        <w:rPr>
          <w:rFonts w:ascii="Times New Roman" w:hAnsi="Times New Roman"/>
        </w:rPr>
        <w:t>hence</w:t>
      </w:r>
      <w:r w:rsidR="007B7E97" w:rsidRPr="005F3FCD">
        <w:rPr>
          <w:rFonts w:ascii="Times New Roman" w:hAnsi="Times New Roman"/>
        </w:rPr>
        <w:t xml:space="preserve"> </w:t>
      </w:r>
      <w:r w:rsidR="005B7469" w:rsidRPr="005F3FCD">
        <w:rPr>
          <w:rFonts w:ascii="Times New Roman" w:hAnsi="Times New Roman"/>
        </w:rPr>
        <w:t>urgently required</w:t>
      </w:r>
      <w:r w:rsidR="00596280" w:rsidRPr="005F3FCD">
        <w:rPr>
          <w:rFonts w:ascii="Times New Roman" w:hAnsi="Times New Roman"/>
        </w:rPr>
        <w:t>.</w:t>
      </w:r>
    </w:p>
    <w:p w14:paraId="0DB8C7E4" w14:textId="77777777" w:rsidR="00CA239E" w:rsidRPr="005F3FCD" w:rsidRDefault="00CA239E" w:rsidP="006A7BEA">
      <w:pPr>
        <w:spacing w:after="0" w:line="360" w:lineRule="auto"/>
        <w:jc w:val="both"/>
        <w:rPr>
          <w:rFonts w:ascii="Times New Roman" w:hAnsi="Times New Roman"/>
          <w:sz w:val="12"/>
          <w:szCs w:val="12"/>
        </w:rPr>
      </w:pPr>
    </w:p>
    <w:p w14:paraId="096F5E8D" w14:textId="47304BA8" w:rsidR="00CA239E" w:rsidRPr="005F3FCD" w:rsidRDefault="000776F4" w:rsidP="00CA239E">
      <w:pPr>
        <w:pStyle w:val="ListParagraph"/>
        <w:numPr>
          <w:ilvl w:val="1"/>
          <w:numId w:val="6"/>
        </w:numPr>
        <w:spacing w:after="0" w:line="360" w:lineRule="auto"/>
        <w:ind w:left="426" w:hanging="426"/>
        <w:jc w:val="both"/>
        <w:rPr>
          <w:rFonts w:ascii="Times New Roman" w:hAnsi="Times New Roman"/>
          <w:b/>
        </w:rPr>
      </w:pPr>
      <w:r>
        <w:rPr>
          <w:rFonts w:ascii="Times New Roman" w:hAnsi="Times New Roman"/>
          <w:b/>
        </w:rPr>
        <w:t xml:space="preserve">Evolution of </w:t>
      </w:r>
      <w:r w:rsidR="00EE4EA5">
        <w:rPr>
          <w:rFonts w:ascii="Times New Roman" w:hAnsi="Times New Roman"/>
          <w:b/>
        </w:rPr>
        <w:t>APC’s Idea</w:t>
      </w:r>
      <w:r>
        <w:rPr>
          <w:rFonts w:ascii="Times New Roman" w:hAnsi="Times New Roman"/>
          <w:b/>
        </w:rPr>
        <w:t xml:space="preserve"> for Dealing with the Cooking Energy Challenge in Kenya</w:t>
      </w:r>
    </w:p>
    <w:p w14:paraId="2B020971" w14:textId="4C8124A5" w:rsidR="000151D5" w:rsidRPr="000151D5" w:rsidRDefault="000151D5" w:rsidP="000151D5">
      <w:pPr>
        <w:spacing w:after="0" w:line="360" w:lineRule="auto"/>
        <w:jc w:val="both"/>
        <w:rPr>
          <w:rFonts w:ascii="Times New Roman" w:hAnsi="Times New Roman"/>
        </w:rPr>
      </w:pPr>
      <w:r w:rsidRPr="000151D5">
        <w:rPr>
          <w:rFonts w:ascii="Times New Roman" w:hAnsi="Times New Roman"/>
        </w:rPr>
        <w:t>1.2.1.</w:t>
      </w:r>
      <w:r>
        <w:rPr>
          <w:rFonts w:ascii="Times New Roman" w:hAnsi="Times New Roman"/>
        </w:rPr>
        <w:t xml:space="preserve"> </w:t>
      </w:r>
      <w:r w:rsidRPr="000151D5">
        <w:rPr>
          <w:rFonts w:ascii="Times New Roman" w:hAnsi="Times New Roman"/>
        </w:rPr>
        <w:t>Education</w:t>
      </w:r>
    </w:p>
    <w:p w14:paraId="7C78B603" w14:textId="64019C70" w:rsidR="00FC6148" w:rsidRPr="005F3FCD" w:rsidRDefault="00525CDC" w:rsidP="00EC6AE4">
      <w:pPr>
        <w:spacing w:after="0" w:line="360" w:lineRule="auto"/>
        <w:jc w:val="both"/>
        <w:rPr>
          <w:rFonts w:ascii="Times New Roman" w:hAnsi="Times New Roman"/>
        </w:rPr>
      </w:pPr>
      <w:r w:rsidRPr="005F3FCD">
        <w:rPr>
          <w:rFonts w:ascii="Times New Roman" w:hAnsi="Times New Roman"/>
        </w:rPr>
        <w:t>Since</w:t>
      </w:r>
      <w:r w:rsidR="00873F1A" w:rsidRPr="005F3FCD">
        <w:rPr>
          <w:rFonts w:ascii="Times New Roman" w:hAnsi="Times New Roman"/>
        </w:rPr>
        <w:t xml:space="preserve"> 2007, APC has been implementing </w:t>
      </w:r>
      <w:proofErr w:type="gramStart"/>
      <w:r w:rsidR="00873F1A" w:rsidRPr="005F3FCD">
        <w:rPr>
          <w:rFonts w:ascii="Times New Roman" w:hAnsi="Times New Roman"/>
        </w:rPr>
        <w:t xml:space="preserve">an </w:t>
      </w:r>
      <w:r w:rsidR="00873F1A" w:rsidRPr="005F3FCD">
        <w:rPr>
          <w:rFonts w:ascii="Times New Roman" w:hAnsi="Times New Roman"/>
          <w:i/>
        </w:rPr>
        <w:t>Education &amp; Skilling Programme</w:t>
      </w:r>
      <w:r w:rsidR="00873F1A" w:rsidRPr="005F3FCD">
        <w:rPr>
          <w:rFonts w:ascii="Times New Roman" w:hAnsi="Times New Roman"/>
        </w:rPr>
        <w:t xml:space="preserve"> </w:t>
      </w:r>
      <w:proofErr w:type="spellStart"/>
      <w:r w:rsidR="008851ED">
        <w:rPr>
          <w:rFonts w:ascii="Times New Roman" w:hAnsi="Times New Roman"/>
        </w:rPr>
        <w:t>targettting</w:t>
      </w:r>
      <w:proofErr w:type="spellEnd"/>
      <w:r w:rsidR="008851ED">
        <w:rPr>
          <w:rFonts w:ascii="Times New Roman" w:hAnsi="Times New Roman"/>
        </w:rPr>
        <w:t xml:space="preserve"> Ea</w:t>
      </w:r>
      <w:r w:rsidR="004C1E25">
        <w:rPr>
          <w:rFonts w:ascii="Times New Roman" w:hAnsi="Times New Roman"/>
        </w:rPr>
        <w:t>r</w:t>
      </w:r>
      <w:r w:rsidR="008851ED">
        <w:rPr>
          <w:rFonts w:ascii="Times New Roman" w:hAnsi="Times New Roman"/>
        </w:rPr>
        <w:t>ly Childhood E</w:t>
      </w:r>
      <w:r w:rsidRPr="005F3FCD">
        <w:rPr>
          <w:rFonts w:ascii="Times New Roman" w:hAnsi="Times New Roman"/>
        </w:rPr>
        <w:t xml:space="preserve">ducation (ECD), primary, and secondary </w:t>
      </w:r>
      <w:r w:rsidR="004C1E25">
        <w:rPr>
          <w:rFonts w:ascii="Times New Roman" w:hAnsi="Times New Roman"/>
        </w:rPr>
        <w:t>learners</w:t>
      </w:r>
      <w:proofErr w:type="gramEnd"/>
      <w:r w:rsidRPr="005F3FCD">
        <w:rPr>
          <w:rFonts w:ascii="Times New Roman" w:hAnsi="Times New Roman"/>
        </w:rPr>
        <w:t xml:space="preserve">. The Programme’s </w:t>
      </w:r>
      <w:r w:rsidR="00F32F0B" w:rsidRPr="005F3FCD">
        <w:rPr>
          <w:rFonts w:ascii="Times New Roman" w:hAnsi="Times New Roman"/>
        </w:rPr>
        <w:t>goal</w:t>
      </w:r>
      <w:r w:rsidRPr="005F3FCD">
        <w:rPr>
          <w:rFonts w:ascii="Times New Roman" w:hAnsi="Times New Roman"/>
        </w:rPr>
        <w:t xml:space="preserve"> has been to </w:t>
      </w:r>
      <w:r w:rsidR="004C1E25">
        <w:rPr>
          <w:rFonts w:ascii="Times New Roman" w:hAnsi="Times New Roman"/>
        </w:rPr>
        <w:t>increase</w:t>
      </w:r>
      <w:r w:rsidR="00873F1A" w:rsidRPr="005F3FCD">
        <w:rPr>
          <w:rFonts w:ascii="Times New Roman" w:hAnsi="Times New Roman"/>
        </w:rPr>
        <w:t xml:space="preserve"> access to good quality e</w:t>
      </w:r>
      <w:bookmarkStart w:id="0" w:name="_GoBack"/>
      <w:bookmarkEnd w:id="0"/>
      <w:r w:rsidR="00873F1A" w:rsidRPr="005F3FCD">
        <w:rPr>
          <w:rFonts w:ascii="Times New Roman" w:hAnsi="Times New Roman"/>
        </w:rPr>
        <w:t xml:space="preserve">ducation and relevant </w:t>
      </w:r>
      <w:proofErr w:type="spellStart"/>
      <w:r w:rsidR="00873F1A" w:rsidRPr="005F3FCD">
        <w:rPr>
          <w:rFonts w:ascii="Times New Roman" w:hAnsi="Times New Roman"/>
        </w:rPr>
        <w:t>lifeskills</w:t>
      </w:r>
      <w:proofErr w:type="spellEnd"/>
      <w:r w:rsidR="00873F1A" w:rsidRPr="005F3FCD">
        <w:rPr>
          <w:rFonts w:ascii="Times New Roman" w:hAnsi="Times New Roman"/>
        </w:rPr>
        <w:t xml:space="preserve"> for children and </w:t>
      </w:r>
      <w:r w:rsidR="00590423">
        <w:rPr>
          <w:rFonts w:ascii="Times New Roman" w:hAnsi="Times New Roman"/>
        </w:rPr>
        <w:t xml:space="preserve">young people, particularly </w:t>
      </w:r>
      <w:r w:rsidR="004C1E25">
        <w:rPr>
          <w:rFonts w:ascii="Times New Roman" w:hAnsi="Times New Roman"/>
        </w:rPr>
        <w:t xml:space="preserve">those </w:t>
      </w:r>
      <w:r w:rsidRPr="005F3FCD">
        <w:rPr>
          <w:rFonts w:ascii="Times New Roman" w:hAnsi="Times New Roman"/>
        </w:rPr>
        <w:t>from poor/</w:t>
      </w:r>
      <w:r w:rsidR="00873F1A" w:rsidRPr="005F3FCD">
        <w:rPr>
          <w:rFonts w:ascii="Times New Roman" w:hAnsi="Times New Roman"/>
        </w:rPr>
        <w:t xml:space="preserve">disadvantaged </w:t>
      </w:r>
      <w:r w:rsidR="004C1E25">
        <w:rPr>
          <w:rFonts w:ascii="Times New Roman" w:hAnsi="Times New Roman"/>
        </w:rPr>
        <w:t xml:space="preserve">family </w:t>
      </w:r>
      <w:r w:rsidR="00873F1A" w:rsidRPr="005F3FCD">
        <w:rPr>
          <w:rFonts w:ascii="Times New Roman" w:hAnsi="Times New Roman"/>
        </w:rPr>
        <w:t xml:space="preserve">backgrounds. </w:t>
      </w:r>
    </w:p>
    <w:p w14:paraId="0EEFF611" w14:textId="77777777" w:rsidR="00FC6148" w:rsidRPr="005F3FCD" w:rsidRDefault="00FC6148" w:rsidP="00EC6AE4">
      <w:pPr>
        <w:spacing w:after="0" w:line="360" w:lineRule="auto"/>
        <w:jc w:val="both"/>
        <w:rPr>
          <w:rFonts w:ascii="Times New Roman" w:hAnsi="Times New Roman"/>
          <w:sz w:val="12"/>
          <w:szCs w:val="12"/>
        </w:rPr>
      </w:pPr>
    </w:p>
    <w:p w14:paraId="001AC3EE" w14:textId="5245E230" w:rsidR="00A60991" w:rsidRPr="005F3FCD" w:rsidRDefault="000151D5" w:rsidP="00EC6AE4">
      <w:pPr>
        <w:spacing w:after="0" w:line="360" w:lineRule="auto"/>
        <w:jc w:val="both"/>
        <w:rPr>
          <w:rFonts w:ascii="Times New Roman" w:hAnsi="Times New Roman"/>
        </w:rPr>
      </w:pPr>
      <w:r>
        <w:rPr>
          <w:rFonts w:ascii="Times New Roman" w:hAnsi="Times New Roman"/>
        </w:rPr>
        <w:t>(a)</w:t>
      </w:r>
      <w:r w:rsidR="00A60991" w:rsidRPr="005F3FCD">
        <w:rPr>
          <w:rFonts w:ascii="Times New Roman" w:hAnsi="Times New Roman"/>
        </w:rPr>
        <w:t xml:space="preserve"> Early Childhood Education</w:t>
      </w:r>
    </w:p>
    <w:p w14:paraId="1691149B" w14:textId="4B2E346C" w:rsidR="00EC6AE4" w:rsidRPr="005F3FCD" w:rsidRDefault="008851ED" w:rsidP="00EC6AE4">
      <w:pPr>
        <w:spacing w:after="0" w:line="360" w:lineRule="auto"/>
        <w:jc w:val="both"/>
        <w:rPr>
          <w:rFonts w:ascii="Times New Roman" w:hAnsi="Times New Roman"/>
        </w:rPr>
      </w:pPr>
      <w:r>
        <w:rPr>
          <w:rFonts w:ascii="Times New Roman" w:hAnsi="Times New Roman"/>
        </w:rPr>
        <w:t>Support for ECD</w:t>
      </w:r>
      <w:r w:rsidR="00873F1A" w:rsidRPr="005F3FCD">
        <w:rPr>
          <w:rFonts w:ascii="Times New Roman" w:hAnsi="Times New Roman"/>
        </w:rPr>
        <w:t xml:space="preserve"> </w:t>
      </w:r>
      <w:r w:rsidR="00CB4D30">
        <w:rPr>
          <w:rFonts w:ascii="Times New Roman" w:hAnsi="Times New Roman"/>
        </w:rPr>
        <w:t>is</w:t>
      </w:r>
      <w:r w:rsidR="006A3E28" w:rsidRPr="005F3FCD">
        <w:rPr>
          <w:rFonts w:ascii="Times New Roman" w:hAnsi="Times New Roman"/>
        </w:rPr>
        <w:t xml:space="preserve"> a major component of the </w:t>
      </w:r>
      <w:r>
        <w:rPr>
          <w:rFonts w:ascii="Times New Roman" w:hAnsi="Times New Roman"/>
          <w:i/>
        </w:rPr>
        <w:t>APC Education &amp; Skilling Programme</w:t>
      </w:r>
      <w:r>
        <w:rPr>
          <w:rFonts w:ascii="Times New Roman" w:hAnsi="Times New Roman"/>
        </w:rPr>
        <w:t>.</w:t>
      </w:r>
      <w:r w:rsidR="00401A92" w:rsidRPr="005F3FCD">
        <w:rPr>
          <w:rStyle w:val="FootnoteReference"/>
          <w:rFonts w:ascii="Times New Roman" w:hAnsi="Times New Roman"/>
        </w:rPr>
        <w:footnoteReference w:id="1"/>
      </w:r>
      <w:r>
        <w:rPr>
          <w:rFonts w:ascii="Times New Roman" w:hAnsi="Times New Roman"/>
        </w:rPr>
        <w:t xml:space="preserve"> C</w:t>
      </w:r>
      <w:r w:rsidR="00525CDC" w:rsidRPr="005F3FCD">
        <w:rPr>
          <w:rFonts w:ascii="Times New Roman" w:hAnsi="Times New Roman"/>
        </w:rPr>
        <w:t>hildren from poor/</w:t>
      </w:r>
      <w:r w:rsidR="006A3E28" w:rsidRPr="005F3FCD">
        <w:rPr>
          <w:rFonts w:ascii="Times New Roman" w:hAnsi="Times New Roman"/>
        </w:rPr>
        <w:t xml:space="preserve">disadvantaged households </w:t>
      </w:r>
      <w:r>
        <w:rPr>
          <w:rFonts w:ascii="Times New Roman" w:hAnsi="Times New Roman"/>
        </w:rPr>
        <w:t>are our</w:t>
      </w:r>
      <w:r w:rsidR="006A3E28" w:rsidRPr="005F3FCD">
        <w:rPr>
          <w:rFonts w:ascii="Times New Roman" w:hAnsi="Times New Roman"/>
        </w:rPr>
        <w:t xml:space="preserve"> prime </w:t>
      </w:r>
      <w:proofErr w:type="gramStart"/>
      <w:r w:rsidR="005029C4">
        <w:rPr>
          <w:rFonts w:ascii="Times New Roman" w:hAnsi="Times New Roman"/>
        </w:rPr>
        <w:t>target</w:t>
      </w:r>
      <w:proofErr w:type="gramEnd"/>
      <w:r w:rsidR="006A3E28" w:rsidRPr="005F3FCD">
        <w:rPr>
          <w:rFonts w:ascii="Times New Roman" w:hAnsi="Times New Roman"/>
        </w:rPr>
        <w:t xml:space="preserve">. </w:t>
      </w:r>
      <w:r w:rsidR="00525CDC" w:rsidRPr="005F3FCD">
        <w:rPr>
          <w:rFonts w:ascii="Times New Roman" w:hAnsi="Times New Roman"/>
        </w:rPr>
        <w:t>ECD-based direct support</w:t>
      </w:r>
      <w:r w:rsidR="006A3E28" w:rsidRPr="005F3FCD">
        <w:rPr>
          <w:rFonts w:ascii="Times New Roman" w:hAnsi="Times New Roman"/>
        </w:rPr>
        <w:t xml:space="preserve"> was</w:t>
      </w:r>
      <w:r>
        <w:rPr>
          <w:rFonts w:ascii="Times New Roman" w:hAnsi="Times New Roman"/>
        </w:rPr>
        <w:t xml:space="preserve"> provided</w:t>
      </w:r>
      <w:r w:rsidR="006A3E28" w:rsidRPr="005F3FCD">
        <w:rPr>
          <w:rFonts w:ascii="Times New Roman" w:hAnsi="Times New Roman"/>
        </w:rPr>
        <w:t xml:space="preserve"> </w:t>
      </w:r>
      <w:r w:rsidR="009A74DD">
        <w:rPr>
          <w:rFonts w:ascii="Times New Roman" w:hAnsi="Times New Roman"/>
        </w:rPr>
        <w:t xml:space="preserve">by APC </w:t>
      </w:r>
      <w:r w:rsidR="00CA7622" w:rsidRPr="005F3FCD">
        <w:rPr>
          <w:rFonts w:ascii="Times New Roman" w:hAnsi="Times New Roman"/>
        </w:rPr>
        <w:t>when</w:t>
      </w:r>
      <w:r w:rsidR="006A3E28" w:rsidRPr="005F3FCD">
        <w:rPr>
          <w:rFonts w:ascii="Times New Roman" w:hAnsi="Times New Roman"/>
        </w:rPr>
        <w:t xml:space="preserve"> ECD was </w:t>
      </w:r>
      <w:r w:rsidR="00CB4D30" w:rsidRPr="005F3FCD">
        <w:rPr>
          <w:rFonts w:ascii="Times New Roman" w:hAnsi="Times New Roman"/>
        </w:rPr>
        <w:t xml:space="preserve">generally </w:t>
      </w:r>
      <w:r w:rsidR="00597377">
        <w:rPr>
          <w:rFonts w:ascii="Times New Roman" w:hAnsi="Times New Roman"/>
        </w:rPr>
        <w:t>emphasis</w:t>
      </w:r>
      <w:r w:rsidR="006A3E28" w:rsidRPr="005F3FCD">
        <w:rPr>
          <w:rFonts w:ascii="Times New Roman" w:hAnsi="Times New Roman"/>
        </w:rPr>
        <w:t xml:space="preserve">ed </w:t>
      </w:r>
      <w:r>
        <w:rPr>
          <w:rFonts w:ascii="Times New Roman" w:hAnsi="Times New Roman"/>
        </w:rPr>
        <w:t xml:space="preserve">only </w:t>
      </w:r>
      <w:r w:rsidR="00CA7622" w:rsidRPr="005F3FCD">
        <w:rPr>
          <w:rFonts w:ascii="Times New Roman" w:hAnsi="Times New Roman"/>
        </w:rPr>
        <w:t>at policy level</w:t>
      </w:r>
      <w:r w:rsidR="00CA47AE">
        <w:rPr>
          <w:rFonts w:ascii="Times New Roman" w:hAnsi="Times New Roman"/>
        </w:rPr>
        <w:t xml:space="preserve"> in Kenya</w:t>
      </w:r>
      <w:r w:rsidR="00CA7622" w:rsidRPr="005F3FCD">
        <w:rPr>
          <w:rFonts w:ascii="Times New Roman" w:hAnsi="Times New Roman"/>
        </w:rPr>
        <w:t>. This</w:t>
      </w:r>
      <w:r w:rsidR="006A3E28" w:rsidRPr="005F3FCD">
        <w:rPr>
          <w:rFonts w:ascii="Times New Roman" w:hAnsi="Times New Roman"/>
        </w:rPr>
        <w:t xml:space="preserve"> </w:t>
      </w:r>
      <w:r w:rsidR="00773A0E">
        <w:rPr>
          <w:rFonts w:ascii="Times New Roman" w:hAnsi="Times New Roman"/>
        </w:rPr>
        <w:lastRenderedPageBreak/>
        <w:t>state of affairs</w:t>
      </w:r>
      <w:r w:rsidR="006A3E28" w:rsidRPr="005F3FCD">
        <w:rPr>
          <w:rFonts w:ascii="Times New Roman" w:hAnsi="Times New Roman"/>
        </w:rPr>
        <w:t xml:space="preserve"> changed with the promulgation of t</w:t>
      </w:r>
      <w:r w:rsidR="00773A0E">
        <w:rPr>
          <w:rFonts w:ascii="Times New Roman" w:hAnsi="Times New Roman"/>
        </w:rPr>
        <w:t xml:space="preserve">he Constitution of Kenya 2010, following which ECD was mainstreamed as </w:t>
      </w:r>
      <w:r w:rsidR="007B346E" w:rsidRPr="005F3FCD">
        <w:rPr>
          <w:rFonts w:ascii="Times New Roman" w:hAnsi="Times New Roman"/>
        </w:rPr>
        <w:t>part o</w:t>
      </w:r>
      <w:r w:rsidR="00773A0E">
        <w:rPr>
          <w:rFonts w:ascii="Times New Roman" w:hAnsi="Times New Roman"/>
        </w:rPr>
        <w:t xml:space="preserve">f the basic education agenda, </w:t>
      </w:r>
      <w:r w:rsidR="007B346E" w:rsidRPr="005F3FCD">
        <w:rPr>
          <w:rFonts w:ascii="Times New Roman" w:hAnsi="Times New Roman"/>
        </w:rPr>
        <w:t xml:space="preserve">and is </w:t>
      </w:r>
      <w:r w:rsidR="005331D4">
        <w:rPr>
          <w:rFonts w:ascii="Times New Roman" w:hAnsi="Times New Roman"/>
        </w:rPr>
        <w:t xml:space="preserve">now </w:t>
      </w:r>
      <w:r w:rsidR="007B346E" w:rsidRPr="005F3FCD">
        <w:rPr>
          <w:rFonts w:ascii="Times New Roman" w:hAnsi="Times New Roman"/>
        </w:rPr>
        <w:t xml:space="preserve">one of the functions devolved to County Governments. Accordingly, APC adjusted its approach to ECD from promoting the establishment of community ECD centres to supporting poorer and disadvantaged </w:t>
      </w:r>
      <w:r w:rsidR="00114D81" w:rsidRPr="005F3FCD">
        <w:rPr>
          <w:rFonts w:ascii="Times New Roman" w:hAnsi="Times New Roman"/>
        </w:rPr>
        <w:t xml:space="preserve">families and </w:t>
      </w:r>
      <w:r w:rsidR="007B346E" w:rsidRPr="005F3FCD">
        <w:rPr>
          <w:rFonts w:ascii="Times New Roman" w:hAnsi="Times New Roman"/>
        </w:rPr>
        <w:t>communities</w:t>
      </w:r>
      <w:r w:rsidR="00114D81" w:rsidRPr="005F3FCD">
        <w:rPr>
          <w:rFonts w:ascii="Times New Roman" w:hAnsi="Times New Roman"/>
        </w:rPr>
        <w:t xml:space="preserve"> get the best out of existing </w:t>
      </w:r>
      <w:r w:rsidR="00773A0E">
        <w:rPr>
          <w:rFonts w:ascii="Times New Roman" w:hAnsi="Times New Roman"/>
        </w:rPr>
        <w:t>public sector</w:t>
      </w:r>
      <w:r w:rsidR="00114D81" w:rsidRPr="005F3FCD">
        <w:rPr>
          <w:rFonts w:ascii="Times New Roman" w:hAnsi="Times New Roman"/>
        </w:rPr>
        <w:t xml:space="preserve"> ECD</w:t>
      </w:r>
      <w:r>
        <w:rPr>
          <w:rFonts w:ascii="Times New Roman" w:hAnsi="Times New Roman"/>
        </w:rPr>
        <w:t xml:space="preserve"> </w:t>
      </w:r>
      <w:r w:rsidR="00773A0E">
        <w:rPr>
          <w:rFonts w:ascii="Times New Roman" w:hAnsi="Times New Roman"/>
        </w:rPr>
        <w:t>opportunities</w:t>
      </w:r>
      <w:r w:rsidR="00114D81" w:rsidRPr="005F3FCD">
        <w:rPr>
          <w:rFonts w:ascii="Times New Roman" w:hAnsi="Times New Roman"/>
        </w:rPr>
        <w:t>.</w:t>
      </w:r>
      <w:r w:rsidR="00D21451" w:rsidRPr="005F3FCD">
        <w:rPr>
          <w:rFonts w:ascii="Times New Roman" w:hAnsi="Times New Roman"/>
        </w:rPr>
        <w:t xml:space="preserve"> This has been </w:t>
      </w:r>
      <w:r w:rsidR="00773A0E" w:rsidRPr="005F3FCD">
        <w:rPr>
          <w:rFonts w:ascii="Times New Roman" w:hAnsi="Times New Roman"/>
        </w:rPr>
        <w:t>done</w:t>
      </w:r>
      <w:r w:rsidR="00D21451" w:rsidRPr="005F3FCD">
        <w:rPr>
          <w:rFonts w:ascii="Times New Roman" w:hAnsi="Times New Roman"/>
        </w:rPr>
        <w:t xml:space="preserve"> through targeted</w:t>
      </w:r>
      <w:r w:rsidR="00E7685C" w:rsidRPr="005F3FCD">
        <w:rPr>
          <w:rFonts w:ascii="Times New Roman" w:hAnsi="Times New Roman"/>
        </w:rPr>
        <w:t xml:space="preserve"> </w:t>
      </w:r>
      <w:r w:rsidR="00773A0E">
        <w:rPr>
          <w:rFonts w:ascii="Times New Roman" w:hAnsi="Times New Roman"/>
        </w:rPr>
        <w:t>efforts</w:t>
      </w:r>
      <w:r w:rsidR="00E7685C" w:rsidRPr="005F3FCD">
        <w:rPr>
          <w:rFonts w:ascii="Times New Roman" w:hAnsi="Times New Roman"/>
        </w:rPr>
        <w:t xml:space="preserve"> to address causes of toxic stress and protect</w:t>
      </w:r>
      <w:r w:rsidR="00773A0E">
        <w:rPr>
          <w:rFonts w:ascii="Times New Roman" w:hAnsi="Times New Roman"/>
        </w:rPr>
        <w:t>ion of</w:t>
      </w:r>
      <w:r w:rsidR="00E7685C" w:rsidRPr="005F3FCD">
        <w:rPr>
          <w:rFonts w:ascii="Times New Roman" w:hAnsi="Times New Roman"/>
        </w:rPr>
        <w:t xml:space="preserve"> children from its consequences; infrastructure support;</w:t>
      </w:r>
      <w:r w:rsidR="00D21451" w:rsidRPr="005F3FCD">
        <w:rPr>
          <w:rFonts w:ascii="Times New Roman" w:hAnsi="Times New Roman"/>
        </w:rPr>
        <w:t xml:space="preserve"> support in </w:t>
      </w:r>
      <w:r w:rsidR="00773A0E">
        <w:rPr>
          <w:rFonts w:ascii="Times New Roman" w:hAnsi="Times New Roman"/>
        </w:rPr>
        <w:t xml:space="preserve">the </w:t>
      </w:r>
      <w:proofErr w:type="spellStart"/>
      <w:r w:rsidR="00D21451" w:rsidRPr="005F3FCD">
        <w:rPr>
          <w:rFonts w:ascii="Times New Roman" w:hAnsi="Times New Roman"/>
        </w:rPr>
        <w:t>acquicition</w:t>
      </w:r>
      <w:proofErr w:type="spellEnd"/>
      <w:r w:rsidR="00D21451" w:rsidRPr="005F3FCD">
        <w:rPr>
          <w:rFonts w:ascii="Times New Roman" w:hAnsi="Times New Roman"/>
        </w:rPr>
        <w:t xml:space="preserve"> of </w:t>
      </w:r>
      <w:r w:rsidR="00773A0E">
        <w:rPr>
          <w:rFonts w:ascii="Times New Roman" w:hAnsi="Times New Roman"/>
        </w:rPr>
        <w:t xml:space="preserve">uniforms, </w:t>
      </w:r>
      <w:r w:rsidR="00D21451" w:rsidRPr="005F3FCD">
        <w:rPr>
          <w:rFonts w:ascii="Times New Roman" w:hAnsi="Times New Roman"/>
        </w:rPr>
        <w:t>learning materials</w:t>
      </w:r>
      <w:r w:rsidR="00773A0E">
        <w:rPr>
          <w:rFonts w:ascii="Times New Roman" w:hAnsi="Times New Roman"/>
        </w:rPr>
        <w:t xml:space="preserve">, and </w:t>
      </w:r>
      <w:r w:rsidR="00E7685C" w:rsidRPr="005F3FCD">
        <w:rPr>
          <w:rFonts w:ascii="Times New Roman" w:hAnsi="Times New Roman"/>
        </w:rPr>
        <w:t>feeding programmes;</w:t>
      </w:r>
      <w:r w:rsidR="00D21451" w:rsidRPr="005F3FCD">
        <w:rPr>
          <w:rFonts w:ascii="Times New Roman" w:hAnsi="Times New Roman"/>
        </w:rPr>
        <w:t xml:space="preserve"> and monitoring for quality.</w:t>
      </w:r>
      <w:r w:rsidR="00A4768D" w:rsidRPr="005F3FCD">
        <w:rPr>
          <w:rStyle w:val="FootnoteReference"/>
          <w:rFonts w:ascii="Times New Roman" w:hAnsi="Times New Roman"/>
        </w:rPr>
        <w:footnoteReference w:id="2"/>
      </w:r>
    </w:p>
    <w:p w14:paraId="4A43CC9F" w14:textId="77777777" w:rsidR="002C7E18" w:rsidRPr="005F3FCD" w:rsidRDefault="002C7E18" w:rsidP="00EC6AE4">
      <w:pPr>
        <w:spacing w:after="0" w:line="360" w:lineRule="auto"/>
        <w:jc w:val="both"/>
        <w:rPr>
          <w:rFonts w:ascii="Times New Roman" w:hAnsi="Times New Roman"/>
          <w:sz w:val="12"/>
          <w:szCs w:val="12"/>
        </w:rPr>
      </w:pPr>
    </w:p>
    <w:p w14:paraId="69A06708" w14:textId="046B0C80" w:rsidR="00B445C8" w:rsidRPr="00590423" w:rsidRDefault="00E7685C" w:rsidP="00EC6AE4">
      <w:pPr>
        <w:spacing w:after="0" w:line="360" w:lineRule="auto"/>
        <w:jc w:val="both"/>
        <w:rPr>
          <w:rFonts w:ascii="Times New Roman" w:hAnsi="Times New Roman"/>
        </w:rPr>
      </w:pPr>
      <w:r w:rsidRPr="005F3FCD">
        <w:rPr>
          <w:rFonts w:ascii="Times New Roman" w:hAnsi="Times New Roman"/>
        </w:rPr>
        <w:t>The science</w:t>
      </w:r>
      <w:r w:rsidR="00C118EB" w:rsidRPr="005F3FCD">
        <w:rPr>
          <w:rFonts w:ascii="Times New Roman" w:hAnsi="Times New Roman"/>
        </w:rPr>
        <w:t xml:space="preserve"> of early brain development informs APC’s investments in </w:t>
      </w:r>
      <w:r w:rsidR="00433E90">
        <w:rPr>
          <w:rFonts w:ascii="Times New Roman" w:hAnsi="Times New Roman"/>
        </w:rPr>
        <w:t>ECD</w:t>
      </w:r>
      <w:r w:rsidR="00C118EB" w:rsidRPr="005F3FCD">
        <w:rPr>
          <w:rFonts w:ascii="Times New Roman" w:hAnsi="Times New Roman"/>
        </w:rPr>
        <w:t>.</w:t>
      </w:r>
      <w:r w:rsidR="00A05DC5" w:rsidRPr="005F3FCD">
        <w:rPr>
          <w:rFonts w:ascii="Times New Roman" w:hAnsi="Times New Roman"/>
        </w:rPr>
        <w:t xml:space="preserve"> </w:t>
      </w:r>
      <w:r w:rsidR="003F5C29">
        <w:rPr>
          <w:rFonts w:ascii="Times New Roman" w:hAnsi="Times New Roman"/>
        </w:rPr>
        <w:t>This science</w:t>
      </w:r>
      <w:r w:rsidR="00A05DC5" w:rsidRPr="005F3FCD">
        <w:rPr>
          <w:rFonts w:ascii="Times New Roman" w:hAnsi="Times New Roman"/>
        </w:rPr>
        <w:t xml:space="preserve"> </w:t>
      </w:r>
      <w:r w:rsidR="003F5C29">
        <w:rPr>
          <w:rFonts w:ascii="Times New Roman" w:hAnsi="Times New Roman"/>
        </w:rPr>
        <w:t>comprises of</w:t>
      </w:r>
      <w:r w:rsidR="00A05DC5" w:rsidRPr="005F3FCD">
        <w:rPr>
          <w:rFonts w:ascii="Times New Roman" w:hAnsi="Times New Roman"/>
        </w:rPr>
        <w:t xml:space="preserve"> </w:t>
      </w:r>
      <w:r w:rsidR="000A0050" w:rsidRPr="005F3FCD">
        <w:rPr>
          <w:rFonts w:ascii="Times New Roman" w:hAnsi="Times New Roman"/>
        </w:rPr>
        <w:t xml:space="preserve">5 </w:t>
      </w:r>
      <w:r w:rsidR="00A05DC5" w:rsidRPr="005F3FCD">
        <w:rPr>
          <w:rFonts w:ascii="Times New Roman" w:hAnsi="Times New Roman"/>
        </w:rPr>
        <w:t>basic concepts established over decades of neuros</w:t>
      </w:r>
      <w:r w:rsidR="003F5C29">
        <w:rPr>
          <w:rFonts w:ascii="Times New Roman" w:hAnsi="Times New Roman"/>
        </w:rPr>
        <w:t>cience and behavioural research. The</w:t>
      </w:r>
      <w:r w:rsidR="00A05DC5" w:rsidRPr="005F3FCD">
        <w:rPr>
          <w:rFonts w:ascii="Times New Roman" w:hAnsi="Times New Roman"/>
        </w:rPr>
        <w:t xml:space="preserve"> </w:t>
      </w:r>
      <w:r w:rsidR="003F5C29">
        <w:rPr>
          <w:rFonts w:ascii="Times New Roman" w:hAnsi="Times New Roman"/>
        </w:rPr>
        <w:t>concepts</w:t>
      </w:r>
      <w:r w:rsidR="00A05DC5" w:rsidRPr="005F3FCD">
        <w:rPr>
          <w:rFonts w:ascii="Times New Roman" w:hAnsi="Times New Roman"/>
        </w:rPr>
        <w:t xml:space="preserve"> help illustrate why child development, particularly from birth to five years, is a critical foundation for a prosperous and sustainable society.</w:t>
      </w:r>
      <w:r w:rsidR="004D333F" w:rsidRPr="005F3FCD">
        <w:rPr>
          <w:rFonts w:ascii="Times New Roman" w:hAnsi="Times New Roman"/>
        </w:rPr>
        <w:t xml:space="preserve"> The concepts are</w:t>
      </w:r>
      <w:sdt>
        <w:sdtPr>
          <w:rPr>
            <w:rFonts w:ascii="Times New Roman" w:hAnsi="Times New Roman"/>
          </w:rPr>
          <w:id w:val="340898914"/>
          <w:citation/>
        </w:sdtPr>
        <w:sdtEndPr/>
        <w:sdtContent>
          <w:r w:rsidR="00531FAD" w:rsidRPr="005F3FCD">
            <w:rPr>
              <w:rFonts w:ascii="Times New Roman" w:hAnsi="Times New Roman"/>
            </w:rPr>
            <w:fldChar w:fldCharType="begin"/>
          </w:r>
          <w:r w:rsidR="00531FAD" w:rsidRPr="005F3FCD">
            <w:rPr>
              <w:rFonts w:ascii="Times New Roman" w:hAnsi="Times New Roman"/>
              <w:lang w:val="en-US"/>
            </w:rPr>
            <w:instrText xml:space="preserve"> CITATION Cen07 \l 1033 </w:instrText>
          </w:r>
          <w:r w:rsidR="00531FAD" w:rsidRPr="005F3FCD">
            <w:rPr>
              <w:rFonts w:ascii="Times New Roman" w:hAnsi="Times New Roman"/>
            </w:rPr>
            <w:fldChar w:fldCharType="separate"/>
          </w:r>
          <w:r w:rsidR="00F845CA">
            <w:rPr>
              <w:rFonts w:ascii="Times New Roman" w:hAnsi="Times New Roman"/>
              <w:noProof/>
              <w:lang w:val="en-US"/>
            </w:rPr>
            <w:t xml:space="preserve"> </w:t>
          </w:r>
          <w:r w:rsidR="00F845CA" w:rsidRPr="00F845CA">
            <w:rPr>
              <w:rFonts w:ascii="Times New Roman" w:hAnsi="Times New Roman"/>
              <w:noProof/>
              <w:lang w:val="en-US"/>
            </w:rPr>
            <w:t>(Center on Developing Child, 2007)</w:t>
          </w:r>
          <w:r w:rsidR="00531FAD" w:rsidRPr="005F3FCD">
            <w:rPr>
              <w:rFonts w:ascii="Times New Roman" w:hAnsi="Times New Roman"/>
            </w:rPr>
            <w:fldChar w:fldCharType="end"/>
          </w:r>
        </w:sdtContent>
      </w:sdt>
      <w:r w:rsidR="00531FAD" w:rsidRPr="005F3FCD">
        <w:rPr>
          <w:rFonts w:ascii="Times New Roman" w:hAnsi="Times New Roman"/>
        </w:rPr>
        <w:t>:</w:t>
      </w:r>
    </w:p>
    <w:p w14:paraId="5513CB1C" w14:textId="77777777" w:rsidR="00F94FEB" w:rsidRPr="005F3FCD" w:rsidRDefault="00F94FEB" w:rsidP="00F94FEB">
      <w:pPr>
        <w:pStyle w:val="ListParagraph"/>
        <w:numPr>
          <w:ilvl w:val="0"/>
          <w:numId w:val="9"/>
        </w:numPr>
        <w:spacing w:after="0" w:line="360" w:lineRule="auto"/>
        <w:jc w:val="both"/>
        <w:rPr>
          <w:rFonts w:ascii="Times New Roman" w:hAnsi="Times New Roman"/>
        </w:rPr>
      </w:pPr>
      <w:r w:rsidRPr="005F3FCD">
        <w:rPr>
          <w:rFonts w:ascii="Times New Roman" w:hAnsi="Times New Roman"/>
        </w:rPr>
        <w:t xml:space="preserve">Cognitive, emotional, and social capacities are inextricably intertwined throughout the course of life; </w:t>
      </w:r>
    </w:p>
    <w:p w14:paraId="37DBAEE6" w14:textId="5EED97BB" w:rsidR="00F94FEB" w:rsidRPr="005F3FCD" w:rsidRDefault="00F94FEB" w:rsidP="00F94FEB">
      <w:pPr>
        <w:pStyle w:val="ListParagraph"/>
        <w:numPr>
          <w:ilvl w:val="0"/>
          <w:numId w:val="9"/>
        </w:numPr>
        <w:spacing w:after="0" w:line="360" w:lineRule="auto"/>
        <w:jc w:val="both"/>
        <w:rPr>
          <w:rFonts w:ascii="Times New Roman" w:hAnsi="Times New Roman"/>
        </w:rPr>
      </w:pPr>
      <w:r w:rsidRPr="005F3FCD">
        <w:rPr>
          <w:rFonts w:ascii="Times New Roman" w:hAnsi="Times New Roman"/>
        </w:rPr>
        <w:t>Toxic stress damages the architecture of a developing brain, which could lead to lifelong problems in learning, behaviour,</w:t>
      </w:r>
      <w:r>
        <w:rPr>
          <w:rFonts w:ascii="Times New Roman" w:hAnsi="Times New Roman"/>
        </w:rPr>
        <w:t xml:space="preserve"> and physical and mental health;</w:t>
      </w:r>
    </w:p>
    <w:p w14:paraId="0DE64892" w14:textId="77777777" w:rsidR="00531FAD" w:rsidRPr="005F3FCD" w:rsidRDefault="00531FAD" w:rsidP="00531FAD">
      <w:pPr>
        <w:pStyle w:val="ListParagraph"/>
        <w:numPr>
          <w:ilvl w:val="0"/>
          <w:numId w:val="9"/>
        </w:numPr>
        <w:spacing w:after="0" w:line="360" w:lineRule="auto"/>
        <w:jc w:val="both"/>
        <w:rPr>
          <w:rFonts w:ascii="Times New Roman" w:hAnsi="Times New Roman"/>
        </w:rPr>
      </w:pPr>
      <w:r w:rsidRPr="005F3FCD">
        <w:rPr>
          <w:rFonts w:ascii="Times New Roman" w:hAnsi="Times New Roman"/>
        </w:rPr>
        <w:t>B</w:t>
      </w:r>
      <w:r w:rsidR="004D333F" w:rsidRPr="005F3FCD">
        <w:rPr>
          <w:rFonts w:ascii="Times New Roman" w:hAnsi="Times New Roman"/>
        </w:rPr>
        <w:t xml:space="preserve">rains are built over time, from the bottom up; </w:t>
      </w:r>
    </w:p>
    <w:p w14:paraId="2ECAD584" w14:textId="65216E20" w:rsidR="00531FAD" w:rsidRDefault="00531FAD" w:rsidP="00531FAD">
      <w:pPr>
        <w:pStyle w:val="ListParagraph"/>
        <w:numPr>
          <w:ilvl w:val="0"/>
          <w:numId w:val="9"/>
        </w:numPr>
        <w:spacing w:after="0" w:line="360" w:lineRule="auto"/>
        <w:jc w:val="both"/>
        <w:rPr>
          <w:rFonts w:ascii="Times New Roman" w:hAnsi="Times New Roman"/>
        </w:rPr>
      </w:pPr>
      <w:r w:rsidRPr="005F3FCD">
        <w:rPr>
          <w:rFonts w:ascii="Times New Roman" w:hAnsi="Times New Roman"/>
        </w:rPr>
        <w:t>T</w:t>
      </w:r>
      <w:r w:rsidR="004D333F" w:rsidRPr="005F3FCD">
        <w:rPr>
          <w:rFonts w:ascii="Times New Roman" w:hAnsi="Times New Roman"/>
        </w:rPr>
        <w:t xml:space="preserve">he interactive influences of genes and experience shape the developing brain; </w:t>
      </w:r>
      <w:r w:rsidR="00F94FEB">
        <w:rPr>
          <w:rFonts w:ascii="Times New Roman" w:hAnsi="Times New Roman"/>
        </w:rPr>
        <w:t>and</w:t>
      </w:r>
    </w:p>
    <w:p w14:paraId="026D81BF" w14:textId="6A0AC92E" w:rsidR="000776F4" w:rsidRPr="005F3FCD" w:rsidRDefault="00CE19A7" w:rsidP="00531FAD">
      <w:pPr>
        <w:pStyle w:val="ListParagraph"/>
        <w:numPr>
          <w:ilvl w:val="0"/>
          <w:numId w:val="9"/>
        </w:numPr>
        <w:spacing w:after="0" w:line="360" w:lineRule="auto"/>
        <w:jc w:val="both"/>
        <w:rPr>
          <w:rFonts w:ascii="Times New Roman" w:hAnsi="Times New Roman"/>
        </w:rPr>
      </w:pPr>
      <w:r>
        <w:rPr>
          <w:noProof/>
          <w:lang w:val="en-US"/>
        </w:rPr>
        <mc:AlternateContent>
          <mc:Choice Requires="wpg">
            <w:drawing>
              <wp:anchor distT="0" distB="0" distL="114300" distR="114300" simplePos="0" relativeHeight="252719104" behindDoc="0" locked="0" layoutInCell="1" allowOverlap="1" wp14:anchorId="3AD4E305" wp14:editId="2BC8F1E3">
                <wp:simplePos x="0" y="0"/>
                <wp:positionH relativeFrom="margin">
                  <wp:posOffset>-1087120</wp:posOffset>
                </wp:positionH>
                <wp:positionV relativeFrom="paragraph">
                  <wp:posOffset>205105</wp:posOffset>
                </wp:positionV>
                <wp:extent cx="7648575" cy="4114800"/>
                <wp:effectExtent l="0" t="0" r="0" b="0"/>
                <wp:wrapThrough wrapText="bothSides">
                  <wp:wrapPolygon edited="0">
                    <wp:start x="0" y="0"/>
                    <wp:lineTo x="0" y="21467"/>
                    <wp:lineTo x="21519" y="21467"/>
                    <wp:lineTo x="21519"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648575" cy="4114800"/>
                          <a:chOff x="0" y="0"/>
                          <a:chExt cx="7648575" cy="4114800"/>
                        </a:xfrm>
                        <a:extLst>
                          <a:ext uri="{0CCBE362-F206-4b92-989A-16890622DB6E}">
                            <ma14:wrappingTextBoxFlag xmlns:ma14="http://schemas.microsoft.com/office/mac/drawingml/2011/main" val="1"/>
                          </a:ext>
                        </a:extLst>
                      </wpg:grpSpPr>
                      <wps:wsp>
                        <wps:cNvPr id="13991" name="Text Box 13991"/>
                        <wps:cNvSpPr txBox="1"/>
                        <wps:spPr>
                          <a:xfrm>
                            <a:off x="0" y="0"/>
                            <a:ext cx="7648575" cy="4114800"/>
                          </a:xfrm>
                          <a:prstGeom prst="rect">
                            <a:avLst/>
                          </a:prstGeom>
                          <a:solidFill>
                            <a:schemeClr val="tx2">
                              <a:lumMod val="25000"/>
                              <a:lumOff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741680" cy="324485"/>
                          </a:xfrm>
                          <a:prstGeom prst="rect">
                            <a:avLst/>
                          </a:prstGeom>
                          <a:noFill/>
                          <a:ln>
                            <a:noFill/>
                          </a:ln>
                          <a:effectLst/>
                          <a:extLst>
                            <a:ext uri="{C572A759-6A51-4108-AA02-DFA0A04FC94B}">
                              <ma14:wrappingTextBoxFlag xmlns:ma14="http://schemas.microsoft.com/office/mac/drawingml/2011/main"/>
                            </a:ext>
                          </a:extLst>
                        </wps:spPr>
                        <wps:txbx>
                          <w:txbxContent>
                            <w:p w14:paraId="286AA3E3" w14:textId="77777777" w:rsidR="002E5195" w:rsidRDefault="002E5195" w:rsidP="000776F4">
                              <w:pPr>
                                <w:ind w:left="156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 o:spid="_x0000_s1027" style="position:absolute;left:0;text-align:left;margin-left:-85.55pt;margin-top:16.15pt;width:602.25pt;height:324pt;z-index:252719104;mso-position-horizontal-relative:margin" coordsize="7648575,411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" mv:complextextbox="1">
                <v:shape id="Text Box 13991" o:spid="_x0000_s1028" type="#_x0000_t202" style="position:absolute;width:7648575;height:411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FuFxQAA&#10;AN4AAAAPAAAAZHJzL2Rvd25yZXYueG1sRE9NSwMxEL0L/Q9hCl7EZuuC2G3TUhYK9SBoq4fehmTc&#10;XdxMlkzarv/eCIK3ebzPWW1G36sLRekCG5jPClDENriOGwPvx939EyhJyA77wGTgmwQ268nNCisX&#10;rvxGl0NqVA5hqdBAm9JQaS22JY8yCwNx5j5D9JgyjI12Ea853Pf6oSgetceOc0OLA9Ut2a/D2Rs4&#10;0eso8lGcy+1LfVeX1sbnoxhzOx23S1CJxvQv/nPvXZ5fLhZz+H0n36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YW4XFAAAA3gAAAA8AAAAAAAAAAAAAAAAAlwIAAGRycy9k&#10;b3ducmV2LnhtbFBLBQYAAAAABAAEAPUAAACJAwAAAAA=&#10;" mv:complextextbox="1" fillcolor="#a0c6f0 [831]" stroked="f"/>
                <v:shape id="Text Box 1" o:spid="_x0000_s1029" type="#_x0000_t202" style="position:absolute;left:91440;top:45720;width:741680;height:324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286AA3E3" w14:textId="77777777" w:rsidR="002E5195" w:rsidRDefault="002E5195" w:rsidP="000776F4">
                        <w:pPr>
                          <w:ind w:left="1560"/>
                        </w:pPr>
                      </w:p>
                    </w:txbxContent>
                  </v:textbox>
                </v:shape>
                <w10:wrap type="through" anchorx="margin"/>
              </v:group>
            </w:pict>
          </mc:Fallback>
        </mc:AlternateContent>
      </w:r>
      <w:r w:rsidR="0069338E">
        <w:rPr>
          <w:noProof/>
          <w:lang w:val="en-US"/>
        </w:rPr>
        <mc:AlternateContent>
          <mc:Choice Requires="wps">
            <w:drawing>
              <wp:anchor distT="0" distB="0" distL="114300" distR="114300" simplePos="0" relativeHeight="252721152" behindDoc="0" locked="0" layoutInCell="1" allowOverlap="1" wp14:anchorId="0F4BAF0F" wp14:editId="6785CA84">
                <wp:simplePos x="0" y="0"/>
                <wp:positionH relativeFrom="column">
                  <wp:posOffset>-139700</wp:posOffset>
                </wp:positionH>
                <wp:positionV relativeFrom="paragraph">
                  <wp:posOffset>433705</wp:posOffset>
                </wp:positionV>
                <wp:extent cx="5657850" cy="3771900"/>
                <wp:effectExtent l="0" t="0" r="0" b="12700"/>
                <wp:wrapSquare wrapText="bothSides"/>
                <wp:docPr id="13992" name="Text Box 13992"/>
                <wp:cNvGraphicFramePr/>
                <a:graphic xmlns:a="http://schemas.openxmlformats.org/drawingml/2006/main">
                  <a:graphicData uri="http://schemas.microsoft.com/office/word/2010/wordprocessingShape">
                    <wps:wsp>
                      <wps:cNvSpPr txBox="1"/>
                      <wps:spPr>
                        <a:xfrm>
                          <a:off x="0" y="0"/>
                          <a:ext cx="565785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78F9C" w14:textId="35F812BB" w:rsidR="002E5195" w:rsidRPr="006C6460" w:rsidRDefault="002E5195" w:rsidP="000776F4">
                            <w:pPr>
                              <w:spacing w:after="0"/>
                              <w:ind w:hanging="142"/>
                              <w:rPr>
                                <w:rFonts w:ascii="Times New Roman" w:hAnsi="Times New Roman"/>
                                <w:b/>
                                <w:color w:val="FF0000"/>
                              </w:rPr>
                            </w:pPr>
                            <w:r w:rsidRPr="006C6460">
                              <w:rPr>
                                <w:rFonts w:ascii="Times New Roman" w:hAnsi="Times New Roman"/>
                                <w:b/>
                                <w:color w:val="FF0000"/>
                              </w:rPr>
                              <w:t>KEY ISSUES</w:t>
                            </w:r>
                            <w:r>
                              <w:rPr>
                                <w:rFonts w:ascii="Times New Roman" w:hAnsi="Times New Roman"/>
                                <w:b/>
                                <w:color w:val="FF0000"/>
                              </w:rPr>
                              <w:t xml:space="preserve"> </w:t>
                            </w:r>
                          </w:p>
                          <w:p w14:paraId="547D1682" w14:textId="4D6CFB62" w:rsidR="002E5195" w:rsidRPr="002C7E18" w:rsidRDefault="002E5195" w:rsidP="00246774">
                            <w:pPr>
                              <w:pStyle w:val="ListParagraph"/>
                              <w:numPr>
                                <w:ilvl w:val="0"/>
                                <w:numId w:val="42"/>
                              </w:numPr>
                              <w:spacing w:after="0"/>
                              <w:ind w:left="142" w:hanging="284"/>
                              <w:rPr>
                                <w:rFonts w:ascii="Times New Roman" w:hAnsi="Times New Roman"/>
                                <w:b/>
                              </w:rPr>
                            </w:pPr>
                            <w:r>
                              <w:rPr>
                                <w:rFonts w:ascii="Times New Roman" w:hAnsi="Times New Roman"/>
                                <w:b/>
                              </w:rPr>
                              <w:t>Cognitive, emotional, and social capacities are inextricably intertwined throughout the course of life</w:t>
                            </w:r>
                          </w:p>
                          <w:p w14:paraId="5DD553F7" w14:textId="77777777" w:rsidR="002E5195" w:rsidRPr="002C7E18" w:rsidRDefault="002E5195" w:rsidP="000776F4">
                            <w:pPr>
                              <w:pStyle w:val="ListParagraph"/>
                              <w:tabs>
                                <w:tab w:val="left" w:pos="10065"/>
                              </w:tabs>
                              <w:spacing w:after="0"/>
                              <w:ind w:left="-142"/>
                              <w:jc w:val="both"/>
                              <w:rPr>
                                <w:rFonts w:ascii="Times New Roman" w:hAnsi="Times New Roman"/>
                              </w:rPr>
                            </w:pPr>
                            <w:r>
                              <w:rPr>
                                <w:rFonts w:ascii="Times New Roman" w:hAnsi="Times New Roman"/>
                              </w:rPr>
                              <w:t xml:space="preserve">The brain is a highly inter-related organ. Its multiple functions operate in a richly coordinated fashion. Emotional </w:t>
                            </w:r>
                            <w:proofErr w:type="gramStart"/>
                            <w:r>
                              <w:rPr>
                                <w:rFonts w:ascii="Times New Roman" w:hAnsi="Times New Roman"/>
                              </w:rPr>
                              <w:t>well-being</w:t>
                            </w:r>
                            <w:proofErr w:type="gramEnd"/>
                            <w:r>
                              <w:rPr>
                                <w:rFonts w:ascii="Times New Roman" w:hAnsi="Times New Roman"/>
                              </w:rPr>
                              <w:t xml:space="preserve"> and social competence provide strong foundations for emerging cognitive abilities and, together, they are the bricks and mortar that make the foundation of human development. The emotional and physical health, social skills, and cognitive-linguistic capabilities that emerge in the early years of an individual’s life are all important prerequisites for success in school and later in the workplace and community.</w:t>
                            </w:r>
                          </w:p>
                          <w:p w14:paraId="5C03034B" w14:textId="77777777" w:rsidR="002E5195" w:rsidRPr="000A3D47" w:rsidRDefault="002E5195" w:rsidP="000776F4">
                            <w:pPr>
                              <w:pStyle w:val="ListParagraph"/>
                              <w:spacing w:after="0"/>
                              <w:ind w:left="0"/>
                              <w:rPr>
                                <w:rFonts w:ascii="Times New Roman" w:hAnsi="Times New Roman"/>
                                <w:b/>
                              </w:rPr>
                            </w:pPr>
                          </w:p>
                          <w:p w14:paraId="7AA248E8" w14:textId="72AE38CD" w:rsidR="002E5195" w:rsidRPr="00246774" w:rsidRDefault="002E5195" w:rsidP="00246774">
                            <w:pPr>
                              <w:pStyle w:val="ListParagraph"/>
                              <w:numPr>
                                <w:ilvl w:val="0"/>
                                <w:numId w:val="42"/>
                              </w:numPr>
                              <w:spacing w:after="0"/>
                              <w:ind w:left="142" w:hanging="284"/>
                              <w:rPr>
                                <w:rFonts w:ascii="Times New Roman" w:hAnsi="Times New Roman"/>
                                <w:b/>
                              </w:rPr>
                            </w:pPr>
                            <w:r w:rsidRPr="00246774">
                              <w:rPr>
                                <w:rFonts w:ascii="Times New Roman" w:hAnsi="Times New Roman"/>
                                <w:b/>
                              </w:rPr>
                              <w:t>Toxic stress damages the architecture of a developing brain, which could lead to lifelong problems in learning, behaviour, and physical and mental health</w:t>
                            </w:r>
                          </w:p>
                          <w:p w14:paraId="3ED3E55E" w14:textId="77777777" w:rsidR="002E5195" w:rsidRDefault="002E5195" w:rsidP="000776F4">
                            <w:pPr>
                              <w:spacing w:after="0"/>
                              <w:ind w:left="-142"/>
                              <w:jc w:val="both"/>
                              <w:rPr>
                                <w:rFonts w:ascii="Times New Roman" w:hAnsi="Times New Roman"/>
                              </w:rPr>
                            </w:pPr>
                            <w:r>
                              <w:rPr>
                                <w:rFonts w:ascii="Times New Roman" w:hAnsi="Times New Roman"/>
                              </w:rPr>
                              <w:t xml:space="preserve">Scientists now know that chronic, unrelenting stress in early childhood, </w:t>
                            </w:r>
                            <w:r w:rsidRPr="00650FAB">
                              <w:rPr>
                                <w:rFonts w:ascii="Times New Roman" w:hAnsi="Times New Roman"/>
                                <w:color w:val="E2751D" w:themeColor="accent3"/>
                              </w:rPr>
                              <w:t>caused by extreme poverty</w:t>
                            </w:r>
                            <w:r>
                              <w:rPr>
                                <w:rFonts w:ascii="Times New Roman" w:hAnsi="Times New Roman"/>
                                <w:color w:val="E2751D" w:themeColor="accent3"/>
                              </w:rPr>
                              <w:t>, repeated abuse, or severe maternal depression</w:t>
                            </w:r>
                            <w:r>
                              <w:rPr>
                                <w:rFonts w:ascii="Times New Roman" w:hAnsi="Times New Roman"/>
                              </w:rPr>
                              <w:t xml:space="preserve">, for example, </w:t>
                            </w:r>
                            <w:r>
                              <w:rPr>
                                <w:rFonts w:ascii="Times New Roman" w:hAnsi="Times New Roman"/>
                                <w:color w:val="E2751D" w:themeColor="accent3"/>
                              </w:rPr>
                              <w:t xml:space="preserve">could be toxic to the developing brain. </w:t>
                            </w:r>
                            <w:r w:rsidRPr="00B70FAA">
                              <w:rPr>
                                <w:rFonts w:ascii="Times New Roman" w:hAnsi="Times New Roman"/>
                              </w:rPr>
                              <w:t xml:space="preserve">While positive </w:t>
                            </w:r>
                            <w:proofErr w:type="spellStart"/>
                            <w:r w:rsidRPr="00B70FAA">
                              <w:rPr>
                                <w:rFonts w:ascii="Times New Roman" w:hAnsi="Times New Roman"/>
                              </w:rPr>
                              <w:t>stresss</w:t>
                            </w:r>
                            <w:proofErr w:type="spellEnd"/>
                            <w:r w:rsidRPr="00B70FAA">
                              <w:rPr>
                                <w:rFonts w:ascii="Times New Roman" w:hAnsi="Times New Roman"/>
                              </w:rPr>
                              <w:t xml:space="preserve"> in the form of moderate, short-lived physiological responses to uncomfortable experiences is an important and necessary aspect of healthy development, toxic stress</w:t>
                            </w:r>
                            <w:r>
                              <w:rPr>
                                <w:rFonts w:ascii="Times New Roman" w:hAnsi="Times New Roman"/>
                              </w:rPr>
                              <w:t xml:space="preserve"> is the strong, unrelieved activation of the body’s stress management system. In the absence of the buffering protection of adult support, toxic stress becomes built into the body by processes that shape the architecture of the developing brain. Figure 2 illustrates how toxic/persistent stress changes brain architecture.</w:t>
                            </w:r>
                          </w:p>
                          <w:p w14:paraId="62130F01" w14:textId="77777777" w:rsidR="002E5195" w:rsidRDefault="002E5195" w:rsidP="000776F4">
                            <w:pPr>
                              <w:spacing w:after="0"/>
                              <w:ind w:left="-142"/>
                              <w:jc w:val="both"/>
                              <w:rPr>
                                <w:rFonts w:ascii="Times New Roman" w:hAnsi="Times New Roman"/>
                              </w:rPr>
                            </w:pPr>
                          </w:p>
                          <w:p w14:paraId="717DD7B0" w14:textId="77777777" w:rsidR="002E5195" w:rsidRDefault="002E5195" w:rsidP="000776F4">
                            <w:pPr>
                              <w:spacing w:after="0"/>
                              <w:ind w:left="-142"/>
                              <w:jc w:val="both"/>
                              <w:rPr>
                                <w:rFonts w:ascii="Times New Roman" w:hAnsi="Times New Roman"/>
                              </w:rPr>
                            </w:pPr>
                          </w:p>
                          <w:p w14:paraId="03C86BEF" w14:textId="77777777" w:rsidR="002E5195" w:rsidRDefault="002E5195" w:rsidP="000776F4">
                            <w:pPr>
                              <w:spacing w:after="0"/>
                              <w:ind w:left="-142"/>
                              <w:jc w:val="both"/>
                              <w:rPr>
                                <w:rFonts w:ascii="Times New Roman" w:hAnsi="Times New Roman"/>
                              </w:rPr>
                            </w:pPr>
                          </w:p>
                          <w:p w14:paraId="3AE16001" w14:textId="77777777" w:rsidR="002E5195" w:rsidRDefault="002E5195" w:rsidP="000776F4">
                            <w:pPr>
                              <w:spacing w:after="0"/>
                              <w:ind w:left="-142"/>
                              <w:jc w:val="both"/>
                              <w:rPr>
                                <w:rFonts w:ascii="Times New Roman" w:hAnsi="Times New Roman"/>
                              </w:rPr>
                            </w:pPr>
                          </w:p>
                          <w:p w14:paraId="732CD855" w14:textId="77777777" w:rsidR="002E5195" w:rsidRDefault="002E5195" w:rsidP="000776F4">
                            <w:pPr>
                              <w:spacing w:after="0"/>
                              <w:ind w:left="-142"/>
                              <w:jc w:val="both"/>
                              <w:rPr>
                                <w:rFonts w:ascii="Times New Roman" w:hAnsi="Times New Roman"/>
                              </w:rPr>
                            </w:pPr>
                          </w:p>
                          <w:p w14:paraId="1A742A25" w14:textId="77777777" w:rsidR="002E5195" w:rsidRDefault="002E5195" w:rsidP="000776F4">
                            <w:pPr>
                              <w:spacing w:after="0"/>
                              <w:ind w:left="-142"/>
                              <w:jc w:val="both"/>
                              <w:rPr>
                                <w:rFonts w:ascii="Times New Roman" w:hAnsi="Times New Roman"/>
                              </w:rPr>
                            </w:pPr>
                          </w:p>
                          <w:p w14:paraId="75818B41" w14:textId="77777777" w:rsidR="002E5195" w:rsidRDefault="002E5195" w:rsidP="000776F4">
                            <w:pPr>
                              <w:spacing w:after="0"/>
                              <w:ind w:left="-142"/>
                              <w:jc w:val="both"/>
                              <w:rPr>
                                <w:rFonts w:ascii="Times New Roman" w:hAnsi="Times New Roman"/>
                              </w:rPr>
                            </w:pPr>
                          </w:p>
                          <w:p w14:paraId="05C83733" w14:textId="77777777" w:rsidR="002E5195" w:rsidRDefault="002E5195" w:rsidP="000776F4">
                            <w:pPr>
                              <w:spacing w:after="0"/>
                              <w:ind w:left="-142"/>
                              <w:jc w:val="both"/>
                              <w:rPr>
                                <w:rFonts w:ascii="Times New Roman" w:hAnsi="Times New Roman"/>
                              </w:rPr>
                            </w:pPr>
                          </w:p>
                          <w:p w14:paraId="6CFA594B" w14:textId="77777777" w:rsidR="002E5195" w:rsidRPr="00B70FAA" w:rsidRDefault="002E5195" w:rsidP="000776F4">
                            <w:pPr>
                              <w:spacing w:after="0"/>
                              <w:ind w:left="-142"/>
                              <w:jc w:val="both"/>
                              <w:rPr>
                                <w:rFonts w:ascii="Times New Roman" w:hAnsi="Times New Roman"/>
                              </w:rPr>
                            </w:pPr>
                          </w:p>
                          <w:p w14:paraId="5B40942C" w14:textId="77777777" w:rsidR="002E5195" w:rsidRPr="000A3D47" w:rsidRDefault="002E5195" w:rsidP="000776F4">
                            <w:pPr>
                              <w:spacing w:after="0"/>
                              <w:ind w:left="-142"/>
                              <w:rPr>
                                <w:rFonts w:ascii="Times New Roman" w:hAnsi="Times New Roman"/>
                              </w:rPr>
                            </w:pPr>
                          </w:p>
                          <w:p w14:paraId="578134A0" w14:textId="77777777" w:rsidR="002E5195" w:rsidRDefault="002E5195" w:rsidP="00077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92" o:spid="_x0000_s1030" type="#_x0000_t202" style="position:absolute;left:0;text-align:left;margin-left:-10.95pt;margin-top:34.15pt;width:445.5pt;height:297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" filled="f" stroked="f">
                <v:textbox>
                  <w:txbxContent>
                    <w:p w14:paraId="3EE78F9C" w14:textId="35F812BB" w:rsidR="002E5195" w:rsidRPr="006C6460" w:rsidRDefault="002E5195" w:rsidP="000776F4">
                      <w:pPr>
                        <w:spacing w:after="0"/>
                        <w:ind w:hanging="142"/>
                        <w:rPr>
                          <w:rFonts w:ascii="Times New Roman" w:hAnsi="Times New Roman"/>
                          <w:b/>
                          <w:color w:val="FF0000"/>
                        </w:rPr>
                      </w:pPr>
                      <w:r w:rsidRPr="006C6460">
                        <w:rPr>
                          <w:rFonts w:ascii="Times New Roman" w:hAnsi="Times New Roman"/>
                          <w:b/>
                          <w:color w:val="FF0000"/>
                        </w:rPr>
                        <w:t>KEY ISSUES</w:t>
                      </w:r>
                      <w:r>
                        <w:rPr>
                          <w:rFonts w:ascii="Times New Roman" w:hAnsi="Times New Roman"/>
                          <w:b/>
                          <w:color w:val="FF0000"/>
                        </w:rPr>
                        <w:t xml:space="preserve"> </w:t>
                      </w:r>
                    </w:p>
                    <w:p w14:paraId="547D1682" w14:textId="4D6CFB62" w:rsidR="002E5195" w:rsidRPr="002C7E18" w:rsidRDefault="002E5195" w:rsidP="00246774">
                      <w:pPr>
                        <w:pStyle w:val="ListParagraph"/>
                        <w:numPr>
                          <w:ilvl w:val="0"/>
                          <w:numId w:val="42"/>
                        </w:numPr>
                        <w:spacing w:after="0"/>
                        <w:ind w:left="142" w:hanging="284"/>
                        <w:rPr>
                          <w:rFonts w:ascii="Times New Roman" w:hAnsi="Times New Roman"/>
                          <w:b/>
                        </w:rPr>
                      </w:pPr>
                      <w:r>
                        <w:rPr>
                          <w:rFonts w:ascii="Times New Roman" w:hAnsi="Times New Roman"/>
                          <w:b/>
                        </w:rPr>
                        <w:t>Cognitive, emotional, and social capacities are inextricably intertwined throughout the course of life</w:t>
                      </w:r>
                    </w:p>
                    <w:p w14:paraId="5DD553F7" w14:textId="77777777" w:rsidR="002E5195" w:rsidRPr="002C7E18" w:rsidRDefault="002E5195" w:rsidP="000776F4">
                      <w:pPr>
                        <w:pStyle w:val="ListParagraph"/>
                        <w:tabs>
                          <w:tab w:val="left" w:pos="10065"/>
                        </w:tabs>
                        <w:spacing w:after="0"/>
                        <w:ind w:left="-142"/>
                        <w:jc w:val="both"/>
                        <w:rPr>
                          <w:rFonts w:ascii="Times New Roman" w:hAnsi="Times New Roman"/>
                        </w:rPr>
                      </w:pPr>
                      <w:r>
                        <w:rPr>
                          <w:rFonts w:ascii="Times New Roman" w:hAnsi="Times New Roman"/>
                        </w:rPr>
                        <w:t xml:space="preserve">The brain is a highly inter-related organ. Its multiple functions operate in a richly coordinated fashion. Emotional </w:t>
                      </w:r>
                      <w:proofErr w:type="gramStart"/>
                      <w:r>
                        <w:rPr>
                          <w:rFonts w:ascii="Times New Roman" w:hAnsi="Times New Roman"/>
                        </w:rPr>
                        <w:t>well-being</w:t>
                      </w:r>
                      <w:proofErr w:type="gramEnd"/>
                      <w:r>
                        <w:rPr>
                          <w:rFonts w:ascii="Times New Roman" w:hAnsi="Times New Roman"/>
                        </w:rPr>
                        <w:t xml:space="preserve"> and social competence provide strong foundations for emerging cognitive abilities and, together, they are the bricks and mortar that make the foundation of human development. The emotional and physical health, social skills, and cognitive-linguistic capabilities that emerge in the early years of an individual’s life are all important prerequisites for success in school and later in the workplace and community.</w:t>
                      </w:r>
                    </w:p>
                    <w:p w14:paraId="5C03034B" w14:textId="77777777" w:rsidR="002E5195" w:rsidRPr="000A3D47" w:rsidRDefault="002E5195" w:rsidP="000776F4">
                      <w:pPr>
                        <w:pStyle w:val="ListParagraph"/>
                        <w:spacing w:after="0"/>
                        <w:ind w:left="0"/>
                        <w:rPr>
                          <w:rFonts w:ascii="Times New Roman" w:hAnsi="Times New Roman"/>
                          <w:b/>
                        </w:rPr>
                      </w:pPr>
                    </w:p>
                    <w:p w14:paraId="7AA248E8" w14:textId="72AE38CD" w:rsidR="002E5195" w:rsidRPr="00246774" w:rsidRDefault="002E5195" w:rsidP="00246774">
                      <w:pPr>
                        <w:pStyle w:val="ListParagraph"/>
                        <w:numPr>
                          <w:ilvl w:val="0"/>
                          <w:numId w:val="42"/>
                        </w:numPr>
                        <w:spacing w:after="0"/>
                        <w:ind w:left="142" w:hanging="284"/>
                        <w:rPr>
                          <w:rFonts w:ascii="Times New Roman" w:hAnsi="Times New Roman"/>
                          <w:b/>
                        </w:rPr>
                      </w:pPr>
                      <w:r w:rsidRPr="00246774">
                        <w:rPr>
                          <w:rFonts w:ascii="Times New Roman" w:hAnsi="Times New Roman"/>
                          <w:b/>
                        </w:rPr>
                        <w:t>Toxic stress damages the architecture of a developing brain, which could lead to lifelong problems in learning, behaviour, and physical and mental health</w:t>
                      </w:r>
                    </w:p>
                    <w:p w14:paraId="3ED3E55E" w14:textId="77777777" w:rsidR="002E5195" w:rsidRDefault="002E5195" w:rsidP="000776F4">
                      <w:pPr>
                        <w:spacing w:after="0"/>
                        <w:ind w:left="-142"/>
                        <w:jc w:val="both"/>
                        <w:rPr>
                          <w:rFonts w:ascii="Times New Roman" w:hAnsi="Times New Roman"/>
                        </w:rPr>
                      </w:pPr>
                      <w:r>
                        <w:rPr>
                          <w:rFonts w:ascii="Times New Roman" w:hAnsi="Times New Roman"/>
                        </w:rPr>
                        <w:t xml:space="preserve">Scientists now know that chronic, unrelenting stress in early childhood, </w:t>
                      </w:r>
                      <w:r w:rsidRPr="00650FAB">
                        <w:rPr>
                          <w:rFonts w:ascii="Times New Roman" w:hAnsi="Times New Roman"/>
                          <w:color w:val="E2751D" w:themeColor="accent3"/>
                        </w:rPr>
                        <w:t>caused by extreme poverty</w:t>
                      </w:r>
                      <w:r>
                        <w:rPr>
                          <w:rFonts w:ascii="Times New Roman" w:hAnsi="Times New Roman"/>
                          <w:color w:val="E2751D" w:themeColor="accent3"/>
                        </w:rPr>
                        <w:t>, repeated abuse, or severe maternal depression</w:t>
                      </w:r>
                      <w:r>
                        <w:rPr>
                          <w:rFonts w:ascii="Times New Roman" w:hAnsi="Times New Roman"/>
                        </w:rPr>
                        <w:t xml:space="preserve">, for example, </w:t>
                      </w:r>
                      <w:r>
                        <w:rPr>
                          <w:rFonts w:ascii="Times New Roman" w:hAnsi="Times New Roman"/>
                          <w:color w:val="E2751D" w:themeColor="accent3"/>
                        </w:rPr>
                        <w:t xml:space="preserve">could be toxic to the developing brain. </w:t>
                      </w:r>
                      <w:r w:rsidRPr="00B70FAA">
                        <w:rPr>
                          <w:rFonts w:ascii="Times New Roman" w:hAnsi="Times New Roman"/>
                        </w:rPr>
                        <w:t xml:space="preserve">While positive </w:t>
                      </w:r>
                      <w:proofErr w:type="spellStart"/>
                      <w:r w:rsidRPr="00B70FAA">
                        <w:rPr>
                          <w:rFonts w:ascii="Times New Roman" w:hAnsi="Times New Roman"/>
                        </w:rPr>
                        <w:t>stresss</w:t>
                      </w:r>
                      <w:proofErr w:type="spellEnd"/>
                      <w:r w:rsidRPr="00B70FAA">
                        <w:rPr>
                          <w:rFonts w:ascii="Times New Roman" w:hAnsi="Times New Roman"/>
                        </w:rPr>
                        <w:t xml:space="preserve"> in the form of moderate, short-lived physiological responses to uncomfortable experiences is an important and necessary aspect of healthy development, toxic stress</w:t>
                      </w:r>
                      <w:r>
                        <w:rPr>
                          <w:rFonts w:ascii="Times New Roman" w:hAnsi="Times New Roman"/>
                        </w:rPr>
                        <w:t xml:space="preserve"> is the strong, unrelieved activation of the body’s stress management system. In the absence of the buffering protection of adult support, toxic stress becomes built into the body by processes that shape the architecture of the developing brain. Figure 2 illustrates how toxic/persistent stress changes brain architecture.</w:t>
                      </w:r>
                    </w:p>
                    <w:p w14:paraId="62130F01" w14:textId="77777777" w:rsidR="002E5195" w:rsidRDefault="002E5195" w:rsidP="000776F4">
                      <w:pPr>
                        <w:spacing w:after="0"/>
                        <w:ind w:left="-142"/>
                        <w:jc w:val="both"/>
                        <w:rPr>
                          <w:rFonts w:ascii="Times New Roman" w:hAnsi="Times New Roman"/>
                        </w:rPr>
                      </w:pPr>
                    </w:p>
                    <w:p w14:paraId="717DD7B0" w14:textId="77777777" w:rsidR="002E5195" w:rsidRDefault="002E5195" w:rsidP="000776F4">
                      <w:pPr>
                        <w:spacing w:after="0"/>
                        <w:ind w:left="-142"/>
                        <w:jc w:val="both"/>
                        <w:rPr>
                          <w:rFonts w:ascii="Times New Roman" w:hAnsi="Times New Roman"/>
                        </w:rPr>
                      </w:pPr>
                    </w:p>
                    <w:p w14:paraId="03C86BEF" w14:textId="77777777" w:rsidR="002E5195" w:rsidRDefault="002E5195" w:rsidP="000776F4">
                      <w:pPr>
                        <w:spacing w:after="0"/>
                        <w:ind w:left="-142"/>
                        <w:jc w:val="both"/>
                        <w:rPr>
                          <w:rFonts w:ascii="Times New Roman" w:hAnsi="Times New Roman"/>
                        </w:rPr>
                      </w:pPr>
                    </w:p>
                    <w:p w14:paraId="3AE16001" w14:textId="77777777" w:rsidR="002E5195" w:rsidRDefault="002E5195" w:rsidP="000776F4">
                      <w:pPr>
                        <w:spacing w:after="0"/>
                        <w:ind w:left="-142"/>
                        <w:jc w:val="both"/>
                        <w:rPr>
                          <w:rFonts w:ascii="Times New Roman" w:hAnsi="Times New Roman"/>
                        </w:rPr>
                      </w:pPr>
                    </w:p>
                    <w:p w14:paraId="732CD855" w14:textId="77777777" w:rsidR="002E5195" w:rsidRDefault="002E5195" w:rsidP="000776F4">
                      <w:pPr>
                        <w:spacing w:after="0"/>
                        <w:ind w:left="-142"/>
                        <w:jc w:val="both"/>
                        <w:rPr>
                          <w:rFonts w:ascii="Times New Roman" w:hAnsi="Times New Roman"/>
                        </w:rPr>
                      </w:pPr>
                    </w:p>
                    <w:p w14:paraId="1A742A25" w14:textId="77777777" w:rsidR="002E5195" w:rsidRDefault="002E5195" w:rsidP="000776F4">
                      <w:pPr>
                        <w:spacing w:after="0"/>
                        <w:ind w:left="-142"/>
                        <w:jc w:val="both"/>
                        <w:rPr>
                          <w:rFonts w:ascii="Times New Roman" w:hAnsi="Times New Roman"/>
                        </w:rPr>
                      </w:pPr>
                    </w:p>
                    <w:p w14:paraId="75818B41" w14:textId="77777777" w:rsidR="002E5195" w:rsidRDefault="002E5195" w:rsidP="000776F4">
                      <w:pPr>
                        <w:spacing w:after="0"/>
                        <w:ind w:left="-142"/>
                        <w:jc w:val="both"/>
                        <w:rPr>
                          <w:rFonts w:ascii="Times New Roman" w:hAnsi="Times New Roman"/>
                        </w:rPr>
                      </w:pPr>
                    </w:p>
                    <w:p w14:paraId="05C83733" w14:textId="77777777" w:rsidR="002E5195" w:rsidRDefault="002E5195" w:rsidP="000776F4">
                      <w:pPr>
                        <w:spacing w:after="0"/>
                        <w:ind w:left="-142"/>
                        <w:jc w:val="both"/>
                        <w:rPr>
                          <w:rFonts w:ascii="Times New Roman" w:hAnsi="Times New Roman"/>
                        </w:rPr>
                      </w:pPr>
                    </w:p>
                    <w:p w14:paraId="6CFA594B" w14:textId="77777777" w:rsidR="002E5195" w:rsidRPr="00B70FAA" w:rsidRDefault="002E5195" w:rsidP="000776F4">
                      <w:pPr>
                        <w:spacing w:after="0"/>
                        <w:ind w:left="-142"/>
                        <w:jc w:val="both"/>
                        <w:rPr>
                          <w:rFonts w:ascii="Times New Roman" w:hAnsi="Times New Roman"/>
                        </w:rPr>
                      </w:pPr>
                    </w:p>
                    <w:p w14:paraId="5B40942C" w14:textId="77777777" w:rsidR="002E5195" w:rsidRPr="000A3D47" w:rsidRDefault="002E5195" w:rsidP="000776F4">
                      <w:pPr>
                        <w:spacing w:after="0"/>
                        <w:ind w:left="-142"/>
                        <w:rPr>
                          <w:rFonts w:ascii="Times New Roman" w:hAnsi="Times New Roman"/>
                        </w:rPr>
                      </w:pPr>
                    </w:p>
                    <w:p w14:paraId="578134A0" w14:textId="77777777" w:rsidR="002E5195" w:rsidRDefault="002E5195" w:rsidP="000776F4"/>
                  </w:txbxContent>
                </v:textbox>
                <w10:wrap type="square"/>
              </v:shape>
            </w:pict>
          </mc:Fallback>
        </mc:AlternateContent>
      </w:r>
      <w:r w:rsidR="000776F4">
        <w:rPr>
          <w:rFonts w:ascii="Times New Roman" w:hAnsi="Times New Roman"/>
        </w:rPr>
        <w:t>The brain’s capacity for change decreases with age.</w:t>
      </w:r>
    </w:p>
    <w:p w14:paraId="57F895E6" w14:textId="4D1D2EB8" w:rsidR="00581C74" w:rsidRPr="000776F4" w:rsidRDefault="00CE19A7" w:rsidP="000776F4">
      <w:pPr>
        <w:spacing w:after="0" w:line="360" w:lineRule="auto"/>
        <w:jc w:val="both"/>
        <w:rPr>
          <w:rFonts w:ascii="Times New Roman" w:hAnsi="Times New Roman"/>
        </w:rPr>
      </w:pPr>
      <w:r>
        <w:rPr>
          <w:noProof/>
          <w:lang w:val="en-US"/>
        </w:rPr>
        <w:lastRenderedPageBreak/>
        <mc:AlternateContent>
          <mc:Choice Requires="wpg">
            <w:drawing>
              <wp:anchor distT="0" distB="0" distL="114300" distR="114300" simplePos="0" relativeHeight="252612608" behindDoc="0" locked="0" layoutInCell="1" allowOverlap="1" wp14:anchorId="739623A7" wp14:editId="314434B7">
                <wp:simplePos x="0" y="0"/>
                <wp:positionH relativeFrom="margin">
                  <wp:posOffset>-1087120</wp:posOffset>
                </wp:positionH>
                <wp:positionV relativeFrom="paragraph">
                  <wp:posOffset>-114300</wp:posOffset>
                </wp:positionV>
                <wp:extent cx="7648575" cy="5143500"/>
                <wp:effectExtent l="0" t="0" r="0" b="12700"/>
                <wp:wrapThrough wrapText="bothSides">
                  <wp:wrapPolygon edited="0">
                    <wp:start x="0" y="0"/>
                    <wp:lineTo x="0" y="21547"/>
                    <wp:lineTo x="21519" y="21547"/>
                    <wp:lineTo x="21519"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7648575" cy="5143500"/>
                          <a:chOff x="0" y="0"/>
                          <a:chExt cx="7648575" cy="5143500"/>
                        </a:xfrm>
                        <a:extLst>
                          <a:ext uri="{0CCBE362-F206-4b92-989A-16890622DB6E}">
                            <ma14:wrappingTextBoxFlag xmlns:ma14="http://schemas.microsoft.com/office/mac/drawingml/2011/main" val="1"/>
                          </a:ext>
                        </a:extLst>
                      </wpg:grpSpPr>
                      <wps:wsp>
                        <wps:cNvPr id="11" name="Text Box 11"/>
                        <wps:cNvSpPr txBox="1"/>
                        <wps:spPr>
                          <a:xfrm>
                            <a:off x="0" y="0"/>
                            <a:ext cx="7648575" cy="5143500"/>
                          </a:xfrm>
                          <a:prstGeom prst="rect">
                            <a:avLst/>
                          </a:prstGeom>
                          <a:solidFill>
                            <a:schemeClr val="tx2">
                              <a:lumMod val="25000"/>
                              <a:lumOff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741680" cy="324485"/>
                          </a:xfrm>
                          <a:prstGeom prst="rect">
                            <a:avLst/>
                          </a:prstGeom>
                          <a:noFill/>
                          <a:ln>
                            <a:noFill/>
                          </a:ln>
                          <a:effectLst/>
                          <a:extLst>
                            <a:ext uri="{C572A759-6A51-4108-AA02-DFA0A04FC94B}">
                              <ma14:wrappingTextBoxFlag xmlns:ma14="http://schemas.microsoft.com/office/mac/drawingml/2011/main"/>
                            </a:ext>
                          </a:extLst>
                        </wps:spPr>
                        <wps:txbx>
                          <w:txbxContent>
                            <w:p w14:paraId="74716C27" w14:textId="77777777" w:rsidR="002E5195" w:rsidRDefault="002E5195" w:rsidP="00581C74">
                              <w:pPr>
                                <w:ind w:left="156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 o:spid="_x0000_s1031" style="position:absolute;left:0;text-align:left;margin-left:-85.55pt;margin-top:-8.95pt;width:602.25pt;height:405pt;z-index:252612608;mso-position-horizontal-relative:margin" coordsize="7648575,5143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" mv:complextextbox="1">
                <v:shape id="Text Box 11" o:spid="_x0000_s1032" type="#_x0000_t202" style="position:absolute;width:7648575;height:514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OgQwgAA&#10;ANsAAAAPAAAAZHJzL2Rvd25yZXYueG1sRE9LawIxEL4X+h/CFHopmlWhlNUosiDooeCjPfQ2JNPd&#10;pZvJkom6/feNIPQ2H99zFqvBd+pCUdrABibjAhSxDa7l2sDHaTN6AyUJ2WEXmAz8ksBq+fiwwNKF&#10;Kx/ocky1yiEsJRpoUupLrcU25FHGoSfO3HeIHlOGsdYu4jWH+05Pi+JVe2w5NzTYU9WQ/TmevYEv&#10;2g8in8V5tn6vXqqZtXF3EmOen4b1HFSiIf2L7+6ty/MncPslH6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M6BDCAAAA2wAAAA8AAAAAAAAAAAAAAAAAlwIAAGRycy9kb3du&#10;cmV2LnhtbFBLBQYAAAAABAAEAPUAAACGAwAAAAA=&#10;" mv:complextextbox="1" fillcolor="#a0c6f0 [831]" stroked="f"/>
                <v:shape id="Text Box 3" o:spid="_x0000_s1033" type="#_x0000_t202" style="position:absolute;left:91440;top:45720;width:741680;height:324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14:paraId="74716C27" w14:textId="77777777" w:rsidR="002E5195" w:rsidRDefault="002E5195" w:rsidP="00581C74">
                        <w:pPr>
                          <w:ind w:left="1560"/>
                        </w:pPr>
                      </w:p>
                    </w:txbxContent>
                  </v:textbox>
                </v:shape>
                <w10:wrap type="through" anchorx="margin"/>
              </v:group>
            </w:pict>
          </mc:Fallback>
        </mc:AlternateContent>
      </w:r>
      <w:r w:rsidR="000151D5">
        <w:rPr>
          <w:noProof/>
          <w:lang w:val="en-US"/>
        </w:rPr>
        <mc:AlternateContent>
          <mc:Choice Requires="wps">
            <w:drawing>
              <wp:anchor distT="0" distB="0" distL="114300" distR="114300" simplePos="0" relativeHeight="252614656" behindDoc="0" locked="0" layoutInCell="1" allowOverlap="1" wp14:anchorId="651691A0" wp14:editId="58549386">
                <wp:simplePos x="0" y="0"/>
                <wp:positionH relativeFrom="column">
                  <wp:posOffset>-139700</wp:posOffset>
                </wp:positionH>
                <wp:positionV relativeFrom="paragraph">
                  <wp:posOffset>-114300</wp:posOffset>
                </wp:positionV>
                <wp:extent cx="5657850" cy="5143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5657850" cy="5143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7F78DB" w14:textId="77777777" w:rsidR="002E5195" w:rsidRDefault="002E5195" w:rsidP="000776F4">
                            <w:pPr>
                              <w:spacing w:after="0"/>
                              <w:jc w:val="both"/>
                              <w:rPr>
                                <w:rFonts w:ascii="Times New Roman" w:hAnsi="Times New Roman"/>
                              </w:rPr>
                            </w:pPr>
                          </w:p>
                          <w:p w14:paraId="07664A5C" w14:textId="6B621826" w:rsidR="002E5195" w:rsidRDefault="002E5195" w:rsidP="00E71E41">
                            <w:pPr>
                              <w:spacing w:after="0"/>
                              <w:jc w:val="both"/>
                              <w:rPr>
                                <w:rFonts w:ascii="Times New Roman" w:hAnsi="Times New Roman"/>
                              </w:rPr>
                            </w:pPr>
                            <w:r>
                              <w:rPr>
                                <w:rFonts w:ascii="Times New Roman" w:hAnsi="Times New Roman"/>
                                <w:noProof/>
                                <w:lang w:val="en-US"/>
                              </w:rPr>
                              <w:drawing>
                                <wp:inline distT="0" distB="0" distL="0" distR="0" wp14:anchorId="2D455315" wp14:editId="18549A0C">
                                  <wp:extent cx="3194217" cy="2126950"/>
                                  <wp:effectExtent l="0" t="0" r="6350" b="698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stent-Stress-Changes-Brain-Architecture-1.png"/>
                                          <pic:cNvPicPr/>
                                        </pic:nvPicPr>
                                        <pic:blipFill rotWithShape="1">
                                          <a:blip r:embed="rId12">
                                            <a:extLst>
                                              <a:ext uri="{28A0092B-C50C-407E-A947-70E740481C1C}">
                                                <a14:useLocalDpi xmlns:a14="http://schemas.microsoft.com/office/drawing/2010/main" val="0"/>
                                              </a:ext>
                                            </a:extLst>
                                          </a:blip>
                                          <a:srcRect t="16802" r="19200"/>
                                          <a:stretch/>
                                        </pic:blipFill>
                                        <pic:spPr bwMode="auto">
                                          <a:xfrm>
                                            <a:off x="0" y="0"/>
                                            <a:ext cx="3198093" cy="2129531"/>
                                          </a:xfrm>
                                          <a:prstGeom prst="rect">
                                            <a:avLst/>
                                          </a:prstGeom>
                                          <a:ln>
                                            <a:noFill/>
                                          </a:ln>
                                          <a:extLst>
                                            <a:ext uri="{53640926-AAD7-44d8-BBD7-CCE9431645EC}">
                                              <a14:shadowObscured xmlns:a14="http://schemas.microsoft.com/office/drawing/2010/main"/>
                                            </a:ext>
                                          </a:extLst>
                                        </pic:spPr>
                                      </pic:pic>
                                    </a:graphicData>
                                  </a:graphic>
                                </wp:inline>
                              </w:drawing>
                            </w:r>
                          </w:p>
                          <w:p w14:paraId="25064AFE" w14:textId="77777777" w:rsidR="002E5195" w:rsidRPr="000151D5" w:rsidRDefault="002E5195" w:rsidP="00650FAB">
                            <w:pPr>
                              <w:spacing w:after="0"/>
                              <w:ind w:left="-142"/>
                              <w:jc w:val="both"/>
                              <w:rPr>
                                <w:rFonts w:ascii="Times New Roman" w:hAnsi="Times New Roman"/>
                                <w:sz w:val="12"/>
                                <w:szCs w:val="12"/>
                              </w:rPr>
                            </w:pPr>
                          </w:p>
                          <w:p w14:paraId="18CBF0FB" w14:textId="77777777" w:rsidR="002E5195" w:rsidRDefault="002E5195" w:rsidP="00246774">
                            <w:pPr>
                              <w:pStyle w:val="ListParagraph"/>
                              <w:numPr>
                                <w:ilvl w:val="0"/>
                                <w:numId w:val="43"/>
                              </w:numPr>
                              <w:spacing w:after="0"/>
                              <w:ind w:left="142" w:hanging="284"/>
                              <w:jc w:val="both"/>
                              <w:rPr>
                                <w:rFonts w:ascii="Times New Roman" w:hAnsi="Times New Roman"/>
                                <w:color w:val="A95715" w:themeColor="accent3" w:themeShade="BF"/>
                              </w:rPr>
                            </w:pPr>
                            <w:r w:rsidRPr="006C6460">
                              <w:rPr>
                                <w:rFonts w:ascii="Times New Roman" w:hAnsi="Times New Roman"/>
                                <w:color w:val="A95715" w:themeColor="accent3" w:themeShade="BF"/>
                              </w:rPr>
                              <w:t>The basic principles of neuroscience indicate that early prevention interventions will be more efficient and, produce more favourable outcomes than remediation later in life.</w:t>
                            </w:r>
                          </w:p>
                          <w:p w14:paraId="0DD6963E" w14:textId="77777777" w:rsidR="002E5195" w:rsidRDefault="002E5195" w:rsidP="00246774">
                            <w:pPr>
                              <w:pStyle w:val="ListParagraph"/>
                              <w:numPr>
                                <w:ilvl w:val="0"/>
                                <w:numId w:val="43"/>
                              </w:numPr>
                              <w:spacing w:after="0"/>
                              <w:ind w:left="142" w:hanging="284"/>
                              <w:jc w:val="both"/>
                              <w:rPr>
                                <w:rFonts w:ascii="Times New Roman" w:hAnsi="Times New Roman"/>
                                <w:color w:val="A95715" w:themeColor="accent3" w:themeShade="BF"/>
                              </w:rPr>
                            </w:pPr>
                            <w:r w:rsidRPr="00246774">
                              <w:rPr>
                                <w:rFonts w:ascii="Times New Roman" w:hAnsi="Times New Roman"/>
                                <w:color w:val="A95715" w:themeColor="accent3" w:themeShade="BF"/>
                              </w:rPr>
                              <w:t>A balanced approach to emotional, social, cognitive, and language development will best prepare all children for success in school, and later in the workplace and community.</w:t>
                            </w:r>
                          </w:p>
                          <w:p w14:paraId="2FC78662" w14:textId="77777777" w:rsidR="002E5195" w:rsidRDefault="002E5195" w:rsidP="00246774">
                            <w:pPr>
                              <w:pStyle w:val="ListParagraph"/>
                              <w:numPr>
                                <w:ilvl w:val="0"/>
                                <w:numId w:val="43"/>
                              </w:numPr>
                              <w:spacing w:after="0"/>
                              <w:ind w:left="142" w:hanging="284"/>
                              <w:jc w:val="both"/>
                              <w:rPr>
                                <w:rFonts w:ascii="Times New Roman" w:hAnsi="Times New Roman"/>
                                <w:color w:val="A95715" w:themeColor="accent3" w:themeShade="BF"/>
                              </w:rPr>
                            </w:pPr>
                            <w:r w:rsidRPr="00246774">
                              <w:rPr>
                                <w:rFonts w:ascii="Times New Roman" w:hAnsi="Times New Roman"/>
                                <w:color w:val="A95715" w:themeColor="accent3" w:themeShade="BF"/>
                              </w:rPr>
                              <w:t>Supportive relationships and positive learning experiences begin at home, but could also be provided through a range of services with proven effectiveness factors. Children’s brains require stable, caring, and interactive relationships with adults. Any way or any place these could be provided will benefit the healthy brain development in children.</w:t>
                            </w:r>
                          </w:p>
                          <w:p w14:paraId="2042C994" w14:textId="147B1F64" w:rsidR="002E5195" w:rsidRPr="00246774" w:rsidRDefault="002E5195" w:rsidP="00246774">
                            <w:pPr>
                              <w:pStyle w:val="ListParagraph"/>
                              <w:numPr>
                                <w:ilvl w:val="0"/>
                                <w:numId w:val="43"/>
                              </w:numPr>
                              <w:spacing w:after="0"/>
                              <w:ind w:left="142" w:hanging="284"/>
                              <w:jc w:val="both"/>
                              <w:rPr>
                                <w:rFonts w:ascii="Times New Roman" w:hAnsi="Times New Roman"/>
                                <w:color w:val="A95715" w:themeColor="accent3" w:themeShade="BF"/>
                              </w:rPr>
                            </w:pPr>
                            <w:r w:rsidRPr="00246774">
                              <w:rPr>
                                <w:rFonts w:ascii="Times New Roman" w:hAnsi="Times New Roman"/>
                                <w:color w:val="A95715" w:themeColor="accent3" w:themeShade="BF"/>
                              </w:rPr>
                              <w:t>Science clearly demonstrates that, in situations where toxic stress is likely, intervening as early as possible is critical to achieving the best outcomes. For children that are experiencing toxic stress, specialized early interventions are needed to target the cause of the stress and protect the children from its consequences. APC has identified extreme poverty as the main cause of stress in the communities that it targets. Interventions targeting parents/guardians and older siblings of targeted ECD children seek to protect the children from effects of such extreme poverty.</w:t>
                            </w:r>
                          </w:p>
                          <w:p w14:paraId="68204863" w14:textId="77777777" w:rsidR="002E5195" w:rsidRDefault="002E5195" w:rsidP="00650FAB">
                            <w:pPr>
                              <w:spacing w:after="0"/>
                              <w:ind w:left="-142"/>
                              <w:jc w:val="both"/>
                              <w:rPr>
                                <w:rFonts w:ascii="Times New Roman" w:hAnsi="Times New Roman"/>
                              </w:rPr>
                            </w:pPr>
                          </w:p>
                          <w:p w14:paraId="3985E19F" w14:textId="77777777" w:rsidR="002E5195" w:rsidRDefault="002E5195" w:rsidP="00650FAB">
                            <w:pPr>
                              <w:spacing w:after="0"/>
                              <w:ind w:left="-142"/>
                              <w:jc w:val="both"/>
                              <w:rPr>
                                <w:rFonts w:ascii="Times New Roman" w:hAnsi="Times New Roman"/>
                              </w:rPr>
                            </w:pPr>
                          </w:p>
                          <w:p w14:paraId="602D5A90" w14:textId="77777777" w:rsidR="002E5195" w:rsidRDefault="002E5195" w:rsidP="00650FAB">
                            <w:pPr>
                              <w:spacing w:after="0"/>
                              <w:ind w:left="-142"/>
                              <w:jc w:val="both"/>
                              <w:rPr>
                                <w:rFonts w:ascii="Times New Roman" w:hAnsi="Times New Roman"/>
                              </w:rPr>
                            </w:pPr>
                          </w:p>
                          <w:p w14:paraId="46F8434B" w14:textId="77777777" w:rsidR="002E5195" w:rsidRDefault="002E5195" w:rsidP="00650FAB">
                            <w:pPr>
                              <w:spacing w:after="0"/>
                              <w:ind w:left="-142"/>
                              <w:jc w:val="both"/>
                              <w:rPr>
                                <w:rFonts w:ascii="Times New Roman" w:hAnsi="Times New Roman"/>
                              </w:rPr>
                            </w:pPr>
                          </w:p>
                          <w:p w14:paraId="3D3A6D30" w14:textId="77777777" w:rsidR="002E5195" w:rsidRDefault="002E5195" w:rsidP="00650FAB">
                            <w:pPr>
                              <w:spacing w:after="0"/>
                              <w:ind w:left="-142"/>
                              <w:jc w:val="both"/>
                              <w:rPr>
                                <w:rFonts w:ascii="Times New Roman" w:hAnsi="Times New Roman"/>
                              </w:rPr>
                            </w:pPr>
                          </w:p>
                          <w:p w14:paraId="057B9538" w14:textId="77777777" w:rsidR="002E5195" w:rsidRDefault="002E5195" w:rsidP="00650FAB">
                            <w:pPr>
                              <w:spacing w:after="0"/>
                              <w:ind w:left="-142"/>
                              <w:jc w:val="both"/>
                              <w:rPr>
                                <w:rFonts w:ascii="Times New Roman" w:hAnsi="Times New Roman"/>
                              </w:rPr>
                            </w:pPr>
                          </w:p>
                          <w:p w14:paraId="71184375" w14:textId="77777777" w:rsidR="002E5195" w:rsidRDefault="002E5195" w:rsidP="00650FAB">
                            <w:pPr>
                              <w:spacing w:after="0"/>
                              <w:ind w:left="-142"/>
                              <w:jc w:val="both"/>
                              <w:rPr>
                                <w:rFonts w:ascii="Times New Roman" w:hAnsi="Times New Roman"/>
                              </w:rPr>
                            </w:pPr>
                          </w:p>
                          <w:p w14:paraId="4AE0CF99" w14:textId="77777777" w:rsidR="002E5195" w:rsidRPr="00B70FAA" w:rsidRDefault="002E5195" w:rsidP="00650FAB">
                            <w:pPr>
                              <w:spacing w:after="0"/>
                              <w:ind w:left="-142"/>
                              <w:jc w:val="both"/>
                              <w:rPr>
                                <w:rFonts w:ascii="Times New Roman" w:hAnsi="Times New Roman"/>
                              </w:rPr>
                            </w:pPr>
                          </w:p>
                          <w:p w14:paraId="4D788768" w14:textId="77777777" w:rsidR="002E5195" w:rsidRPr="000A3D47" w:rsidRDefault="002E5195" w:rsidP="00650FAB">
                            <w:pPr>
                              <w:spacing w:after="0"/>
                              <w:ind w:left="-142"/>
                              <w:rPr>
                                <w:rFonts w:ascii="Times New Roman" w:hAnsi="Times New Roman"/>
                              </w:rPr>
                            </w:pPr>
                          </w:p>
                          <w:p w14:paraId="1C683BD4" w14:textId="77777777" w:rsidR="002E5195" w:rsidRDefault="002E5195" w:rsidP="00650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4" type="#_x0000_t202" style="position:absolute;left:0;text-align:left;margin-left:-10.95pt;margin-top:-8.95pt;width:445.5pt;height:405pt;z-index:25261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" filled="f" stroked="f">
                <v:textbox>
                  <w:txbxContent>
                    <w:p w14:paraId="557F78DB" w14:textId="77777777" w:rsidR="002E5195" w:rsidRDefault="002E5195" w:rsidP="000776F4">
                      <w:pPr>
                        <w:spacing w:after="0"/>
                        <w:jc w:val="both"/>
                        <w:rPr>
                          <w:rFonts w:ascii="Times New Roman" w:hAnsi="Times New Roman"/>
                        </w:rPr>
                      </w:pPr>
                    </w:p>
                    <w:p w14:paraId="07664A5C" w14:textId="6B621826" w:rsidR="002E5195" w:rsidRDefault="002E5195" w:rsidP="00E71E41">
                      <w:pPr>
                        <w:spacing w:after="0"/>
                        <w:jc w:val="both"/>
                        <w:rPr>
                          <w:rFonts w:ascii="Times New Roman" w:hAnsi="Times New Roman"/>
                        </w:rPr>
                      </w:pPr>
                      <w:r>
                        <w:rPr>
                          <w:rFonts w:ascii="Times New Roman" w:hAnsi="Times New Roman"/>
                          <w:noProof/>
                          <w:lang w:val="en-US"/>
                        </w:rPr>
                        <w:drawing>
                          <wp:inline distT="0" distB="0" distL="0" distR="0" wp14:anchorId="2D455315" wp14:editId="18549A0C">
                            <wp:extent cx="3194217" cy="2126950"/>
                            <wp:effectExtent l="0" t="0" r="6350" b="698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stent-Stress-Changes-Brain-Architecture-1.png"/>
                                    <pic:cNvPicPr/>
                                  </pic:nvPicPr>
                                  <pic:blipFill rotWithShape="1">
                                    <a:blip r:embed="rId12">
                                      <a:extLst>
                                        <a:ext uri="{28A0092B-C50C-407E-A947-70E740481C1C}">
                                          <a14:useLocalDpi xmlns:a14="http://schemas.microsoft.com/office/drawing/2010/main" val="0"/>
                                        </a:ext>
                                      </a:extLst>
                                    </a:blip>
                                    <a:srcRect t="16802" r="19200"/>
                                    <a:stretch/>
                                  </pic:blipFill>
                                  <pic:spPr bwMode="auto">
                                    <a:xfrm>
                                      <a:off x="0" y="0"/>
                                      <a:ext cx="3198093" cy="2129531"/>
                                    </a:xfrm>
                                    <a:prstGeom prst="rect">
                                      <a:avLst/>
                                    </a:prstGeom>
                                    <a:ln>
                                      <a:noFill/>
                                    </a:ln>
                                    <a:extLst>
                                      <a:ext uri="{53640926-AAD7-44d8-BBD7-CCE9431645EC}">
                                        <a14:shadowObscured xmlns:a14="http://schemas.microsoft.com/office/drawing/2010/main"/>
                                      </a:ext>
                                    </a:extLst>
                                  </pic:spPr>
                                </pic:pic>
                              </a:graphicData>
                            </a:graphic>
                          </wp:inline>
                        </w:drawing>
                      </w:r>
                    </w:p>
                    <w:p w14:paraId="25064AFE" w14:textId="77777777" w:rsidR="002E5195" w:rsidRPr="000151D5" w:rsidRDefault="002E5195" w:rsidP="00650FAB">
                      <w:pPr>
                        <w:spacing w:after="0"/>
                        <w:ind w:left="-142"/>
                        <w:jc w:val="both"/>
                        <w:rPr>
                          <w:rFonts w:ascii="Times New Roman" w:hAnsi="Times New Roman"/>
                          <w:sz w:val="12"/>
                          <w:szCs w:val="12"/>
                        </w:rPr>
                      </w:pPr>
                    </w:p>
                    <w:p w14:paraId="18CBF0FB" w14:textId="77777777" w:rsidR="002E5195" w:rsidRDefault="002E5195" w:rsidP="00246774">
                      <w:pPr>
                        <w:pStyle w:val="ListParagraph"/>
                        <w:numPr>
                          <w:ilvl w:val="0"/>
                          <w:numId w:val="43"/>
                        </w:numPr>
                        <w:spacing w:after="0"/>
                        <w:ind w:left="142" w:hanging="284"/>
                        <w:jc w:val="both"/>
                        <w:rPr>
                          <w:rFonts w:ascii="Times New Roman" w:hAnsi="Times New Roman"/>
                          <w:color w:val="A95715" w:themeColor="accent3" w:themeShade="BF"/>
                        </w:rPr>
                      </w:pPr>
                      <w:r w:rsidRPr="006C6460">
                        <w:rPr>
                          <w:rFonts w:ascii="Times New Roman" w:hAnsi="Times New Roman"/>
                          <w:color w:val="A95715" w:themeColor="accent3" w:themeShade="BF"/>
                        </w:rPr>
                        <w:t>The basic principles of neuroscience indicate that early prevention interventions will be more efficient and, produce more favourable outcomes than remediation later in life.</w:t>
                      </w:r>
                    </w:p>
                    <w:p w14:paraId="0DD6963E" w14:textId="77777777" w:rsidR="002E5195" w:rsidRDefault="002E5195" w:rsidP="00246774">
                      <w:pPr>
                        <w:pStyle w:val="ListParagraph"/>
                        <w:numPr>
                          <w:ilvl w:val="0"/>
                          <w:numId w:val="43"/>
                        </w:numPr>
                        <w:spacing w:after="0"/>
                        <w:ind w:left="142" w:hanging="284"/>
                        <w:jc w:val="both"/>
                        <w:rPr>
                          <w:rFonts w:ascii="Times New Roman" w:hAnsi="Times New Roman"/>
                          <w:color w:val="A95715" w:themeColor="accent3" w:themeShade="BF"/>
                        </w:rPr>
                      </w:pPr>
                      <w:r w:rsidRPr="00246774">
                        <w:rPr>
                          <w:rFonts w:ascii="Times New Roman" w:hAnsi="Times New Roman"/>
                          <w:color w:val="A95715" w:themeColor="accent3" w:themeShade="BF"/>
                        </w:rPr>
                        <w:t>A balanced approach to emotional, social, cognitive, and language development will best prepare all children for success in school, and later in the workplace and community.</w:t>
                      </w:r>
                    </w:p>
                    <w:p w14:paraId="2FC78662" w14:textId="77777777" w:rsidR="002E5195" w:rsidRDefault="002E5195" w:rsidP="00246774">
                      <w:pPr>
                        <w:pStyle w:val="ListParagraph"/>
                        <w:numPr>
                          <w:ilvl w:val="0"/>
                          <w:numId w:val="43"/>
                        </w:numPr>
                        <w:spacing w:after="0"/>
                        <w:ind w:left="142" w:hanging="284"/>
                        <w:jc w:val="both"/>
                        <w:rPr>
                          <w:rFonts w:ascii="Times New Roman" w:hAnsi="Times New Roman"/>
                          <w:color w:val="A95715" w:themeColor="accent3" w:themeShade="BF"/>
                        </w:rPr>
                      </w:pPr>
                      <w:r w:rsidRPr="00246774">
                        <w:rPr>
                          <w:rFonts w:ascii="Times New Roman" w:hAnsi="Times New Roman"/>
                          <w:color w:val="A95715" w:themeColor="accent3" w:themeShade="BF"/>
                        </w:rPr>
                        <w:t>Supportive relationships and positive learning experiences begin at home, but could also be provided through a range of services with proven effectiveness factors. Children’s brains require stable, caring, and interactive relationships with adults. Any way or any place these could be provided will benefit the healthy brain development in children.</w:t>
                      </w:r>
                    </w:p>
                    <w:p w14:paraId="2042C994" w14:textId="147B1F64" w:rsidR="002E5195" w:rsidRPr="00246774" w:rsidRDefault="002E5195" w:rsidP="00246774">
                      <w:pPr>
                        <w:pStyle w:val="ListParagraph"/>
                        <w:numPr>
                          <w:ilvl w:val="0"/>
                          <w:numId w:val="43"/>
                        </w:numPr>
                        <w:spacing w:after="0"/>
                        <w:ind w:left="142" w:hanging="284"/>
                        <w:jc w:val="both"/>
                        <w:rPr>
                          <w:rFonts w:ascii="Times New Roman" w:hAnsi="Times New Roman"/>
                          <w:color w:val="A95715" w:themeColor="accent3" w:themeShade="BF"/>
                        </w:rPr>
                      </w:pPr>
                      <w:r w:rsidRPr="00246774">
                        <w:rPr>
                          <w:rFonts w:ascii="Times New Roman" w:hAnsi="Times New Roman"/>
                          <w:color w:val="A95715" w:themeColor="accent3" w:themeShade="BF"/>
                        </w:rPr>
                        <w:t>Science clearly demonstrates that, in situations where toxic stress is likely, intervening as early as possible is critical to achieving the best outcomes. For children that are experiencing toxic stress, specialized early interventions are needed to target the cause of the stress and protect the children from its consequences. APC has identified extreme poverty as the main cause of stress in the communities that it targets. Interventions targeting parents/guardians and older siblings of targeted ECD children seek to protect the children from effects of such extreme poverty.</w:t>
                      </w:r>
                    </w:p>
                    <w:p w14:paraId="68204863" w14:textId="77777777" w:rsidR="002E5195" w:rsidRDefault="002E5195" w:rsidP="00650FAB">
                      <w:pPr>
                        <w:spacing w:after="0"/>
                        <w:ind w:left="-142"/>
                        <w:jc w:val="both"/>
                        <w:rPr>
                          <w:rFonts w:ascii="Times New Roman" w:hAnsi="Times New Roman"/>
                        </w:rPr>
                      </w:pPr>
                    </w:p>
                    <w:p w14:paraId="3985E19F" w14:textId="77777777" w:rsidR="002E5195" w:rsidRDefault="002E5195" w:rsidP="00650FAB">
                      <w:pPr>
                        <w:spacing w:after="0"/>
                        <w:ind w:left="-142"/>
                        <w:jc w:val="both"/>
                        <w:rPr>
                          <w:rFonts w:ascii="Times New Roman" w:hAnsi="Times New Roman"/>
                        </w:rPr>
                      </w:pPr>
                    </w:p>
                    <w:p w14:paraId="602D5A90" w14:textId="77777777" w:rsidR="002E5195" w:rsidRDefault="002E5195" w:rsidP="00650FAB">
                      <w:pPr>
                        <w:spacing w:after="0"/>
                        <w:ind w:left="-142"/>
                        <w:jc w:val="both"/>
                        <w:rPr>
                          <w:rFonts w:ascii="Times New Roman" w:hAnsi="Times New Roman"/>
                        </w:rPr>
                      </w:pPr>
                    </w:p>
                    <w:p w14:paraId="46F8434B" w14:textId="77777777" w:rsidR="002E5195" w:rsidRDefault="002E5195" w:rsidP="00650FAB">
                      <w:pPr>
                        <w:spacing w:after="0"/>
                        <w:ind w:left="-142"/>
                        <w:jc w:val="both"/>
                        <w:rPr>
                          <w:rFonts w:ascii="Times New Roman" w:hAnsi="Times New Roman"/>
                        </w:rPr>
                      </w:pPr>
                    </w:p>
                    <w:p w14:paraId="3D3A6D30" w14:textId="77777777" w:rsidR="002E5195" w:rsidRDefault="002E5195" w:rsidP="00650FAB">
                      <w:pPr>
                        <w:spacing w:after="0"/>
                        <w:ind w:left="-142"/>
                        <w:jc w:val="both"/>
                        <w:rPr>
                          <w:rFonts w:ascii="Times New Roman" w:hAnsi="Times New Roman"/>
                        </w:rPr>
                      </w:pPr>
                    </w:p>
                    <w:p w14:paraId="057B9538" w14:textId="77777777" w:rsidR="002E5195" w:rsidRDefault="002E5195" w:rsidP="00650FAB">
                      <w:pPr>
                        <w:spacing w:after="0"/>
                        <w:ind w:left="-142"/>
                        <w:jc w:val="both"/>
                        <w:rPr>
                          <w:rFonts w:ascii="Times New Roman" w:hAnsi="Times New Roman"/>
                        </w:rPr>
                      </w:pPr>
                    </w:p>
                    <w:p w14:paraId="71184375" w14:textId="77777777" w:rsidR="002E5195" w:rsidRDefault="002E5195" w:rsidP="00650FAB">
                      <w:pPr>
                        <w:spacing w:after="0"/>
                        <w:ind w:left="-142"/>
                        <w:jc w:val="both"/>
                        <w:rPr>
                          <w:rFonts w:ascii="Times New Roman" w:hAnsi="Times New Roman"/>
                        </w:rPr>
                      </w:pPr>
                    </w:p>
                    <w:p w14:paraId="4AE0CF99" w14:textId="77777777" w:rsidR="002E5195" w:rsidRPr="00B70FAA" w:rsidRDefault="002E5195" w:rsidP="00650FAB">
                      <w:pPr>
                        <w:spacing w:after="0"/>
                        <w:ind w:left="-142"/>
                        <w:jc w:val="both"/>
                        <w:rPr>
                          <w:rFonts w:ascii="Times New Roman" w:hAnsi="Times New Roman"/>
                        </w:rPr>
                      </w:pPr>
                    </w:p>
                    <w:p w14:paraId="4D788768" w14:textId="77777777" w:rsidR="002E5195" w:rsidRPr="000A3D47" w:rsidRDefault="002E5195" w:rsidP="00650FAB">
                      <w:pPr>
                        <w:spacing w:after="0"/>
                        <w:ind w:left="-142"/>
                        <w:rPr>
                          <w:rFonts w:ascii="Times New Roman" w:hAnsi="Times New Roman"/>
                        </w:rPr>
                      </w:pPr>
                    </w:p>
                    <w:p w14:paraId="1C683BD4" w14:textId="77777777" w:rsidR="002E5195" w:rsidRDefault="002E5195" w:rsidP="00650FAB"/>
                  </w:txbxContent>
                </v:textbox>
                <w10:wrap type="square"/>
              </v:shape>
            </w:pict>
          </mc:Fallback>
        </mc:AlternateContent>
      </w:r>
      <w:r w:rsidR="000776F4">
        <w:rPr>
          <w:noProof/>
          <w:lang w:val="en-US"/>
        </w:rPr>
        <mc:AlternateContent>
          <mc:Choice Requires="wps">
            <w:drawing>
              <wp:anchor distT="0" distB="0" distL="114300" distR="114300" simplePos="0" relativeHeight="252615680" behindDoc="0" locked="0" layoutInCell="1" allowOverlap="1" wp14:anchorId="51CB4846" wp14:editId="03664494">
                <wp:simplePos x="0" y="0"/>
                <wp:positionH relativeFrom="column">
                  <wp:posOffset>3213100</wp:posOffset>
                </wp:positionH>
                <wp:positionV relativeFrom="paragraph">
                  <wp:posOffset>114300</wp:posOffset>
                </wp:positionV>
                <wp:extent cx="2235200" cy="2057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352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13A18" w14:textId="7F0DAF4C" w:rsidR="002E5195" w:rsidRDefault="002E5195" w:rsidP="00330967">
                            <w:pPr>
                              <w:jc w:val="both"/>
                              <w:rPr>
                                <w:rFonts w:ascii="Times New Roman" w:hAnsi="Times New Roman"/>
                              </w:rPr>
                            </w:pPr>
                            <w:r>
                              <w:rPr>
                                <w:rFonts w:ascii="Times New Roman" w:hAnsi="Times New Roman"/>
                                <w:b/>
                              </w:rPr>
                              <w:t>Figure 2</w:t>
                            </w:r>
                            <w:r>
                              <w:rPr>
                                <w:rFonts w:ascii="Times New Roman" w:hAnsi="Times New Roman"/>
                              </w:rPr>
                              <w:t>: How persistent or toxic stress changes the brain architecture</w:t>
                            </w:r>
                            <w:sdt>
                              <w:sdtPr>
                                <w:rPr>
                                  <w:rFonts w:ascii="Times New Roman" w:hAnsi="Times New Roman"/>
                                </w:rPr>
                                <w:id w:val="790252645"/>
                                <w:citation/>
                              </w:sdtPr>
                              <w:sdtEndPr/>
                              <w:sdtContent>
                                <w:r>
                                  <w:rPr>
                                    <w:rFonts w:ascii="Times New Roman" w:hAnsi="Times New Roman"/>
                                  </w:rPr>
                                  <w:fldChar w:fldCharType="begin"/>
                                </w:r>
                                <w:r>
                                  <w:rPr>
                                    <w:rFonts w:ascii="Times New Roman" w:hAnsi="Times New Roman"/>
                                    <w:lang w:val="en-US"/>
                                  </w:rPr>
                                  <w:instrText xml:space="preserve"> CITATION Rad04 \l 1033 </w:instrText>
                                </w:r>
                                <w:r>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(Radley, et al., 2004)</w:t>
                                </w:r>
                                <w:r>
                                  <w:rPr>
                                    <w:rFonts w:ascii="Times New Roman" w:hAnsi="Times New Roman"/>
                                  </w:rPr>
                                  <w:fldChar w:fldCharType="end"/>
                                </w:r>
                              </w:sdtContent>
                            </w:sdt>
                            <w:r>
                              <w:rPr>
                                <w:rFonts w:ascii="Times New Roman" w:hAnsi="Times New Roman"/>
                              </w:rPr>
                              <w:t>.</w:t>
                            </w:r>
                          </w:p>
                          <w:p w14:paraId="33DA9158" w14:textId="124FE0D4" w:rsidR="002E5195" w:rsidRPr="00E71E41" w:rsidRDefault="002E5195" w:rsidP="00330967">
                            <w:pPr>
                              <w:jc w:val="both"/>
                              <w:rPr>
                                <w:rFonts w:ascii="Times New Roman" w:hAnsi="Times New Roman"/>
                              </w:rPr>
                            </w:pPr>
                            <w:r>
                              <w:rPr>
                                <w:rFonts w:ascii="Times New Roman" w:hAnsi="Times New Roman"/>
                              </w:rPr>
                              <w:t>Brains subjected to toxic stress usually have underdeveloped neural connections in areas of the brain that are most important for successful learning and behaviour in school and in the workplace,</w:t>
                            </w:r>
                            <w:r>
                              <w:rPr>
                                <w:rFonts w:ascii="Times New Roman" w:hAnsi="Times New Roman"/>
                                <w:noProof/>
                                <w:lang w:val="en-US"/>
                              </w:rPr>
                              <w:t xml:space="preserve"> </w:t>
                            </w:r>
                            <w:r w:rsidRPr="00F845CA">
                              <w:rPr>
                                <w:rFonts w:ascii="Times New Roman" w:hAnsi="Times New Roman"/>
                                <w:noProof/>
                                <w:lang w:val="en-US"/>
                              </w:rPr>
                              <w:t>(Boc</w:t>
                            </w:r>
                            <w:r>
                              <w:rPr>
                                <w:rFonts w:ascii="Times New Roman" w:hAnsi="Times New Roman"/>
                                <w:noProof/>
                                <w:lang w:val="en-US"/>
                              </w:rPr>
                              <w:t>k, et al.</w:t>
                            </w:r>
                            <w:r w:rsidRPr="00F845CA">
                              <w:rPr>
                                <w:rFonts w:ascii="Times New Roman" w:hAnsi="Times New Roman"/>
                                <w:noProof/>
                                <w:lang w:val="en-US"/>
                              </w:rPr>
                              <w:t>, 2005)</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253pt;margin-top:9pt;width:176pt;height:162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fXdI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" filled="f" stroked="f">
                <v:textbox>
                  <w:txbxContent>
                    <w:p w14:paraId="26413A18" w14:textId="7F0DAF4C" w:rsidR="002E5195" w:rsidRDefault="002E5195" w:rsidP="00330967">
                      <w:pPr>
                        <w:jc w:val="both"/>
                        <w:rPr>
                          <w:rFonts w:ascii="Times New Roman" w:hAnsi="Times New Roman"/>
                        </w:rPr>
                      </w:pPr>
                      <w:r>
                        <w:rPr>
                          <w:rFonts w:ascii="Times New Roman" w:hAnsi="Times New Roman"/>
                          <w:b/>
                        </w:rPr>
                        <w:t>Figure 2</w:t>
                      </w:r>
                      <w:r>
                        <w:rPr>
                          <w:rFonts w:ascii="Times New Roman" w:hAnsi="Times New Roman"/>
                        </w:rPr>
                        <w:t>: How persistent or toxic stress changes the brain architecture</w:t>
                      </w:r>
                      <w:sdt>
                        <w:sdtPr>
                          <w:rPr>
                            <w:rFonts w:ascii="Times New Roman" w:hAnsi="Times New Roman"/>
                          </w:rPr>
                          <w:id w:val="790252645"/>
                          <w:citation/>
                        </w:sdtPr>
                        <w:sdtEndPr/>
                        <w:sdtContent>
                          <w:r>
                            <w:rPr>
                              <w:rFonts w:ascii="Times New Roman" w:hAnsi="Times New Roman"/>
                            </w:rPr>
                            <w:fldChar w:fldCharType="begin"/>
                          </w:r>
                          <w:r>
                            <w:rPr>
                              <w:rFonts w:ascii="Times New Roman" w:hAnsi="Times New Roman"/>
                              <w:lang w:val="en-US"/>
                            </w:rPr>
                            <w:instrText xml:space="preserve"> CITATION Rad04 \l 1033 </w:instrText>
                          </w:r>
                          <w:r>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(Radley, et al., 2004)</w:t>
                          </w:r>
                          <w:r>
                            <w:rPr>
                              <w:rFonts w:ascii="Times New Roman" w:hAnsi="Times New Roman"/>
                            </w:rPr>
                            <w:fldChar w:fldCharType="end"/>
                          </w:r>
                        </w:sdtContent>
                      </w:sdt>
                      <w:r>
                        <w:rPr>
                          <w:rFonts w:ascii="Times New Roman" w:hAnsi="Times New Roman"/>
                        </w:rPr>
                        <w:t>.</w:t>
                      </w:r>
                    </w:p>
                    <w:p w14:paraId="33DA9158" w14:textId="124FE0D4" w:rsidR="002E5195" w:rsidRPr="00E71E41" w:rsidRDefault="002E5195" w:rsidP="00330967">
                      <w:pPr>
                        <w:jc w:val="both"/>
                        <w:rPr>
                          <w:rFonts w:ascii="Times New Roman" w:hAnsi="Times New Roman"/>
                        </w:rPr>
                      </w:pPr>
                      <w:r>
                        <w:rPr>
                          <w:rFonts w:ascii="Times New Roman" w:hAnsi="Times New Roman"/>
                        </w:rPr>
                        <w:t>Brains subjected to toxic stress usually have underdeveloped neural connections in areas of the brain that are most important for successful learning and behaviour in school and in the workplace,</w:t>
                      </w:r>
                      <w:r>
                        <w:rPr>
                          <w:rFonts w:ascii="Times New Roman" w:hAnsi="Times New Roman"/>
                          <w:noProof/>
                          <w:lang w:val="en-US"/>
                        </w:rPr>
                        <w:t xml:space="preserve"> </w:t>
                      </w:r>
                      <w:r w:rsidRPr="00F845CA">
                        <w:rPr>
                          <w:rFonts w:ascii="Times New Roman" w:hAnsi="Times New Roman"/>
                          <w:noProof/>
                          <w:lang w:val="en-US"/>
                        </w:rPr>
                        <w:t>(Boc</w:t>
                      </w:r>
                      <w:r>
                        <w:rPr>
                          <w:rFonts w:ascii="Times New Roman" w:hAnsi="Times New Roman"/>
                          <w:noProof/>
                          <w:lang w:val="en-US"/>
                        </w:rPr>
                        <w:t>k, et al.</w:t>
                      </w:r>
                      <w:r w:rsidRPr="00F845CA">
                        <w:rPr>
                          <w:rFonts w:ascii="Times New Roman" w:hAnsi="Times New Roman"/>
                          <w:noProof/>
                          <w:lang w:val="en-US"/>
                        </w:rPr>
                        <w:t>, 2005)</w:t>
                      </w:r>
                      <w:r>
                        <w:rPr>
                          <w:rFonts w:ascii="Times New Roman" w:hAnsi="Times New Roman"/>
                        </w:rPr>
                        <w:t>.</w:t>
                      </w:r>
                    </w:p>
                  </w:txbxContent>
                </v:textbox>
                <w10:wrap type="square"/>
              </v:shape>
            </w:pict>
          </mc:Fallback>
        </mc:AlternateContent>
      </w:r>
    </w:p>
    <w:p w14:paraId="3D7DD232" w14:textId="62547A23" w:rsidR="00A60991" w:rsidRPr="00594D2D" w:rsidRDefault="00A60991" w:rsidP="00A60991">
      <w:pPr>
        <w:spacing w:after="0" w:line="360" w:lineRule="auto"/>
        <w:jc w:val="both"/>
        <w:rPr>
          <w:rFonts w:ascii="Times New Roman" w:hAnsi="Times New Roman"/>
        </w:rPr>
      </w:pPr>
      <w:r w:rsidRPr="00594D2D">
        <w:rPr>
          <w:rFonts w:ascii="Times New Roman" w:hAnsi="Times New Roman"/>
        </w:rPr>
        <w:t>2.1.2 Primary and Secondary Education</w:t>
      </w:r>
    </w:p>
    <w:p w14:paraId="24F10994" w14:textId="44ABB74C" w:rsidR="006D7B97" w:rsidRPr="00594D2D" w:rsidRDefault="00050E90" w:rsidP="00EC6AE4">
      <w:pPr>
        <w:spacing w:after="0" w:line="360" w:lineRule="auto"/>
        <w:jc w:val="both"/>
        <w:rPr>
          <w:rFonts w:ascii="Times New Roman" w:hAnsi="Times New Roman"/>
        </w:rPr>
      </w:pPr>
      <w:r w:rsidRPr="00594D2D">
        <w:rPr>
          <w:rFonts w:ascii="Times New Roman" w:hAnsi="Times New Roman"/>
          <w:b/>
        </w:rPr>
        <w:t xml:space="preserve">Primary: </w:t>
      </w:r>
      <w:r w:rsidR="00077C1D" w:rsidRPr="00594D2D">
        <w:rPr>
          <w:rFonts w:ascii="Times New Roman" w:hAnsi="Times New Roman"/>
        </w:rPr>
        <w:t xml:space="preserve">While the free primary education (FPE) program in Kenya has increased access to primary education, especially </w:t>
      </w:r>
      <w:r w:rsidR="00904EE4">
        <w:rPr>
          <w:rFonts w:ascii="Times New Roman" w:hAnsi="Times New Roman"/>
        </w:rPr>
        <w:t>for children from</w:t>
      </w:r>
      <w:r w:rsidR="00077C1D" w:rsidRPr="00594D2D">
        <w:rPr>
          <w:rFonts w:ascii="Times New Roman" w:hAnsi="Times New Roman"/>
        </w:rPr>
        <w:t xml:space="preserve"> poorer households, ancillary costs of primary education </w:t>
      </w:r>
      <w:r w:rsidR="00904EE4">
        <w:rPr>
          <w:rFonts w:ascii="Times New Roman" w:hAnsi="Times New Roman"/>
        </w:rPr>
        <w:t>like</w:t>
      </w:r>
      <w:r w:rsidR="00077C1D" w:rsidRPr="00594D2D">
        <w:rPr>
          <w:rFonts w:ascii="Times New Roman" w:hAnsi="Times New Roman"/>
        </w:rPr>
        <w:t xml:space="preserve"> school uniforms continue to hinder the educational attainment of many </w:t>
      </w:r>
      <w:r w:rsidR="00904EE4">
        <w:rPr>
          <w:rFonts w:ascii="Times New Roman" w:hAnsi="Times New Roman"/>
        </w:rPr>
        <w:t>of these children. P</w:t>
      </w:r>
      <w:r w:rsidR="00077C1D" w:rsidRPr="00594D2D">
        <w:rPr>
          <w:rFonts w:ascii="Times New Roman" w:hAnsi="Times New Roman"/>
        </w:rPr>
        <w:t xml:space="preserve">rovision of quality education </w:t>
      </w:r>
      <w:r w:rsidR="00904EE4">
        <w:rPr>
          <w:rFonts w:ascii="Times New Roman" w:hAnsi="Times New Roman"/>
        </w:rPr>
        <w:t xml:space="preserve">also </w:t>
      </w:r>
      <w:r w:rsidR="00077C1D" w:rsidRPr="00594D2D">
        <w:rPr>
          <w:rFonts w:ascii="Times New Roman" w:hAnsi="Times New Roman"/>
        </w:rPr>
        <w:t>remains a challenge</w:t>
      </w:r>
      <w:r w:rsidR="00A9540A" w:rsidRPr="00594D2D">
        <w:rPr>
          <w:rFonts w:ascii="Times New Roman" w:hAnsi="Times New Roman"/>
        </w:rPr>
        <w:t xml:space="preserve">, as was </w:t>
      </w:r>
      <w:r w:rsidR="004B53E8" w:rsidRPr="00594D2D">
        <w:rPr>
          <w:rFonts w:ascii="Times New Roman" w:hAnsi="Times New Roman"/>
        </w:rPr>
        <w:t>underlined</w:t>
      </w:r>
      <w:r w:rsidR="00A9540A" w:rsidRPr="00594D2D">
        <w:rPr>
          <w:rFonts w:ascii="Times New Roman" w:hAnsi="Times New Roman"/>
        </w:rPr>
        <w:t xml:space="preserve"> in a study by</w:t>
      </w:r>
      <w:r w:rsidR="006930DC">
        <w:rPr>
          <w:rFonts w:ascii="Times New Roman" w:hAnsi="Times New Roman"/>
          <w:noProof/>
          <w:lang w:val="en-US"/>
        </w:rPr>
        <w:t xml:space="preserve"> Uwezo</w:t>
      </w:r>
      <w:r w:rsidR="005B1674">
        <w:rPr>
          <w:rFonts w:ascii="Times New Roman" w:hAnsi="Times New Roman"/>
          <w:noProof/>
          <w:lang w:val="en-US"/>
        </w:rPr>
        <w:t xml:space="preserve"> </w:t>
      </w:r>
      <w:r w:rsidR="006930DC">
        <w:rPr>
          <w:rFonts w:ascii="Times New Roman" w:hAnsi="Times New Roman"/>
          <w:noProof/>
          <w:lang w:val="en-US"/>
        </w:rPr>
        <w:t xml:space="preserve"> (2010)</w:t>
      </w:r>
      <w:r w:rsidR="004B53E8">
        <w:rPr>
          <w:rFonts w:ascii="Times New Roman" w:hAnsi="Times New Roman"/>
          <w:noProof/>
          <w:lang w:val="en-US"/>
        </w:rPr>
        <w:t>. The study</w:t>
      </w:r>
      <w:r w:rsidR="00A9540A" w:rsidRPr="00594D2D">
        <w:rPr>
          <w:rFonts w:ascii="Times New Roman" w:hAnsi="Times New Roman"/>
        </w:rPr>
        <w:t xml:space="preserve"> </w:t>
      </w:r>
      <w:r w:rsidR="004B53E8">
        <w:rPr>
          <w:rFonts w:ascii="Times New Roman" w:hAnsi="Times New Roman"/>
        </w:rPr>
        <w:t>established</w:t>
      </w:r>
      <w:r w:rsidR="00A9540A" w:rsidRPr="00594D2D">
        <w:rPr>
          <w:rFonts w:ascii="Times New Roman" w:hAnsi="Times New Roman"/>
        </w:rPr>
        <w:t xml:space="preserve"> </w:t>
      </w:r>
      <w:r w:rsidR="005173B0">
        <w:rPr>
          <w:rFonts w:ascii="Times New Roman" w:hAnsi="Times New Roman"/>
        </w:rPr>
        <w:t xml:space="preserve">that </w:t>
      </w:r>
      <w:r w:rsidR="00A9540A" w:rsidRPr="00594D2D">
        <w:rPr>
          <w:rFonts w:ascii="Times New Roman" w:hAnsi="Times New Roman"/>
        </w:rPr>
        <w:t>disappointing levels of learning among primary school children</w:t>
      </w:r>
      <w:r w:rsidR="005173B0">
        <w:rPr>
          <w:rFonts w:ascii="Times New Roman" w:hAnsi="Times New Roman"/>
        </w:rPr>
        <w:t xml:space="preserve"> exist in Kenya</w:t>
      </w:r>
      <w:r w:rsidR="00A9540A" w:rsidRPr="00594D2D">
        <w:rPr>
          <w:rFonts w:ascii="Times New Roman" w:hAnsi="Times New Roman"/>
        </w:rPr>
        <w:t xml:space="preserve">. Public schools, where </w:t>
      </w:r>
      <w:r w:rsidR="00904EE4">
        <w:rPr>
          <w:rFonts w:ascii="Times New Roman" w:hAnsi="Times New Roman"/>
        </w:rPr>
        <w:t xml:space="preserve">most </w:t>
      </w:r>
      <w:r w:rsidR="00A9540A" w:rsidRPr="00594D2D">
        <w:rPr>
          <w:rFonts w:ascii="Times New Roman" w:hAnsi="Times New Roman"/>
        </w:rPr>
        <w:t>children from poor households increasingly enrol,</w:t>
      </w:r>
      <w:r w:rsidR="00904EE4">
        <w:rPr>
          <w:rFonts w:ascii="Times New Roman" w:hAnsi="Times New Roman"/>
        </w:rPr>
        <w:t xml:space="preserve"> were found to</w:t>
      </w:r>
      <w:r w:rsidR="00A9540A" w:rsidRPr="00594D2D">
        <w:rPr>
          <w:rFonts w:ascii="Times New Roman" w:hAnsi="Times New Roman"/>
        </w:rPr>
        <w:t xml:space="preserve"> perform poorly compared to private schools where childre</w:t>
      </w:r>
      <w:r w:rsidR="00904EE4">
        <w:rPr>
          <w:rFonts w:ascii="Times New Roman" w:hAnsi="Times New Roman"/>
        </w:rPr>
        <w:t>n from fa</w:t>
      </w:r>
      <w:r w:rsidR="00A9540A" w:rsidRPr="00594D2D">
        <w:rPr>
          <w:rFonts w:ascii="Times New Roman" w:hAnsi="Times New Roman"/>
        </w:rPr>
        <w:t>milies</w:t>
      </w:r>
      <w:r w:rsidR="00904EE4">
        <w:rPr>
          <w:rFonts w:ascii="Times New Roman" w:hAnsi="Times New Roman"/>
        </w:rPr>
        <w:t xml:space="preserve"> that are better off financially</w:t>
      </w:r>
      <w:r w:rsidR="00A9540A" w:rsidRPr="00594D2D">
        <w:rPr>
          <w:rFonts w:ascii="Times New Roman" w:hAnsi="Times New Roman"/>
        </w:rPr>
        <w:t xml:space="preserve"> enrol. The </w:t>
      </w:r>
      <w:proofErr w:type="spellStart"/>
      <w:r w:rsidR="00A9540A" w:rsidRPr="00594D2D">
        <w:rPr>
          <w:rFonts w:ascii="Times New Roman" w:hAnsi="Times New Roman"/>
        </w:rPr>
        <w:t>dorminance</w:t>
      </w:r>
      <w:proofErr w:type="spellEnd"/>
      <w:r w:rsidR="00A9540A" w:rsidRPr="00594D2D">
        <w:rPr>
          <w:rFonts w:ascii="Times New Roman" w:hAnsi="Times New Roman"/>
        </w:rPr>
        <w:t xml:space="preserve"> of private schools in the Kenya Certificate of Primary Education (KCPE) implies that children from rich families end up being admitted to the best secondary schools</w:t>
      </w:r>
      <w:r w:rsidR="00A65169" w:rsidRPr="00594D2D">
        <w:rPr>
          <w:rFonts w:ascii="Times New Roman" w:hAnsi="Times New Roman"/>
        </w:rPr>
        <w:t xml:space="preserve"> and, later, have high chances of joining universities and doing courses that place them on sure pathways to success.</w:t>
      </w:r>
    </w:p>
    <w:p w14:paraId="746883C1" w14:textId="77777777" w:rsidR="00A65169" w:rsidRPr="008F5FF0" w:rsidRDefault="00A65169" w:rsidP="00EC6AE4">
      <w:pPr>
        <w:spacing w:after="0" w:line="360" w:lineRule="auto"/>
        <w:jc w:val="both"/>
        <w:rPr>
          <w:rFonts w:ascii="Times New Roman" w:hAnsi="Times New Roman"/>
          <w:sz w:val="12"/>
          <w:szCs w:val="12"/>
        </w:rPr>
      </w:pPr>
    </w:p>
    <w:p w14:paraId="641B8F3C" w14:textId="57EF832F" w:rsidR="00A65169" w:rsidRPr="00594D2D" w:rsidRDefault="00344E86" w:rsidP="00EC6AE4">
      <w:pPr>
        <w:spacing w:after="0" w:line="360" w:lineRule="auto"/>
        <w:jc w:val="both"/>
        <w:rPr>
          <w:rFonts w:ascii="Times New Roman" w:hAnsi="Times New Roman"/>
        </w:rPr>
      </w:pPr>
      <w:r>
        <w:rPr>
          <w:rFonts w:ascii="Times New Roman" w:hAnsi="Times New Roman"/>
        </w:rPr>
        <w:t>Evidence from randomis</w:t>
      </w:r>
      <w:r w:rsidR="00A65169" w:rsidRPr="00594D2D">
        <w:rPr>
          <w:rFonts w:ascii="Times New Roman" w:hAnsi="Times New Roman"/>
        </w:rPr>
        <w:t>ed evaluation suggests a number of key cost-effective interventions that could be introduced to address the inequalities in access and achievement in primary school, including programs that provide remedial education to students that are falling behind</w:t>
      </w:r>
      <w:r w:rsidR="00600239">
        <w:rPr>
          <w:rFonts w:ascii="Times New Roman" w:hAnsi="Times New Roman"/>
          <w:noProof/>
          <w:lang w:val="en-US"/>
        </w:rPr>
        <w:t xml:space="preserve"> </w:t>
      </w:r>
      <w:r w:rsidR="00600239" w:rsidRPr="00F845CA">
        <w:rPr>
          <w:rFonts w:ascii="Times New Roman" w:hAnsi="Times New Roman"/>
          <w:noProof/>
          <w:lang w:val="en-US"/>
        </w:rPr>
        <w:lastRenderedPageBreak/>
        <w:t xml:space="preserve">(Glennerster, </w:t>
      </w:r>
      <w:r w:rsidR="00600239">
        <w:rPr>
          <w:rFonts w:ascii="Times New Roman" w:hAnsi="Times New Roman"/>
          <w:noProof/>
          <w:lang w:val="en-US"/>
        </w:rPr>
        <w:t>et al.</w:t>
      </w:r>
      <w:r w:rsidR="00600239" w:rsidRPr="00F845CA">
        <w:rPr>
          <w:rFonts w:ascii="Times New Roman" w:hAnsi="Times New Roman"/>
          <w:noProof/>
          <w:lang w:val="en-US"/>
        </w:rPr>
        <w:t>, 2011)</w:t>
      </w:r>
      <w:r w:rsidR="00A65169" w:rsidRPr="00594D2D">
        <w:rPr>
          <w:rFonts w:ascii="Times New Roman" w:hAnsi="Times New Roman"/>
        </w:rPr>
        <w:t>.</w:t>
      </w:r>
      <w:r w:rsidR="000F54DE" w:rsidRPr="00594D2D">
        <w:rPr>
          <w:rFonts w:ascii="Times New Roman" w:hAnsi="Times New Roman"/>
        </w:rPr>
        <w:t xml:space="preserve"> Programs that allow teachers to tailor their lessons to better suit the level of preparation of their students are effective at boosting students’ academic performance. Existing evidence also shows that merit scholarship programs could raise achievement. As primary school fees have been abolished in Kenya, providing merit scholarships for students who gain admission to secondary school has been cited as a possibility that warrants further exploration (</w:t>
      </w:r>
      <w:proofErr w:type="spellStart"/>
      <w:r w:rsidR="000F54DE" w:rsidRPr="00594D2D">
        <w:rPr>
          <w:rFonts w:ascii="Times New Roman" w:hAnsi="Times New Roman"/>
        </w:rPr>
        <w:t>Glennerster</w:t>
      </w:r>
      <w:proofErr w:type="spellEnd"/>
      <w:r w:rsidR="000F54DE" w:rsidRPr="00594D2D">
        <w:rPr>
          <w:rFonts w:ascii="Times New Roman" w:hAnsi="Times New Roman"/>
        </w:rPr>
        <w:t>, et al., 2011). Additional programs that provide teachers or head-teachers with incentives to raise the levels</w:t>
      </w:r>
      <w:r w:rsidR="006F79F5" w:rsidRPr="00594D2D">
        <w:rPr>
          <w:rFonts w:ascii="Times New Roman" w:hAnsi="Times New Roman"/>
        </w:rPr>
        <w:t xml:space="preserve"> of learning in their students have also been touted as possibl</w:t>
      </w:r>
      <w:r w:rsidR="0057676A">
        <w:rPr>
          <w:rFonts w:ascii="Times New Roman" w:hAnsi="Times New Roman"/>
        </w:rPr>
        <w:t>e interventions toward enhanced perfor</w:t>
      </w:r>
      <w:r w:rsidR="006F79F5" w:rsidRPr="00594D2D">
        <w:rPr>
          <w:rFonts w:ascii="Times New Roman" w:hAnsi="Times New Roman"/>
        </w:rPr>
        <w:t>m</w:t>
      </w:r>
      <w:r w:rsidR="0057676A">
        <w:rPr>
          <w:rFonts w:ascii="Times New Roman" w:hAnsi="Times New Roman"/>
        </w:rPr>
        <w:t>a</w:t>
      </w:r>
      <w:r w:rsidR="006F79F5" w:rsidRPr="00594D2D">
        <w:rPr>
          <w:rFonts w:ascii="Times New Roman" w:hAnsi="Times New Roman"/>
        </w:rPr>
        <w:t>nce.</w:t>
      </w:r>
    </w:p>
    <w:p w14:paraId="1D2C39D0" w14:textId="77777777" w:rsidR="00FD0996" w:rsidRPr="008F5FF0" w:rsidRDefault="00FD0996" w:rsidP="00EC6AE4">
      <w:pPr>
        <w:spacing w:after="0" w:line="360" w:lineRule="auto"/>
        <w:jc w:val="both"/>
        <w:rPr>
          <w:rFonts w:ascii="Times New Roman" w:hAnsi="Times New Roman"/>
          <w:sz w:val="12"/>
          <w:szCs w:val="12"/>
        </w:rPr>
      </w:pPr>
    </w:p>
    <w:p w14:paraId="44B2A2A6" w14:textId="5CA7F66B" w:rsidR="00957292" w:rsidRPr="00594D2D" w:rsidRDefault="00FD0996" w:rsidP="00957292">
      <w:pPr>
        <w:spacing w:after="0" w:line="360" w:lineRule="auto"/>
        <w:jc w:val="both"/>
        <w:rPr>
          <w:rFonts w:ascii="Times New Roman" w:hAnsi="Times New Roman"/>
        </w:rPr>
      </w:pPr>
      <w:r w:rsidRPr="00594D2D">
        <w:rPr>
          <w:rFonts w:ascii="Times New Roman" w:hAnsi="Times New Roman"/>
        </w:rPr>
        <w:t xml:space="preserve">Educational attainment </w:t>
      </w:r>
      <w:r w:rsidR="00957292" w:rsidRPr="00594D2D">
        <w:rPr>
          <w:rFonts w:ascii="Times New Roman" w:hAnsi="Times New Roman"/>
        </w:rPr>
        <w:t>could</w:t>
      </w:r>
      <w:r w:rsidRPr="00594D2D">
        <w:rPr>
          <w:rFonts w:ascii="Times New Roman" w:hAnsi="Times New Roman"/>
        </w:rPr>
        <w:t xml:space="preserve"> also be boosted by life skills training. As children grow up</w:t>
      </w:r>
      <w:r w:rsidR="00B01273" w:rsidRPr="00594D2D">
        <w:rPr>
          <w:rFonts w:ascii="Times New Roman" w:hAnsi="Times New Roman"/>
        </w:rPr>
        <w:t xml:space="preserve"> into adolescents, they increasingly face </w:t>
      </w:r>
      <w:r w:rsidR="009E75CE" w:rsidRPr="00594D2D">
        <w:rPr>
          <w:rFonts w:ascii="Times New Roman" w:hAnsi="Times New Roman"/>
        </w:rPr>
        <w:t xml:space="preserve">deficits </w:t>
      </w:r>
      <w:r w:rsidR="009E75CE">
        <w:rPr>
          <w:rFonts w:ascii="Times New Roman" w:hAnsi="Times New Roman"/>
        </w:rPr>
        <w:t xml:space="preserve">in </w:t>
      </w:r>
      <w:r w:rsidR="00B01273" w:rsidRPr="00594D2D">
        <w:rPr>
          <w:rFonts w:ascii="Times New Roman" w:hAnsi="Times New Roman"/>
        </w:rPr>
        <w:t>persona</w:t>
      </w:r>
      <w:r w:rsidR="009E75CE">
        <w:rPr>
          <w:rFonts w:ascii="Times New Roman" w:hAnsi="Times New Roman"/>
        </w:rPr>
        <w:t xml:space="preserve">l, cognitive, and social skills, which </w:t>
      </w:r>
      <w:r w:rsidR="00B01273" w:rsidRPr="00594D2D">
        <w:rPr>
          <w:rFonts w:ascii="Times New Roman" w:hAnsi="Times New Roman"/>
        </w:rPr>
        <w:t xml:space="preserve">could push them into drug abuse, bullying, violence, sexually transmitted infections (STIs), human immune-deficiency virus (HIV), acquired immune-deficiency syndrome (AIDS), malnutrition, and other socio-economic and environmental challenges that affect their educational performance and steps to future success. Specific emotional, cognitive, behavioural, and resilience skills play a vital part </w:t>
      </w:r>
      <w:r w:rsidR="0082107B">
        <w:rPr>
          <w:rFonts w:ascii="Times New Roman" w:hAnsi="Times New Roman"/>
        </w:rPr>
        <w:t>toward</w:t>
      </w:r>
      <w:r w:rsidR="00B01273" w:rsidRPr="00594D2D">
        <w:rPr>
          <w:rFonts w:ascii="Times New Roman" w:hAnsi="Times New Roman"/>
        </w:rPr>
        <w:t xml:space="preserve"> ensuring an adolescen</w:t>
      </w:r>
      <w:r w:rsidR="00C9577E">
        <w:rPr>
          <w:rFonts w:ascii="Times New Roman" w:hAnsi="Times New Roman"/>
        </w:rPr>
        <w:t>t’s personal and social success,</w:t>
      </w:r>
      <w:r w:rsidR="00600239">
        <w:rPr>
          <w:rFonts w:ascii="Times New Roman" w:hAnsi="Times New Roman"/>
          <w:noProof/>
          <w:lang w:val="en-US"/>
        </w:rPr>
        <w:t xml:space="preserve"> </w:t>
      </w:r>
      <w:r w:rsidR="00600239" w:rsidRPr="00F845CA">
        <w:rPr>
          <w:rFonts w:ascii="Times New Roman" w:hAnsi="Times New Roman"/>
          <w:noProof/>
          <w:lang w:val="en-US"/>
        </w:rPr>
        <w:t xml:space="preserve">(Langford, </w:t>
      </w:r>
      <w:r w:rsidR="00600239">
        <w:rPr>
          <w:rFonts w:ascii="Times New Roman" w:hAnsi="Times New Roman"/>
          <w:noProof/>
          <w:lang w:val="en-US"/>
        </w:rPr>
        <w:t>et al.,</w:t>
      </w:r>
      <w:r w:rsidR="00600239" w:rsidRPr="00F845CA">
        <w:rPr>
          <w:rFonts w:ascii="Times New Roman" w:hAnsi="Times New Roman"/>
          <w:noProof/>
          <w:lang w:val="en-US"/>
        </w:rPr>
        <w:t xml:space="preserve"> 2015)</w:t>
      </w:r>
      <w:r w:rsidR="00957292" w:rsidRPr="00594D2D">
        <w:rPr>
          <w:rFonts w:ascii="Times New Roman" w:hAnsi="Times New Roman"/>
        </w:rPr>
        <w:t>. Likewise, psychosocial skil</w:t>
      </w:r>
      <w:r w:rsidR="00C9577E">
        <w:rPr>
          <w:rFonts w:ascii="Times New Roman" w:hAnsi="Times New Roman"/>
        </w:rPr>
        <w:t>ls allow individuals to recognis</w:t>
      </w:r>
      <w:r w:rsidR="00957292" w:rsidRPr="00594D2D">
        <w:rPr>
          <w:rFonts w:ascii="Times New Roman" w:hAnsi="Times New Roman"/>
        </w:rPr>
        <w:t>e, interact, influence, and relate to oth</w:t>
      </w:r>
      <w:r w:rsidR="0082107B">
        <w:rPr>
          <w:rFonts w:ascii="Times New Roman" w:hAnsi="Times New Roman"/>
        </w:rPr>
        <w:t>ers in different environments. Indeed, c</w:t>
      </w:r>
      <w:r w:rsidR="00957292" w:rsidRPr="00594D2D">
        <w:rPr>
          <w:rFonts w:ascii="Times New Roman" w:hAnsi="Times New Roman"/>
        </w:rPr>
        <w:t>hildren and adolescents with psychosocial skills have</w:t>
      </w:r>
      <w:r w:rsidR="00C9577E">
        <w:rPr>
          <w:rFonts w:ascii="Times New Roman" w:hAnsi="Times New Roman"/>
        </w:rPr>
        <w:t xml:space="preserve"> been reported to exhibit</w:t>
      </w:r>
      <w:r w:rsidR="00957292" w:rsidRPr="00594D2D">
        <w:rPr>
          <w:rFonts w:ascii="Times New Roman" w:hAnsi="Times New Roman"/>
        </w:rPr>
        <w:t xml:space="preserve"> positive mental health and </w:t>
      </w:r>
      <w:proofErr w:type="gramStart"/>
      <w:r w:rsidR="00594D2D" w:rsidRPr="00594D2D">
        <w:rPr>
          <w:rFonts w:ascii="Times New Roman" w:hAnsi="Times New Roman"/>
        </w:rPr>
        <w:t>well being</w:t>
      </w:r>
      <w:proofErr w:type="gramEnd"/>
      <w:sdt>
        <w:sdtPr>
          <w:rPr>
            <w:rFonts w:ascii="Times New Roman" w:hAnsi="Times New Roman"/>
          </w:rPr>
          <w:id w:val="2140375817"/>
          <w:citation/>
        </w:sdtPr>
        <w:sdtEndPr/>
        <w:sdtContent>
          <w:r w:rsidR="00B0352F" w:rsidRPr="00594D2D">
            <w:rPr>
              <w:rFonts w:ascii="Times New Roman" w:hAnsi="Times New Roman"/>
            </w:rPr>
            <w:fldChar w:fldCharType="begin"/>
          </w:r>
          <w:r w:rsidR="00B0352F" w:rsidRPr="00594D2D">
            <w:rPr>
              <w:rFonts w:ascii="Times New Roman" w:hAnsi="Times New Roman"/>
              <w:lang w:val="en-US"/>
            </w:rPr>
            <w:instrText xml:space="preserve"> CITATION WHO93 \l 1033 </w:instrText>
          </w:r>
          <w:r w:rsidR="00B0352F" w:rsidRPr="00594D2D">
            <w:rPr>
              <w:rFonts w:ascii="Times New Roman" w:hAnsi="Times New Roman"/>
            </w:rPr>
            <w:fldChar w:fldCharType="separate"/>
          </w:r>
          <w:r w:rsidR="00F845CA">
            <w:rPr>
              <w:rFonts w:ascii="Times New Roman" w:hAnsi="Times New Roman"/>
              <w:noProof/>
              <w:lang w:val="en-US"/>
            </w:rPr>
            <w:t xml:space="preserve"> </w:t>
          </w:r>
          <w:r w:rsidR="00F845CA" w:rsidRPr="00F845CA">
            <w:rPr>
              <w:rFonts w:ascii="Times New Roman" w:hAnsi="Times New Roman"/>
              <w:noProof/>
              <w:lang w:val="en-US"/>
            </w:rPr>
            <w:t>(WHO, 1993)</w:t>
          </w:r>
          <w:r w:rsidR="00B0352F" w:rsidRPr="00594D2D">
            <w:rPr>
              <w:rFonts w:ascii="Times New Roman" w:hAnsi="Times New Roman"/>
            </w:rPr>
            <w:fldChar w:fldCharType="end"/>
          </w:r>
        </w:sdtContent>
      </w:sdt>
      <w:r w:rsidR="00957292" w:rsidRPr="00594D2D">
        <w:rPr>
          <w:rFonts w:ascii="Times New Roman" w:hAnsi="Times New Roman"/>
        </w:rPr>
        <w:t>.</w:t>
      </w:r>
      <w:r w:rsidR="00B0352F" w:rsidRPr="00594D2D">
        <w:rPr>
          <w:rFonts w:ascii="Times New Roman" w:hAnsi="Times New Roman"/>
        </w:rPr>
        <w:t xml:space="preserve"> Life skills trainings are </w:t>
      </w:r>
      <w:r w:rsidR="00C9577E">
        <w:rPr>
          <w:rFonts w:ascii="Times New Roman" w:hAnsi="Times New Roman"/>
        </w:rPr>
        <w:t xml:space="preserve">therefore </w:t>
      </w:r>
      <w:r w:rsidR="0082107B">
        <w:rPr>
          <w:rFonts w:ascii="Times New Roman" w:hAnsi="Times New Roman"/>
        </w:rPr>
        <w:t xml:space="preserve">very important toward effective empowerment of </w:t>
      </w:r>
      <w:r w:rsidR="00B0352F" w:rsidRPr="00594D2D">
        <w:rPr>
          <w:rFonts w:ascii="Times New Roman" w:hAnsi="Times New Roman"/>
        </w:rPr>
        <w:t xml:space="preserve">children and adolescents </w:t>
      </w:r>
      <w:r w:rsidR="00C9577E">
        <w:rPr>
          <w:rFonts w:ascii="Times New Roman" w:hAnsi="Times New Roman"/>
        </w:rPr>
        <w:t>from</w:t>
      </w:r>
      <w:r w:rsidR="00B0352F" w:rsidRPr="00594D2D">
        <w:rPr>
          <w:rFonts w:ascii="Times New Roman" w:hAnsi="Times New Roman"/>
        </w:rPr>
        <w:t xml:space="preserve"> poverty</w:t>
      </w:r>
      <w:r w:rsidR="00C9577E">
        <w:rPr>
          <w:rFonts w:ascii="Times New Roman" w:hAnsi="Times New Roman"/>
        </w:rPr>
        <w:t>-related</w:t>
      </w:r>
      <w:r w:rsidR="00B0352F" w:rsidRPr="00594D2D">
        <w:rPr>
          <w:rFonts w:ascii="Times New Roman" w:hAnsi="Times New Roman"/>
        </w:rPr>
        <w:t xml:space="preserve"> backgrounds. They empower them with </w:t>
      </w:r>
      <w:r w:rsidR="0082107B">
        <w:rPr>
          <w:rFonts w:ascii="Times New Roman" w:hAnsi="Times New Roman"/>
        </w:rPr>
        <w:t xml:space="preserve">attributes </w:t>
      </w:r>
      <w:r w:rsidR="00B0352F" w:rsidRPr="00594D2D">
        <w:rPr>
          <w:rFonts w:ascii="Times New Roman" w:hAnsi="Times New Roman"/>
        </w:rPr>
        <w:t>that determine valued behaviour</w:t>
      </w:r>
      <w:r w:rsidR="0082107B">
        <w:rPr>
          <w:rFonts w:ascii="Times New Roman" w:hAnsi="Times New Roman"/>
        </w:rPr>
        <w:t>. They comprise of</w:t>
      </w:r>
      <w:r w:rsidR="00B0352F" w:rsidRPr="00594D2D">
        <w:rPr>
          <w:rFonts w:ascii="Times New Roman" w:hAnsi="Times New Roman"/>
        </w:rPr>
        <w:t xml:space="preserve"> reflective skills like problem-solving and critical thinking, personal skills like self-awareness, </w:t>
      </w:r>
      <w:r w:rsidR="0082107B">
        <w:rPr>
          <w:rFonts w:ascii="Times New Roman" w:hAnsi="Times New Roman"/>
        </w:rPr>
        <w:t>as well as</w:t>
      </w:r>
      <w:r w:rsidR="00B0352F" w:rsidRPr="00594D2D">
        <w:rPr>
          <w:rFonts w:ascii="Times New Roman" w:hAnsi="Times New Roman"/>
        </w:rPr>
        <w:t xml:space="preserve"> interpersonal skills. When children and adolescents</w:t>
      </w:r>
      <w:r w:rsidR="0042320E" w:rsidRPr="00594D2D">
        <w:rPr>
          <w:rFonts w:ascii="Times New Roman" w:hAnsi="Times New Roman"/>
        </w:rPr>
        <w:t xml:space="preserve"> practice these life skills, qualities like self-esteem, sociability, </w:t>
      </w:r>
      <w:r w:rsidR="0082107B">
        <w:rPr>
          <w:rFonts w:ascii="Times New Roman" w:hAnsi="Times New Roman"/>
        </w:rPr>
        <w:t xml:space="preserve">tolerance, </w:t>
      </w:r>
      <w:r w:rsidR="0042320E" w:rsidRPr="00594D2D">
        <w:rPr>
          <w:rFonts w:ascii="Times New Roman" w:hAnsi="Times New Roman"/>
        </w:rPr>
        <w:t xml:space="preserve">competencies to </w:t>
      </w:r>
      <w:r w:rsidR="0082107B">
        <w:rPr>
          <w:rFonts w:ascii="Times New Roman" w:hAnsi="Times New Roman"/>
        </w:rPr>
        <w:t>take action and generate change,</w:t>
      </w:r>
      <w:r w:rsidR="0042320E" w:rsidRPr="00594D2D">
        <w:rPr>
          <w:rFonts w:ascii="Times New Roman" w:hAnsi="Times New Roman"/>
        </w:rPr>
        <w:t xml:space="preserve"> capability to have the freedom to decide what to do and who to be</w:t>
      </w:r>
      <w:r w:rsidR="008506DC">
        <w:rPr>
          <w:rFonts w:ascii="Times New Roman" w:hAnsi="Times New Roman"/>
        </w:rPr>
        <w:t xml:space="preserve"> stand out</w:t>
      </w:r>
      <w:r w:rsidR="0042320E" w:rsidRPr="00594D2D">
        <w:rPr>
          <w:rFonts w:ascii="Times New Roman" w:hAnsi="Times New Roman"/>
        </w:rPr>
        <w:t>.</w:t>
      </w:r>
    </w:p>
    <w:p w14:paraId="23FB3235" w14:textId="77777777" w:rsidR="00A6735E" w:rsidRPr="008F5FF0" w:rsidRDefault="00A6735E" w:rsidP="00957292">
      <w:pPr>
        <w:spacing w:after="0" w:line="360" w:lineRule="auto"/>
        <w:jc w:val="both"/>
        <w:rPr>
          <w:rFonts w:ascii="Times New Roman" w:hAnsi="Times New Roman"/>
          <w:sz w:val="12"/>
          <w:szCs w:val="12"/>
        </w:rPr>
      </w:pPr>
    </w:p>
    <w:p w14:paraId="49257879" w14:textId="126D5E84" w:rsidR="00A6735E" w:rsidRPr="00594D2D" w:rsidRDefault="00A6735E" w:rsidP="00957292">
      <w:pPr>
        <w:spacing w:after="0" w:line="360" w:lineRule="auto"/>
        <w:jc w:val="both"/>
        <w:rPr>
          <w:rFonts w:ascii="Times New Roman" w:hAnsi="Times New Roman"/>
        </w:rPr>
      </w:pPr>
      <w:r w:rsidRPr="00594D2D">
        <w:rPr>
          <w:rFonts w:ascii="Times New Roman" w:hAnsi="Times New Roman"/>
        </w:rPr>
        <w:t>APC understands that childr</w:t>
      </w:r>
      <w:r w:rsidR="008506DC">
        <w:rPr>
          <w:rFonts w:ascii="Times New Roman" w:hAnsi="Times New Roman"/>
        </w:rPr>
        <w:t xml:space="preserve">en and adolescents in </w:t>
      </w:r>
      <w:r w:rsidRPr="00594D2D">
        <w:rPr>
          <w:rFonts w:ascii="Times New Roman" w:hAnsi="Times New Roman"/>
        </w:rPr>
        <w:t xml:space="preserve">extreme poverty need these skills to make the most out of life. The skills bring confidence in </w:t>
      </w:r>
      <w:r w:rsidR="008506DC">
        <w:rPr>
          <w:rFonts w:ascii="Times New Roman" w:hAnsi="Times New Roman"/>
        </w:rPr>
        <w:t>their</w:t>
      </w:r>
      <w:r w:rsidRPr="00594D2D">
        <w:rPr>
          <w:rFonts w:ascii="Times New Roman" w:hAnsi="Times New Roman"/>
        </w:rPr>
        <w:t xml:space="preserve"> life, motivate the</w:t>
      </w:r>
      <w:r w:rsidR="008506DC">
        <w:rPr>
          <w:rFonts w:ascii="Times New Roman" w:hAnsi="Times New Roman"/>
        </w:rPr>
        <w:t>m</w:t>
      </w:r>
      <w:r w:rsidRPr="00594D2D">
        <w:rPr>
          <w:rFonts w:ascii="Times New Roman" w:hAnsi="Times New Roman"/>
        </w:rPr>
        <w:t>, and bring positivity and happiness in their lives. The organization has</w:t>
      </w:r>
      <w:r w:rsidR="008506DC">
        <w:rPr>
          <w:rFonts w:ascii="Times New Roman" w:hAnsi="Times New Roman"/>
        </w:rPr>
        <w:t>, based on this, been organis</w:t>
      </w:r>
      <w:r w:rsidRPr="00594D2D">
        <w:rPr>
          <w:rFonts w:ascii="Times New Roman" w:hAnsi="Times New Roman"/>
        </w:rPr>
        <w:t xml:space="preserve">ing </w:t>
      </w:r>
      <w:r w:rsidR="008506DC">
        <w:rPr>
          <w:rFonts w:ascii="Times New Roman" w:hAnsi="Times New Roman"/>
        </w:rPr>
        <w:t>mentorship encounters</w:t>
      </w:r>
      <w:r w:rsidRPr="00594D2D">
        <w:rPr>
          <w:rFonts w:ascii="Times New Roman" w:hAnsi="Times New Roman"/>
        </w:rPr>
        <w:t xml:space="preserve"> for children and ado</w:t>
      </w:r>
      <w:r w:rsidR="008506DC">
        <w:rPr>
          <w:rFonts w:ascii="Times New Roman" w:hAnsi="Times New Roman"/>
        </w:rPr>
        <w:t>lescents during school holidays</w:t>
      </w:r>
      <w:r w:rsidRPr="00594D2D">
        <w:rPr>
          <w:rFonts w:ascii="Times New Roman" w:hAnsi="Times New Roman"/>
        </w:rPr>
        <w:t xml:space="preserve"> during which they are helped to encounter challenges or meet daily tasks </w:t>
      </w:r>
      <w:r w:rsidR="008506DC">
        <w:rPr>
          <w:rFonts w:ascii="Times New Roman" w:hAnsi="Times New Roman"/>
        </w:rPr>
        <w:t>that shape their approach to life</w:t>
      </w:r>
      <w:r w:rsidRPr="00594D2D">
        <w:rPr>
          <w:rFonts w:ascii="Times New Roman" w:hAnsi="Times New Roman"/>
        </w:rPr>
        <w:t xml:space="preserve">. The </w:t>
      </w:r>
      <w:r w:rsidR="008506DC">
        <w:rPr>
          <w:rFonts w:ascii="Times New Roman" w:hAnsi="Times New Roman"/>
        </w:rPr>
        <w:t>encounters prioritis</w:t>
      </w:r>
      <w:r w:rsidRPr="00594D2D">
        <w:rPr>
          <w:rFonts w:ascii="Times New Roman" w:hAnsi="Times New Roman"/>
        </w:rPr>
        <w:t xml:space="preserve">e </w:t>
      </w:r>
      <w:r w:rsidR="008506DC">
        <w:rPr>
          <w:rFonts w:ascii="Times New Roman" w:hAnsi="Times New Roman"/>
        </w:rPr>
        <w:t xml:space="preserve">the skills </w:t>
      </w:r>
      <w:r w:rsidRPr="00594D2D">
        <w:rPr>
          <w:rFonts w:ascii="Times New Roman" w:hAnsi="Times New Roman"/>
        </w:rPr>
        <w:t xml:space="preserve">required for </w:t>
      </w:r>
      <w:r w:rsidR="008506DC">
        <w:rPr>
          <w:rFonts w:ascii="Times New Roman" w:hAnsi="Times New Roman"/>
        </w:rPr>
        <w:t xml:space="preserve">the children’s and adolescent’s </w:t>
      </w:r>
      <w:proofErr w:type="gramStart"/>
      <w:r w:rsidRPr="00594D2D">
        <w:rPr>
          <w:rFonts w:ascii="Times New Roman" w:hAnsi="Times New Roman"/>
        </w:rPr>
        <w:t>well-being</w:t>
      </w:r>
      <w:proofErr w:type="gramEnd"/>
      <w:r w:rsidR="008506DC">
        <w:rPr>
          <w:rFonts w:ascii="Times New Roman" w:hAnsi="Times New Roman"/>
        </w:rPr>
        <w:t xml:space="preserve">. The encounters help </w:t>
      </w:r>
      <w:r w:rsidRPr="00594D2D">
        <w:rPr>
          <w:rFonts w:ascii="Times New Roman" w:hAnsi="Times New Roman"/>
        </w:rPr>
        <w:t>the children</w:t>
      </w:r>
      <w:r w:rsidR="008837B6" w:rsidRPr="00594D2D">
        <w:rPr>
          <w:rFonts w:ascii="Times New Roman" w:hAnsi="Times New Roman"/>
        </w:rPr>
        <w:t xml:space="preserve"> and adolescents to develop into active and productive members of their families and communities.</w:t>
      </w:r>
    </w:p>
    <w:p w14:paraId="73ED31D6" w14:textId="77777777" w:rsidR="00882221" w:rsidRPr="008F5FF0" w:rsidRDefault="00882221" w:rsidP="00957292">
      <w:pPr>
        <w:spacing w:after="0" w:line="360" w:lineRule="auto"/>
        <w:jc w:val="both"/>
        <w:rPr>
          <w:rFonts w:ascii="Times New Roman" w:hAnsi="Times New Roman"/>
          <w:sz w:val="12"/>
          <w:szCs w:val="12"/>
        </w:rPr>
      </w:pPr>
    </w:p>
    <w:p w14:paraId="6D9DD7E6" w14:textId="354C6A8E" w:rsidR="00882221" w:rsidRPr="00594D2D" w:rsidRDefault="00882221" w:rsidP="00957292">
      <w:pPr>
        <w:spacing w:after="0" w:line="360" w:lineRule="auto"/>
        <w:jc w:val="both"/>
        <w:rPr>
          <w:rFonts w:ascii="Times New Roman" w:hAnsi="Times New Roman"/>
        </w:rPr>
      </w:pPr>
      <w:r w:rsidRPr="00594D2D">
        <w:rPr>
          <w:rFonts w:ascii="Times New Roman" w:hAnsi="Times New Roman"/>
        </w:rPr>
        <w:t xml:space="preserve">APC’s education and skilling interventions for children and adolescents at primary school level therefore </w:t>
      </w:r>
      <w:r w:rsidR="00400621">
        <w:rPr>
          <w:rFonts w:ascii="Times New Roman" w:hAnsi="Times New Roman"/>
        </w:rPr>
        <w:t>comprise of</w:t>
      </w:r>
      <w:r w:rsidRPr="00594D2D">
        <w:rPr>
          <w:rFonts w:ascii="Times New Roman" w:hAnsi="Times New Roman"/>
        </w:rPr>
        <w:t xml:space="preserve"> the following:</w:t>
      </w:r>
    </w:p>
    <w:p w14:paraId="7E69A98B" w14:textId="7740312C" w:rsidR="00882221" w:rsidRPr="00594D2D" w:rsidRDefault="00882221" w:rsidP="00882221">
      <w:pPr>
        <w:pStyle w:val="ListParagraph"/>
        <w:numPr>
          <w:ilvl w:val="0"/>
          <w:numId w:val="12"/>
        </w:numPr>
        <w:spacing w:after="0" w:line="360" w:lineRule="auto"/>
        <w:jc w:val="both"/>
        <w:rPr>
          <w:rFonts w:ascii="Times New Roman" w:hAnsi="Times New Roman"/>
        </w:rPr>
      </w:pPr>
      <w:r w:rsidRPr="00594D2D">
        <w:rPr>
          <w:rFonts w:ascii="Times New Roman" w:hAnsi="Times New Roman"/>
        </w:rPr>
        <w:t xml:space="preserve">Support to acquire school uniforms and other </w:t>
      </w:r>
      <w:r w:rsidR="00C81DF0">
        <w:rPr>
          <w:rFonts w:ascii="Times New Roman" w:hAnsi="Times New Roman"/>
        </w:rPr>
        <w:t>educational</w:t>
      </w:r>
      <w:r w:rsidRPr="00594D2D">
        <w:rPr>
          <w:rFonts w:ascii="Times New Roman" w:hAnsi="Times New Roman"/>
        </w:rPr>
        <w:t xml:space="preserve"> </w:t>
      </w:r>
      <w:r w:rsidR="00182A3A" w:rsidRPr="00594D2D">
        <w:rPr>
          <w:rFonts w:ascii="Times New Roman" w:hAnsi="Times New Roman"/>
        </w:rPr>
        <w:t>requirements</w:t>
      </w:r>
      <w:r w:rsidRPr="00594D2D">
        <w:rPr>
          <w:rFonts w:ascii="Times New Roman" w:hAnsi="Times New Roman"/>
        </w:rPr>
        <w:t>;</w:t>
      </w:r>
    </w:p>
    <w:p w14:paraId="500E2C60" w14:textId="3EE72339" w:rsidR="00882221" w:rsidRPr="00594D2D" w:rsidRDefault="00882221" w:rsidP="00882221">
      <w:pPr>
        <w:pStyle w:val="ListParagraph"/>
        <w:numPr>
          <w:ilvl w:val="0"/>
          <w:numId w:val="12"/>
        </w:numPr>
        <w:spacing w:after="0" w:line="360" w:lineRule="auto"/>
        <w:jc w:val="both"/>
        <w:rPr>
          <w:rFonts w:ascii="Times New Roman" w:hAnsi="Times New Roman"/>
        </w:rPr>
      </w:pPr>
      <w:r w:rsidRPr="00594D2D">
        <w:rPr>
          <w:rFonts w:ascii="Times New Roman" w:hAnsi="Times New Roman"/>
        </w:rPr>
        <w:lastRenderedPageBreak/>
        <w:t xml:space="preserve">Remedial </w:t>
      </w:r>
      <w:r w:rsidR="00445843">
        <w:rPr>
          <w:rFonts w:ascii="Times New Roman" w:hAnsi="Times New Roman"/>
        </w:rPr>
        <w:t>programs</w:t>
      </w:r>
      <w:r w:rsidR="00C17354" w:rsidRPr="00594D2D">
        <w:rPr>
          <w:rFonts w:ascii="Times New Roman" w:hAnsi="Times New Roman"/>
        </w:rPr>
        <w:t xml:space="preserve"> and need-based merit scholarships</w:t>
      </w:r>
      <w:r w:rsidRPr="00594D2D">
        <w:rPr>
          <w:rFonts w:ascii="Times New Roman" w:hAnsi="Times New Roman"/>
        </w:rPr>
        <w:t>;</w:t>
      </w:r>
    </w:p>
    <w:p w14:paraId="246C37D6" w14:textId="37E83FA0" w:rsidR="00882221" w:rsidRPr="00594D2D" w:rsidRDefault="00C17354" w:rsidP="00882221">
      <w:pPr>
        <w:pStyle w:val="ListParagraph"/>
        <w:numPr>
          <w:ilvl w:val="0"/>
          <w:numId w:val="12"/>
        </w:numPr>
        <w:spacing w:after="0" w:line="360" w:lineRule="auto"/>
        <w:jc w:val="both"/>
        <w:rPr>
          <w:rFonts w:ascii="Times New Roman" w:hAnsi="Times New Roman"/>
        </w:rPr>
      </w:pPr>
      <w:r w:rsidRPr="00594D2D">
        <w:rPr>
          <w:rFonts w:ascii="Times New Roman" w:hAnsi="Times New Roman"/>
        </w:rPr>
        <w:t>Life skills training</w:t>
      </w:r>
      <w:r w:rsidR="00882221" w:rsidRPr="00594D2D">
        <w:rPr>
          <w:rFonts w:ascii="Times New Roman" w:hAnsi="Times New Roman"/>
        </w:rPr>
        <w:t>; and</w:t>
      </w:r>
    </w:p>
    <w:p w14:paraId="285F3C8A" w14:textId="24E6F462" w:rsidR="00882221" w:rsidRPr="00594D2D" w:rsidRDefault="000151D5" w:rsidP="00882221">
      <w:pPr>
        <w:pStyle w:val="ListParagraph"/>
        <w:numPr>
          <w:ilvl w:val="0"/>
          <w:numId w:val="12"/>
        </w:numPr>
        <w:spacing w:after="0" w:line="360" w:lineRule="auto"/>
        <w:jc w:val="both"/>
        <w:rPr>
          <w:rFonts w:ascii="Times New Roman" w:hAnsi="Times New Roman"/>
        </w:rPr>
      </w:pPr>
      <w:r w:rsidRPr="00594D2D">
        <w:rPr>
          <w:noProof/>
          <w:lang w:val="en-US"/>
        </w:rPr>
        <mc:AlternateContent>
          <mc:Choice Requires="wps">
            <w:drawing>
              <wp:anchor distT="0" distB="0" distL="114300" distR="114300" simplePos="0" relativeHeight="252618752" behindDoc="0" locked="0" layoutInCell="1" allowOverlap="1" wp14:anchorId="7305EEF4" wp14:editId="1B2023C1">
                <wp:simplePos x="0" y="0"/>
                <wp:positionH relativeFrom="column">
                  <wp:posOffset>-139700</wp:posOffset>
                </wp:positionH>
                <wp:positionV relativeFrom="paragraph">
                  <wp:posOffset>339090</wp:posOffset>
                </wp:positionV>
                <wp:extent cx="5727700" cy="8322945"/>
                <wp:effectExtent l="0" t="0" r="0" b="8255"/>
                <wp:wrapSquare wrapText="bothSides"/>
                <wp:docPr id="22" name="Text Box 22"/>
                <wp:cNvGraphicFramePr/>
                <a:graphic xmlns:a="http://schemas.openxmlformats.org/drawingml/2006/main">
                  <a:graphicData uri="http://schemas.microsoft.com/office/word/2010/wordprocessingShape">
                    <wps:wsp>
                      <wps:cNvSpPr txBox="1"/>
                      <wps:spPr>
                        <a:xfrm>
                          <a:off x="0" y="0"/>
                          <a:ext cx="5727700" cy="8322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A3BE36" w14:textId="33012943" w:rsidR="002E5195" w:rsidRPr="006C6460" w:rsidRDefault="002E5195" w:rsidP="00B809B0">
                            <w:pPr>
                              <w:spacing w:after="0" w:line="240" w:lineRule="auto"/>
                              <w:jc w:val="both"/>
                              <w:rPr>
                                <w:rFonts w:ascii="Times New Roman" w:hAnsi="Times New Roman"/>
                                <w:b/>
                                <w:color w:val="FF0000"/>
                              </w:rPr>
                            </w:pPr>
                            <w:r w:rsidRPr="006C6460">
                              <w:rPr>
                                <w:rFonts w:ascii="Times New Roman" w:hAnsi="Times New Roman"/>
                                <w:b/>
                                <w:color w:val="FF0000"/>
                              </w:rPr>
                              <w:t>KEY ISSUES</w:t>
                            </w:r>
                            <w:r>
                              <w:rPr>
                                <w:rFonts w:ascii="Times New Roman" w:hAnsi="Times New Roman"/>
                                <w:b/>
                                <w:color w:val="FF0000"/>
                              </w:rPr>
                              <w:t xml:space="preserve"> </w:t>
                            </w:r>
                          </w:p>
                          <w:p w14:paraId="7E9C54EC" w14:textId="6C02AEE1" w:rsidR="002E5195" w:rsidRPr="00B809B0" w:rsidRDefault="002E5195" w:rsidP="00B809B0">
                            <w:pPr>
                              <w:spacing w:after="0" w:line="240" w:lineRule="auto"/>
                              <w:jc w:val="both"/>
                              <w:rPr>
                                <w:rFonts w:ascii="Times New Roman" w:hAnsi="Times New Roman"/>
                                <w:b/>
                              </w:rPr>
                            </w:pPr>
                            <w:r>
                              <w:rPr>
                                <w:rFonts w:ascii="Times New Roman" w:hAnsi="Times New Roman"/>
                                <w:b/>
                              </w:rPr>
                              <w:t>1. Support to acquire uniforms and other educational requirements</w:t>
                            </w:r>
                          </w:p>
                          <w:p w14:paraId="06248BC3" w14:textId="52E23632" w:rsidR="002E5195" w:rsidRDefault="002E5195" w:rsidP="00B809B0">
                            <w:pPr>
                              <w:spacing w:after="0" w:line="240" w:lineRule="auto"/>
                              <w:jc w:val="both"/>
                              <w:rPr>
                                <w:rFonts w:ascii="Times New Roman" w:hAnsi="Times New Roman"/>
                              </w:rPr>
                            </w:pPr>
                            <w:r>
                              <w:rPr>
                                <w:rFonts w:ascii="Times New Roman" w:hAnsi="Times New Roman"/>
                              </w:rPr>
                              <w:t xml:space="preserve">In Kenya, with the abolition of general school fees, the cost of uniform is the highest monetary outlay for primary school </w:t>
                            </w:r>
                            <w:r w:rsidRPr="00F845CA">
                              <w:rPr>
                                <w:rFonts w:ascii="Times New Roman" w:hAnsi="Times New Roman"/>
                                <w:noProof/>
                                <w:lang w:val="en-US"/>
                              </w:rPr>
                              <w:t xml:space="preserve">(Evans, </w:t>
                            </w:r>
                            <w:r>
                              <w:rPr>
                                <w:rFonts w:ascii="Times New Roman" w:hAnsi="Times New Roman"/>
                                <w:noProof/>
                                <w:lang w:val="en-US"/>
                              </w:rPr>
                              <w:t>et al.,</w:t>
                            </w:r>
                            <w:r w:rsidRPr="00F845CA">
                              <w:rPr>
                                <w:rFonts w:ascii="Times New Roman" w:hAnsi="Times New Roman"/>
                                <w:noProof/>
                                <w:lang w:val="en-US"/>
                              </w:rPr>
                              <w:t xml:space="preserve"> 2009)</w:t>
                            </w:r>
                            <w:r>
                              <w:rPr>
                                <w:rFonts w:ascii="Times New Roman" w:hAnsi="Times New Roman"/>
                              </w:rPr>
                              <w:t>. Anecdotal evidence suggests that students are less likely to be sent away from school for failure to wear a uniform after 2002 than previously, but that students often feel stigmatised due to their failure to wear uniform, and may be reprimanded by teachers (Evans, et al., 2009). Existing evidence evokes that reducing the cost of schooling by providing uniforms, among other inputs, increases school participation (Evans, et al., 2009). Evans, et al (2009) also established that distributing uniforms results in a 44% reduction in student absenteeism. For children who did not already have uniform, distributing uniform was reported to reduce absenteeism by 62% (Evans, et al., 2009). Evans, et al (2009) also reported the existence of positive impacts of distributing uniforms on student performance. The cost of primary school uniforms in Kenya in early 2000 varied between 325 and 550 Kenya Shillings (US$4.33 to US$7.33) for girls, and between 405 and 550 (US$5.40 to US$7.33) for boys</w:t>
                            </w:r>
                            <w:r>
                              <w:rPr>
                                <w:rFonts w:ascii="Times New Roman" w:hAnsi="Times New Roman"/>
                                <w:noProof/>
                                <w:lang w:val="en-US"/>
                              </w:rPr>
                              <w:t xml:space="preserve"> </w:t>
                            </w:r>
                            <w:r w:rsidRPr="00F845CA">
                              <w:rPr>
                                <w:rFonts w:ascii="Times New Roman" w:hAnsi="Times New Roman"/>
                                <w:noProof/>
                                <w:lang w:val="en-US"/>
                              </w:rPr>
                              <w:t xml:space="preserve">(Kremer, </w:t>
                            </w:r>
                            <w:r>
                              <w:rPr>
                                <w:rFonts w:ascii="Times New Roman" w:hAnsi="Times New Roman"/>
                                <w:noProof/>
                                <w:lang w:val="en-US"/>
                              </w:rPr>
                              <w:t>et al.</w:t>
                            </w:r>
                            <w:r w:rsidRPr="00F845CA">
                              <w:rPr>
                                <w:rFonts w:ascii="Times New Roman" w:hAnsi="Times New Roman"/>
                                <w:noProof/>
                                <w:lang w:val="en-US"/>
                              </w:rPr>
                              <w:t>, 2002)</w:t>
                            </w:r>
                            <w:r>
                              <w:rPr>
                                <w:rFonts w:ascii="Times New Roman" w:hAnsi="Times New Roman"/>
                              </w:rPr>
                              <w:t>. The variation in prices is because uniforms for each school and gender require different materials and designs.</w:t>
                            </w:r>
                          </w:p>
                          <w:p w14:paraId="276DEDD0" w14:textId="77777777" w:rsidR="002E5195" w:rsidRDefault="002E5195" w:rsidP="00B809B0">
                            <w:pPr>
                              <w:spacing w:after="0" w:line="240" w:lineRule="auto"/>
                              <w:jc w:val="both"/>
                              <w:rPr>
                                <w:rFonts w:ascii="Times New Roman" w:hAnsi="Times New Roman"/>
                              </w:rPr>
                            </w:pPr>
                          </w:p>
                          <w:p w14:paraId="4840A35F" w14:textId="7CFB7AF8" w:rsidR="002E5195" w:rsidRPr="00B809B0" w:rsidRDefault="002E5195" w:rsidP="00594D2D">
                            <w:pPr>
                              <w:spacing w:after="0" w:line="240" w:lineRule="auto"/>
                              <w:jc w:val="both"/>
                              <w:rPr>
                                <w:rFonts w:ascii="Times New Roman" w:hAnsi="Times New Roman"/>
                                <w:b/>
                              </w:rPr>
                            </w:pPr>
                            <w:r>
                              <w:rPr>
                                <w:rFonts w:ascii="Times New Roman" w:hAnsi="Times New Roman"/>
                                <w:b/>
                              </w:rPr>
                              <w:t>2. Remedial programs</w:t>
                            </w:r>
                          </w:p>
                          <w:p w14:paraId="6ED10C0D" w14:textId="701FD10C" w:rsidR="002E5195" w:rsidRDefault="002E5195" w:rsidP="00B809B0">
                            <w:pPr>
                              <w:spacing w:after="0" w:line="240" w:lineRule="auto"/>
                              <w:jc w:val="both"/>
                              <w:rPr>
                                <w:rFonts w:ascii="Times New Roman" w:hAnsi="Times New Roman"/>
                              </w:rPr>
                            </w:pPr>
                            <w:r>
                              <w:rPr>
                                <w:rFonts w:ascii="Times New Roman" w:hAnsi="Times New Roman"/>
                              </w:rPr>
                              <w:t xml:space="preserve">Commercialisation of education is a global phenomenon now. Tough competition among learners is therefore a norm. In such scenarios, only those students with good grades get admitted to good secondary schools and, pursue the course of study of their choice. This translates into better prospects of employment for them. Academic accomplishments therefore become the benchmark of self-worth and success. Given this reality, educators, trainers, and researchers have for long strived to identify educational facets that efficiently promote learning. Factors that contribute to academic backwardness and are threat to academic growth require to be identified. This helps to implement </w:t>
                            </w:r>
                            <w:proofErr w:type="spellStart"/>
                            <w:r>
                              <w:rPr>
                                <w:rFonts w:ascii="Times New Roman" w:hAnsi="Times New Roman"/>
                              </w:rPr>
                              <w:t>appropariate</w:t>
                            </w:r>
                            <w:proofErr w:type="spellEnd"/>
                            <w:r>
                              <w:rPr>
                                <w:rFonts w:ascii="Times New Roman" w:hAnsi="Times New Roman"/>
                              </w:rPr>
                              <w:t xml:space="preserve"> remedial measures/intervention programmes. The programmes can be introduced at the school, familial, or societal level. Factors responsible for poor academic progress could be emotional, </w:t>
                            </w:r>
                            <w:proofErr w:type="spellStart"/>
                            <w:r>
                              <w:rPr>
                                <w:rFonts w:ascii="Times New Roman" w:hAnsi="Times New Roman"/>
                              </w:rPr>
                              <w:t>environmenmtal</w:t>
                            </w:r>
                            <w:proofErr w:type="spellEnd"/>
                            <w:r>
                              <w:rPr>
                                <w:rFonts w:ascii="Times New Roman" w:hAnsi="Times New Roman"/>
                              </w:rPr>
                              <w:t>, and medical</w:t>
                            </w:r>
                            <w:sdt>
                              <w:sdtPr>
                                <w:rPr>
                                  <w:rFonts w:ascii="Times New Roman" w:hAnsi="Times New Roman"/>
                                </w:rPr>
                                <w:id w:val="1097223086"/>
                                <w:citation/>
                              </w:sdtPr>
                              <w:sdtEndPr/>
                              <w:sdtContent>
                                <w:r>
                                  <w:rPr>
                                    <w:rFonts w:ascii="Times New Roman" w:hAnsi="Times New Roman"/>
                                  </w:rPr>
                                  <w:fldChar w:fldCharType="begin"/>
                                </w:r>
                                <w:r>
                                  <w:rPr>
                                    <w:rFonts w:ascii="Times New Roman" w:hAnsi="Times New Roman"/>
                                    <w:lang w:val="en-US"/>
                                  </w:rPr>
                                  <w:instrText xml:space="preserve"> CITATION Nas17 \l 1033 </w:instrText>
                                </w:r>
                                <w:r>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(Nasreenbanu &amp; Yashoda, 2017)</w:t>
                                </w:r>
                                <w:r>
                                  <w:rPr>
                                    <w:rFonts w:ascii="Times New Roman" w:hAnsi="Times New Roman"/>
                                  </w:rPr>
                                  <w:fldChar w:fldCharType="end"/>
                                </w:r>
                              </w:sdtContent>
                            </w:sdt>
                            <w:r>
                              <w:rPr>
                                <w:rFonts w:ascii="Times New Roman" w:hAnsi="Times New Roman"/>
                              </w:rPr>
                              <w:t>.</w:t>
                            </w:r>
                          </w:p>
                          <w:p w14:paraId="7D09A890" w14:textId="77777777" w:rsidR="002E5195" w:rsidRDefault="002E5195" w:rsidP="00B809B0">
                            <w:pPr>
                              <w:spacing w:after="0" w:line="240" w:lineRule="auto"/>
                              <w:jc w:val="both"/>
                              <w:rPr>
                                <w:rFonts w:ascii="Times New Roman" w:hAnsi="Times New Roman"/>
                              </w:rPr>
                            </w:pPr>
                          </w:p>
                          <w:p w14:paraId="68A0357C" w14:textId="77777777" w:rsidR="002E5195" w:rsidRDefault="002E5195" w:rsidP="000151D5">
                            <w:pPr>
                              <w:spacing w:after="0" w:line="240" w:lineRule="auto"/>
                              <w:jc w:val="both"/>
                              <w:rPr>
                                <w:rFonts w:ascii="Times New Roman" w:hAnsi="Times New Roman"/>
                              </w:rPr>
                            </w:pPr>
                            <w:r>
                              <w:rPr>
                                <w:rFonts w:ascii="Times New Roman" w:hAnsi="Times New Roman"/>
                              </w:rPr>
                              <w:t xml:space="preserve">These factors usually affect the academics of adolescents. Indeed, in students, emotional disorders like anxiety, obsessive-compulsive disorders, mood disorders, depression, and psychosomatic disorders are widespread. These require concerted remedial programs that take cognizance of environment and relational factors. Environmental factors for poor school grades include </w:t>
                            </w:r>
                            <w:r w:rsidRPr="00A92045">
                              <w:rPr>
                                <w:rFonts w:ascii="Times New Roman" w:hAnsi="Times New Roman"/>
                                <w:color w:val="A95715" w:themeColor="accent3" w:themeShade="BF"/>
                              </w:rPr>
                              <w:t>circumstances at home</w:t>
                            </w:r>
                            <w:r>
                              <w:rPr>
                                <w:rFonts w:ascii="Times New Roman" w:hAnsi="Times New Roman"/>
                              </w:rPr>
                              <w:t>, at school, and in the neighbourhood. Relations with friends also influence academic performance – children from broken homes, those having alcoholic parents, and those subjected to physical and verbal abuse display poor academic performance. Remedial programs can boost the learning proficiencies in such children.</w:t>
                            </w:r>
                          </w:p>
                          <w:p w14:paraId="6530CEE7" w14:textId="77777777" w:rsidR="002E5195" w:rsidRDefault="002E5195" w:rsidP="000151D5">
                            <w:pPr>
                              <w:spacing w:after="0" w:line="240" w:lineRule="auto"/>
                              <w:jc w:val="both"/>
                              <w:rPr>
                                <w:rFonts w:ascii="Times New Roman" w:hAnsi="Times New Roman"/>
                              </w:rPr>
                            </w:pPr>
                          </w:p>
                          <w:p w14:paraId="1C7E7399" w14:textId="77777777" w:rsidR="002E5195" w:rsidRPr="00B809B0" w:rsidRDefault="002E5195" w:rsidP="000151D5">
                            <w:pPr>
                              <w:spacing w:after="0" w:line="240" w:lineRule="auto"/>
                              <w:jc w:val="both"/>
                              <w:rPr>
                                <w:rFonts w:ascii="Times New Roman" w:hAnsi="Times New Roman"/>
                                <w:b/>
                              </w:rPr>
                            </w:pPr>
                            <w:r>
                              <w:rPr>
                                <w:rFonts w:ascii="Times New Roman" w:hAnsi="Times New Roman"/>
                                <w:b/>
                              </w:rPr>
                              <w:t>3. Need-based merit scholarships</w:t>
                            </w:r>
                          </w:p>
                          <w:p w14:paraId="7694856F" w14:textId="6041BE27" w:rsidR="002E5195" w:rsidRPr="0017157D" w:rsidRDefault="002E5195" w:rsidP="00B809B0">
                            <w:pPr>
                              <w:spacing w:after="0" w:line="240" w:lineRule="auto"/>
                              <w:jc w:val="both"/>
                              <w:rPr>
                                <w:rFonts w:ascii="Times New Roman" w:hAnsi="Times New Roman"/>
                              </w:rPr>
                            </w:pPr>
                            <w:r>
                              <w:rPr>
                                <w:rFonts w:ascii="Times New Roman" w:hAnsi="Times New Roman"/>
                              </w:rPr>
                              <w:t>Poverty decreases a child’s readiness for school via aspects of health, home life, schooling dynamics, and neighbourhood realities. Six poverty-related factors are known to impact child development and school readiness. They are, the incidence of poverty, the depth of poverty, the duration of poverty, the timing of poverty (e.g., age of the child), community characteristics (e.g., concentration of poverty and crime in the neighbourhood, and school characteristics), and the impact that poverty has on the child’s social networks (parents, relatives, and neighbours)</w:t>
                            </w:r>
                            <w:r>
                              <w:rPr>
                                <w:rFonts w:ascii="Times New Roman" w:hAnsi="Times New Roman"/>
                                <w:noProof/>
                                <w:lang w:val="en-US"/>
                              </w:rPr>
                              <w:t xml:space="preserve"> </w:t>
                            </w:r>
                            <w:r w:rsidRPr="00F845CA">
                              <w:rPr>
                                <w:rFonts w:ascii="Times New Roman" w:hAnsi="Times New Roman"/>
                                <w:noProof/>
                                <w:lang w:val="en-US"/>
                              </w:rPr>
                              <w:t xml:space="preserve">(Ferguson, </w:t>
                            </w:r>
                            <w:r>
                              <w:rPr>
                                <w:rFonts w:ascii="Times New Roman" w:hAnsi="Times New Roman"/>
                                <w:noProof/>
                                <w:lang w:val="en-US"/>
                              </w:rPr>
                              <w:t>et al.</w:t>
                            </w:r>
                            <w:r w:rsidRPr="00F845CA">
                              <w:rPr>
                                <w:rFonts w:ascii="Times New Roman" w:hAnsi="Times New Roman"/>
                                <w:noProof/>
                                <w:lang w:val="en-US"/>
                              </w:rPr>
                              <w:t>, 2007)</w:t>
                            </w:r>
                            <w:r>
                              <w:rPr>
                                <w:rFonts w:ascii="Times New Roman" w:hAnsi="Times New Roman"/>
                              </w:rPr>
                              <w:t xml:space="preserve">. A child’s home has a particularly strong impact on readiness for school. </w:t>
                            </w:r>
                            <w:r>
                              <w:rPr>
                                <w:rFonts w:ascii="Times New Roman" w:hAnsi="Times New Roman"/>
                                <w:color w:val="A95715" w:themeColor="accent3" w:themeShade="BF"/>
                              </w:rPr>
                              <w:t>Children from poor</w:t>
                            </w:r>
                            <w:r w:rsidRPr="00332210">
                              <w:rPr>
                                <w:rFonts w:ascii="Times New Roman" w:hAnsi="Times New Roman"/>
                                <w:color w:val="A95715" w:themeColor="accent3" w:themeShade="BF"/>
                              </w:rPr>
                              <w:t xml:space="preserve"> families often do not receive the stimulation</w:t>
                            </w:r>
                            <w:r>
                              <w:rPr>
                                <w:rFonts w:ascii="Times New Roman" w:hAnsi="Times New Roman"/>
                                <w:color w:val="A95715" w:themeColor="accent3" w:themeShade="BF"/>
                              </w:rPr>
                              <w:t>,</w:t>
                            </w:r>
                            <w:r w:rsidRPr="00332210">
                              <w:rPr>
                                <w:rFonts w:ascii="Times New Roman" w:hAnsi="Times New Roman"/>
                                <w:color w:val="A95715" w:themeColor="accent3" w:themeShade="BF"/>
                              </w:rPr>
                              <w:t xml:space="preserve"> and do not learn the social skills</w:t>
                            </w:r>
                            <w:r>
                              <w:rPr>
                                <w:rFonts w:ascii="Times New Roman" w:hAnsi="Times New Roman"/>
                                <w:color w:val="A95715" w:themeColor="accent3" w:themeShade="BF"/>
                              </w:rPr>
                              <w:t>,</w:t>
                            </w:r>
                            <w:r w:rsidRPr="00332210">
                              <w:rPr>
                                <w:rFonts w:ascii="Times New Roman" w:hAnsi="Times New Roman"/>
                                <w:color w:val="A95715" w:themeColor="accent3" w:themeShade="BF"/>
                              </w:rPr>
                              <w:t xml:space="preserve"> required to prepare them for school. T</w:t>
                            </w:r>
                            <w:r>
                              <w:rPr>
                                <w:rFonts w:ascii="Times New Roman" w:hAnsi="Times New Roman"/>
                                <w:color w:val="A95715" w:themeColor="accent3" w:themeShade="BF"/>
                              </w:rPr>
                              <w:t>he t</w:t>
                            </w:r>
                            <w:r w:rsidRPr="00332210">
                              <w:rPr>
                                <w:rFonts w:ascii="Times New Roman" w:hAnsi="Times New Roman"/>
                                <w:color w:val="A95715" w:themeColor="accent3" w:themeShade="BF"/>
                              </w:rPr>
                              <w:t xml:space="preserve">ypical problems </w:t>
                            </w:r>
                            <w:r>
                              <w:rPr>
                                <w:rFonts w:ascii="Times New Roman" w:hAnsi="Times New Roman"/>
                                <w:color w:val="A95715" w:themeColor="accent3" w:themeShade="BF"/>
                              </w:rPr>
                              <w:t>that they encounter include</w:t>
                            </w:r>
                            <w:r w:rsidRPr="00332210">
                              <w:rPr>
                                <w:rFonts w:ascii="Times New Roman" w:hAnsi="Times New Roman"/>
                                <w:color w:val="A95715" w:themeColor="accent3" w:themeShade="BF"/>
                              </w:rPr>
                              <w:t>, parental inconsistency (with regard to daily routines and parenting), frequent changes of primary caregivers, lack of supervision, and poor role modelling</w:t>
                            </w:r>
                            <w:r>
                              <w:rPr>
                                <w:rFonts w:ascii="Times New Roman" w:hAnsi="Times New Roman"/>
                              </w:rPr>
                              <w:t>. Very often, the parents of these children also lack needed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left:0;text-align:left;margin-left:-10.95pt;margin-top:26.7pt;width:451pt;height:655.3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" filled="f" stroked="f">
                <v:textbox>
                  <w:txbxContent>
                    <w:p w14:paraId="0FA3BE36" w14:textId="33012943" w:rsidR="002E5195" w:rsidRPr="006C6460" w:rsidRDefault="002E5195" w:rsidP="00B809B0">
                      <w:pPr>
                        <w:spacing w:after="0" w:line="240" w:lineRule="auto"/>
                        <w:jc w:val="both"/>
                        <w:rPr>
                          <w:rFonts w:ascii="Times New Roman" w:hAnsi="Times New Roman"/>
                          <w:b/>
                          <w:color w:val="FF0000"/>
                        </w:rPr>
                      </w:pPr>
                      <w:r w:rsidRPr="006C6460">
                        <w:rPr>
                          <w:rFonts w:ascii="Times New Roman" w:hAnsi="Times New Roman"/>
                          <w:b/>
                          <w:color w:val="FF0000"/>
                        </w:rPr>
                        <w:t>KEY ISSUES</w:t>
                      </w:r>
                      <w:r>
                        <w:rPr>
                          <w:rFonts w:ascii="Times New Roman" w:hAnsi="Times New Roman"/>
                          <w:b/>
                          <w:color w:val="FF0000"/>
                        </w:rPr>
                        <w:t xml:space="preserve"> </w:t>
                      </w:r>
                    </w:p>
                    <w:p w14:paraId="7E9C54EC" w14:textId="6C02AEE1" w:rsidR="002E5195" w:rsidRPr="00B809B0" w:rsidRDefault="002E5195" w:rsidP="00B809B0">
                      <w:pPr>
                        <w:spacing w:after="0" w:line="240" w:lineRule="auto"/>
                        <w:jc w:val="both"/>
                        <w:rPr>
                          <w:rFonts w:ascii="Times New Roman" w:hAnsi="Times New Roman"/>
                          <w:b/>
                        </w:rPr>
                      </w:pPr>
                      <w:r>
                        <w:rPr>
                          <w:rFonts w:ascii="Times New Roman" w:hAnsi="Times New Roman"/>
                          <w:b/>
                        </w:rPr>
                        <w:t>1. Support to acquire uniforms and other educational requirements</w:t>
                      </w:r>
                    </w:p>
                    <w:p w14:paraId="06248BC3" w14:textId="52E23632" w:rsidR="002E5195" w:rsidRDefault="002E5195" w:rsidP="00B809B0">
                      <w:pPr>
                        <w:spacing w:after="0" w:line="240" w:lineRule="auto"/>
                        <w:jc w:val="both"/>
                        <w:rPr>
                          <w:rFonts w:ascii="Times New Roman" w:hAnsi="Times New Roman"/>
                        </w:rPr>
                      </w:pPr>
                      <w:r>
                        <w:rPr>
                          <w:rFonts w:ascii="Times New Roman" w:hAnsi="Times New Roman"/>
                        </w:rPr>
                        <w:t xml:space="preserve">In Kenya, with the abolition of general school fees, the cost of uniform is the highest monetary outlay for primary school </w:t>
                      </w:r>
                      <w:r w:rsidRPr="00F845CA">
                        <w:rPr>
                          <w:rFonts w:ascii="Times New Roman" w:hAnsi="Times New Roman"/>
                          <w:noProof/>
                          <w:lang w:val="en-US"/>
                        </w:rPr>
                        <w:t xml:space="preserve">(Evans, </w:t>
                      </w:r>
                      <w:r>
                        <w:rPr>
                          <w:rFonts w:ascii="Times New Roman" w:hAnsi="Times New Roman"/>
                          <w:noProof/>
                          <w:lang w:val="en-US"/>
                        </w:rPr>
                        <w:t>et al.,</w:t>
                      </w:r>
                      <w:r w:rsidRPr="00F845CA">
                        <w:rPr>
                          <w:rFonts w:ascii="Times New Roman" w:hAnsi="Times New Roman"/>
                          <w:noProof/>
                          <w:lang w:val="en-US"/>
                        </w:rPr>
                        <w:t xml:space="preserve"> 2009)</w:t>
                      </w:r>
                      <w:r>
                        <w:rPr>
                          <w:rFonts w:ascii="Times New Roman" w:hAnsi="Times New Roman"/>
                        </w:rPr>
                        <w:t>. Anecdotal evidence suggests that students are less likely to be sent away from school for failure to wear a uniform after 2002 than previously, but that students often feel stigmatised due to their failure to wear uniform, and may be reprimanded by teachers (Evans, et al., 2009). Existing evidence evokes that reducing the cost of schooling by providing uniforms, among other inputs, increases school participation (Evans, et al., 2009). Evans, et al (2009) also established that distributing uniforms results in a 44% reduction in student absenteeism. For children who did not already have uniform, distributing uniform was reported to reduce absenteeism by 62% (Evans, et al., 2009). Evans, et al (2009) also reported the existence of positive impacts of distributing uniforms on student performance. The cost of primary school uniforms in Kenya in early 2000 varied between 325 and 550 Kenya Shillings (US$4.33 to US$7.33) for girls, and between 405 and 550 (US$5.40 to US$7.33) for boys</w:t>
                      </w:r>
                      <w:r>
                        <w:rPr>
                          <w:rFonts w:ascii="Times New Roman" w:hAnsi="Times New Roman"/>
                          <w:noProof/>
                          <w:lang w:val="en-US"/>
                        </w:rPr>
                        <w:t xml:space="preserve"> </w:t>
                      </w:r>
                      <w:r w:rsidRPr="00F845CA">
                        <w:rPr>
                          <w:rFonts w:ascii="Times New Roman" w:hAnsi="Times New Roman"/>
                          <w:noProof/>
                          <w:lang w:val="en-US"/>
                        </w:rPr>
                        <w:t xml:space="preserve">(Kremer, </w:t>
                      </w:r>
                      <w:r>
                        <w:rPr>
                          <w:rFonts w:ascii="Times New Roman" w:hAnsi="Times New Roman"/>
                          <w:noProof/>
                          <w:lang w:val="en-US"/>
                        </w:rPr>
                        <w:t>et al.</w:t>
                      </w:r>
                      <w:r w:rsidRPr="00F845CA">
                        <w:rPr>
                          <w:rFonts w:ascii="Times New Roman" w:hAnsi="Times New Roman"/>
                          <w:noProof/>
                          <w:lang w:val="en-US"/>
                        </w:rPr>
                        <w:t>, 2002)</w:t>
                      </w:r>
                      <w:r>
                        <w:rPr>
                          <w:rFonts w:ascii="Times New Roman" w:hAnsi="Times New Roman"/>
                        </w:rPr>
                        <w:t>. The variation in prices is because uniforms for each school and gender require different materials and designs.</w:t>
                      </w:r>
                    </w:p>
                    <w:p w14:paraId="276DEDD0" w14:textId="77777777" w:rsidR="002E5195" w:rsidRDefault="002E5195" w:rsidP="00B809B0">
                      <w:pPr>
                        <w:spacing w:after="0" w:line="240" w:lineRule="auto"/>
                        <w:jc w:val="both"/>
                        <w:rPr>
                          <w:rFonts w:ascii="Times New Roman" w:hAnsi="Times New Roman"/>
                        </w:rPr>
                      </w:pPr>
                    </w:p>
                    <w:p w14:paraId="4840A35F" w14:textId="7CFB7AF8" w:rsidR="002E5195" w:rsidRPr="00B809B0" w:rsidRDefault="002E5195" w:rsidP="00594D2D">
                      <w:pPr>
                        <w:spacing w:after="0" w:line="240" w:lineRule="auto"/>
                        <w:jc w:val="both"/>
                        <w:rPr>
                          <w:rFonts w:ascii="Times New Roman" w:hAnsi="Times New Roman"/>
                          <w:b/>
                        </w:rPr>
                      </w:pPr>
                      <w:r>
                        <w:rPr>
                          <w:rFonts w:ascii="Times New Roman" w:hAnsi="Times New Roman"/>
                          <w:b/>
                        </w:rPr>
                        <w:t>2. Remedial programs</w:t>
                      </w:r>
                    </w:p>
                    <w:p w14:paraId="6ED10C0D" w14:textId="701FD10C" w:rsidR="002E5195" w:rsidRDefault="002E5195" w:rsidP="00B809B0">
                      <w:pPr>
                        <w:spacing w:after="0" w:line="240" w:lineRule="auto"/>
                        <w:jc w:val="both"/>
                        <w:rPr>
                          <w:rFonts w:ascii="Times New Roman" w:hAnsi="Times New Roman"/>
                        </w:rPr>
                      </w:pPr>
                      <w:r>
                        <w:rPr>
                          <w:rFonts w:ascii="Times New Roman" w:hAnsi="Times New Roman"/>
                        </w:rPr>
                        <w:t xml:space="preserve">Commercialisation of education is a global phenomenon now. Tough competition among learners is therefore a norm. In such scenarios, only those students with good grades get admitted to good secondary schools and, pursue the course of study of their choice. This translates into better prospects of employment for them. Academic accomplishments therefore become the benchmark of self-worth and success. Given this reality, educators, trainers, and researchers have for long strived to identify educational facets that efficiently promote learning. Factors that contribute to academic backwardness and are threat to academic growth require to be identified. This helps to implement </w:t>
                      </w:r>
                      <w:proofErr w:type="spellStart"/>
                      <w:r>
                        <w:rPr>
                          <w:rFonts w:ascii="Times New Roman" w:hAnsi="Times New Roman"/>
                        </w:rPr>
                        <w:t>appropariate</w:t>
                      </w:r>
                      <w:proofErr w:type="spellEnd"/>
                      <w:r>
                        <w:rPr>
                          <w:rFonts w:ascii="Times New Roman" w:hAnsi="Times New Roman"/>
                        </w:rPr>
                        <w:t xml:space="preserve"> remedial measures/intervention programmes. The programmes can be introduced at the school, familial, or societal level. Factors responsible for poor academic progress could be emotional, </w:t>
                      </w:r>
                      <w:proofErr w:type="spellStart"/>
                      <w:r>
                        <w:rPr>
                          <w:rFonts w:ascii="Times New Roman" w:hAnsi="Times New Roman"/>
                        </w:rPr>
                        <w:t>environmenmtal</w:t>
                      </w:r>
                      <w:proofErr w:type="spellEnd"/>
                      <w:r>
                        <w:rPr>
                          <w:rFonts w:ascii="Times New Roman" w:hAnsi="Times New Roman"/>
                        </w:rPr>
                        <w:t>, and medical</w:t>
                      </w:r>
                      <w:sdt>
                        <w:sdtPr>
                          <w:rPr>
                            <w:rFonts w:ascii="Times New Roman" w:hAnsi="Times New Roman"/>
                          </w:rPr>
                          <w:id w:val="1097223086"/>
                          <w:citation/>
                        </w:sdtPr>
                        <w:sdtEndPr/>
                        <w:sdtContent>
                          <w:r>
                            <w:rPr>
                              <w:rFonts w:ascii="Times New Roman" w:hAnsi="Times New Roman"/>
                            </w:rPr>
                            <w:fldChar w:fldCharType="begin"/>
                          </w:r>
                          <w:r>
                            <w:rPr>
                              <w:rFonts w:ascii="Times New Roman" w:hAnsi="Times New Roman"/>
                              <w:lang w:val="en-US"/>
                            </w:rPr>
                            <w:instrText xml:space="preserve"> CITATION Nas17 \l 1033 </w:instrText>
                          </w:r>
                          <w:r>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(Nasreenbanu &amp; Yashoda, 2017)</w:t>
                          </w:r>
                          <w:r>
                            <w:rPr>
                              <w:rFonts w:ascii="Times New Roman" w:hAnsi="Times New Roman"/>
                            </w:rPr>
                            <w:fldChar w:fldCharType="end"/>
                          </w:r>
                        </w:sdtContent>
                      </w:sdt>
                      <w:r>
                        <w:rPr>
                          <w:rFonts w:ascii="Times New Roman" w:hAnsi="Times New Roman"/>
                        </w:rPr>
                        <w:t>.</w:t>
                      </w:r>
                    </w:p>
                    <w:p w14:paraId="7D09A890" w14:textId="77777777" w:rsidR="002E5195" w:rsidRDefault="002E5195" w:rsidP="00B809B0">
                      <w:pPr>
                        <w:spacing w:after="0" w:line="240" w:lineRule="auto"/>
                        <w:jc w:val="both"/>
                        <w:rPr>
                          <w:rFonts w:ascii="Times New Roman" w:hAnsi="Times New Roman"/>
                        </w:rPr>
                      </w:pPr>
                    </w:p>
                    <w:p w14:paraId="68A0357C" w14:textId="77777777" w:rsidR="002E5195" w:rsidRDefault="002E5195" w:rsidP="000151D5">
                      <w:pPr>
                        <w:spacing w:after="0" w:line="240" w:lineRule="auto"/>
                        <w:jc w:val="both"/>
                        <w:rPr>
                          <w:rFonts w:ascii="Times New Roman" w:hAnsi="Times New Roman"/>
                        </w:rPr>
                      </w:pPr>
                      <w:r>
                        <w:rPr>
                          <w:rFonts w:ascii="Times New Roman" w:hAnsi="Times New Roman"/>
                        </w:rPr>
                        <w:t xml:space="preserve">These factors usually affect the academics of adolescents. Indeed, in students, emotional disorders like anxiety, obsessive-compulsive disorders, mood disorders, depression, and psychosomatic disorders are widespread. These require concerted remedial programs that take cognizance of environment and relational factors. Environmental factors for poor school grades include </w:t>
                      </w:r>
                      <w:r w:rsidRPr="00A92045">
                        <w:rPr>
                          <w:rFonts w:ascii="Times New Roman" w:hAnsi="Times New Roman"/>
                          <w:color w:val="A95715" w:themeColor="accent3" w:themeShade="BF"/>
                        </w:rPr>
                        <w:t>circumstances at home</w:t>
                      </w:r>
                      <w:r>
                        <w:rPr>
                          <w:rFonts w:ascii="Times New Roman" w:hAnsi="Times New Roman"/>
                        </w:rPr>
                        <w:t>, at school, and in the neighbourhood. Relations with friends also influence academic performance – children from broken homes, those having alcoholic parents, and those subjected to physical and verbal abuse display poor academic performance. Remedial programs can boost the learning proficiencies in such children.</w:t>
                      </w:r>
                    </w:p>
                    <w:p w14:paraId="6530CEE7" w14:textId="77777777" w:rsidR="002E5195" w:rsidRDefault="002E5195" w:rsidP="000151D5">
                      <w:pPr>
                        <w:spacing w:after="0" w:line="240" w:lineRule="auto"/>
                        <w:jc w:val="both"/>
                        <w:rPr>
                          <w:rFonts w:ascii="Times New Roman" w:hAnsi="Times New Roman"/>
                        </w:rPr>
                      </w:pPr>
                    </w:p>
                    <w:p w14:paraId="1C7E7399" w14:textId="77777777" w:rsidR="002E5195" w:rsidRPr="00B809B0" w:rsidRDefault="002E5195" w:rsidP="000151D5">
                      <w:pPr>
                        <w:spacing w:after="0" w:line="240" w:lineRule="auto"/>
                        <w:jc w:val="both"/>
                        <w:rPr>
                          <w:rFonts w:ascii="Times New Roman" w:hAnsi="Times New Roman"/>
                          <w:b/>
                        </w:rPr>
                      </w:pPr>
                      <w:r>
                        <w:rPr>
                          <w:rFonts w:ascii="Times New Roman" w:hAnsi="Times New Roman"/>
                          <w:b/>
                        </w:rPr>
                        <w:t>3. Need-based merit scholarships</w:t>
                      </w:r>
                    </w:p>
                    <w:p w14:paraId="7694856F" w14:textId="6041BE27" w:rsidR="002E5195" w:rsidRPr="0017157D" w:rsidRDefault="002E5195" w:rsidP="00B809B0">
                      <w:pPr>
                        <w:spacing w:after="0" w:line="240" w:lineRule="auto"/>
                        <w:jc w:val="both"/>
                        <w:rPr>
                          <w:rFonts w:ascii="Times New Roman" w:hAnsi="Times New Roman"/>
                        </w:rPr>
                      </w:pPr>
                      <w:r>
                        <w:rPr>
                          <w:rFonts w:ascii="Times New Roman" w:hAnsi="Times New Roman"/>
                        </w:rPr>
                        <w:t>Poverty decreases a child’s readiness for school via aspects of health, home life, schooling dynamics, and neighbourhood realities. Six poverty-related factors are known to impact child development and school readiness. They are, the incidence of poverty, the depth of poverty, the duration of poverty, the timing of poverty (e.g., age of the child), community characteristics (e.g., concentration of poverty and crime in the neighbourhood, and school characteristics), and the impact that poverty has on the child’s social networks (parents, relatives, and neighbours)</w:t>
                      </w:r>
                      <w:r>
                        <w:rPr>
                          <w:rFonts w:ascii="Times New Roman" w:hAnsi="Times New Roman"/>
                          <w:noProof/>
                          <w:lang w:val="en-US"/>
                        </w:rPr>
                        <w:t xml:space="preserve"> </w:t>
                      </w:r>
                      <w:r w:rsidRPr="00F845CA">
                        <w:rPr>
                          <w:rFonts w:ascii="Times New Roman" w:hAnsi="Times New Roman"/>
                          <w:noProof/>
                          <w:lang w:val="en-US"/>
                        </w:rPr>
                        <w:t xml:space="preserve">(Ferguson, </w:t>
                      </w:r>
                      <w:r>
                        <w:rPr>
                          <w:rFonts w:ascii="Times New Roman" w:hAnsi="Times New Roman"/>
                          <w:noProof/>
                          <w:lang w:val="en-US"/>
                        </w:rPr>
                        <w:t>et al.</w:t>
                      </w:r>
                      <w:r w:rsidRPr="00F845CA">
                        <w:rPr>
                          <w:rFonts w:ascii="Times New Roman" w:hAnsi="Times New Roman"/>
                          <w:noProof/>
                          <w:lang w:val="en-US"/>
                        </w:rPr>
                        <w:t>, 2007)</w:t>
                      </w:r>
                      <w:r>
                        <w:rPr>
                          <w:rFonts w:ascii="Times New Roman" w:hAnsi="Times New Roman"/>
                        </w:rPr>
                        <w:t xml:space="preserve">. A child’s home has a particularly strong impact on readiness for school. </w:t>
                      </w:r>
                      <w:r>
                        <w:rPr>
                          <w:rFonts w:ascii="Times New Roman" w:hAnsi="Times New Roman"/>
                          <w:color w:val="A95715" w:themeColor="accent3" w:themeShade="BF"/>
                        </w:rPr>
                        <w:t>Children from poor</w:t>
                      </w:r>
                      <w:r w:rsidRPr="00332210">
                        <w:rPr>
                          <w:rFonts w:ascii="Times New Roman" w:hAnsi="Times New Roman"/>
                          <w:color w:val="A95715" w:themeColor="accent3" w:themeShade="BF"/>
                        </w:rPr>
                        <w:t xml:space="preserve"> families often do not receive the stimulation</w:t>
                      </w:r>
                      <w:r>
                        <w:rPr>
                          <w:rFonts w:ascii="Times New Roman" w:hAnsi="Times New Roman"/>
                          <w:color w:val="A95715" w:themeColor="accent3" w:themeShade="BF"/>
                        </w:rPr>
                        <w:t>,</w:t>
                      </w:r>
                      <w:r w:rsidRPr="00332210">
                        <w:rPr>
                          <w:rFonts w:ascii="Times New Roman" w:hAnsi="Times New Roman"/>
                          <w:color w:val="A95715" w:themeColor="accent3" w:themeShade="BF"/>
                        </w:rPr>
                        <w:t xml:space="preserve"> and do not learn the social skills</w:t>
                      </w:r>
                      <w:r>
                        <w:rPr>
                          <w:rFonts w:ascii="Times New Roman" w:hAnsi="Times New Roman"/>
                          <w:color w:val="A95715" w:themeColor="accent3" w:themeShade="BF"/>
                        </w:rPr>
                        <w:t>,</w:t>
                      </w:r>
                      <w:r w:rsidRPr="00332210">
                        <w:rPr>
                          <w:rFonts w:ascii="Times New Roman" w:hAnsi="Times New Roman"/>
                          <w:color w:val="A95715" w:themeColor="accent3" w:themeShade="BF"/>
                        </w:rPr>
                        <w:t xml:space="preserve"> required to prepare them for school. T</w:t>
                      </w:r>
                      <w:r>
                        <w:rPr>
                          <w:rFonts w:ascii="Times New Roman" w:hAnsi="Times New Roman"/>
                          <w:color w:val="A95715" w:themeColor="accent3" w:themeShade="BF"/>
                        </w:rPr>
                        <w:t>he t</w:t>
                      </w:r>
                      <w:r w:rsidRPr="00332210">
                        <w:rPr>
                          <w:rFonts w:ascii="Times New Roman" w:hAnsi="Times New Roman"/>
                          <w:color w:val="A95715" w:themeColor="accent3" w:themeShade="BF"/>
                        </w:rPr>
                        <w:t xml:space="preserve">ypical problems </w:t>
                      </w:r>
                      <w:r>
                        <w:rPr>
                          <w:rFonts w:ascii="Times New Roman" w:hAnsi="Times New Roman"/>
                          <w:color w:val="A95715" w:themeColor="accent3" w:themeShade="BF"/>
                        </w:rPr>
                        <w:t>that they encounter include</w:t>
                      </w:r>
                      <w:r w:rsidRPr="00332210">
                        <w:rPr>
                          <w:rFonts w:ascii="Times New Roman" w:hAnsi="Times New Roman"/>
                          <w:color w:val="A95715" w:themeColor="accent3" w:themeShade="BF"/>
                        </w:rPr>
                        <w:t>, parental inconsistency (with regard to daily routines and parenting), frequent changes of primary caregivers, lack of supervision, and poor role modelling</w:t>
                      </w:r>
                      <w:r>
                        <w:rPr>
                          <w:rFonts w:ascii="Times New Roman" w:hAnsi="Times New Roman"/>
                        </w:rPr>
                        <w:t>. Very often, the parents of these children also lack needed support</w:t>
                      </w:r>
                    </w:p>
                  </w:txbxContent>
                </v:textbox>
                <w10:wrap type="square"/>
              </v:shape>
            </w:pict>
          </mc:Fallback>
        </mc:AlternateContent>
      </w:r>
      <w:r w:rsidRPr="00594D2D">
        <w:rPr>
          <w:noProof/>
          <w:lang w:val="en-US"/>
        </w:rPr>
        <mc:AlternateContent>
          <mc:Choice Requires="wps">
            <w:drawing>
              <wp:anchor distT="0" distB="0" distL="114300" distR="114300" simplePos="0" relativeHeight="252617728" behindDoc="0" locked="0" layoutInCell="1" allowOverlap="1" wp14:anchorId="04D2AC40" wp14:editId="4B3A281F">
                <wp:simplePos x="0" y="0"/>
                <wp:positionH relativeFrom="margin">
                  <wp:posOffset>-1087120</wp:posOffset>
                </wp:positionH>
                <wp:positionV relativeFrom="paragraph">
                  <wp:posOffset>320040</wp:posOffset>
                </wp:positionV>
                <wp:extent cx="7648575" cy="834199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7648575" cy="8341995"/>
                        </a:xfrm>
                        <a:prstGeom prst="rect">
                          <a:avLst/>
                        </a:prstGeom>
                        <a:solidFill>
                          <a:schemeClr val="tx2">
                            <a:lumMod val="25000"/>
                            <a:lumOff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DECA4C" w14:textId="02536186" w:rsidR="002E5195" w:rsidRDefault="002E5195" w:rsidP="00D91DC4">
                            <w:pPr>
                              <w:ind w:left="1560"/>
                            </w:pPr>
                            <w:r>
                              <w:rPr>
                                <w:noProof/>
                                <w:lang w:val="en-US"/>
                              </w:rPr>
                              <w:drawing>
                                <wp:inline distT="0" distB="0" distL="0" distR="0" wp14:anchorId="6CC4BD0D" wp14:editId="1064B3D3">
                                  <wp:extent cx="5266055" cy="8872855"/>
                                  <wp:effectExtent l="0" t="0" r="0" b="0"/>
                                  <wp:docPr id="7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7" type="#_x0000_t202" style="position:absolute;left:0;text-align:left;margin-left:-85.55pt;margin-top:25.2pt;width:602.25pt;height:656.85pt;z-index:25261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" mv:complextextbox="1" fillcolor="#a0c6f0 [831]" stroked="f">
                <v:textbox>
                  <w:txbxContent>
                    <w:p w14:paraId="04DECA4C" w14:textId="02536186" w:rsidR="002E5195" w:rsidRDefault="002E5195" w:rsidP="00D91DC4">
                      <w:pPr>
                        <w:ind w:left="1560"/>
                      </w:pPr>
                      <w:r>
                        <w:rPr>
                          <w:noProof/>
                          <w:lang w:val="en-US"/>
                        </w:rPr>
                        <w:drawing>
                          <wp:inline distT="0" distB="0" distL="0" distR="0" wp14:anchorId="6CC4BD0D" wp14:editId="1064B3D3">
                            <wp:extent cx="5266055" cy="8872855"/>
                            <wp:effectExtent l="0" t="0" r="0" b="0"/>
                            <wp:docPr id="7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v:textbox>
                <w10:wrap type="topAndBottom" anchorx="margin"/>
              </v:shape>
            </w:pict>
          </mc:Fallback>
        </mc:AlternateContent>
      </w:r>
      <w:r w:rsidR="00C17354" w:rsidRPr="00594D2D">
        <w:rPr>
          <w:rFonts w:ascii="Times New Roman" w:hAnsi="Times New Roman"/>
        </w:rPr>
        <w:t>Sc</w:t>
      </w:r>
      <w:r w:rsidR="00E71B8D" w:rsidRPr="00594D2D">
        <w:rPr>
          <w:rFonts w:ascii="Times New Roman" w:hAnsi="Times New Roman"/>
        </w:rPr>
        <w:t xml:space="preserve">hool infrastructure </w:t>
      </w:r>
      <w:r w:rsidR="00C17354" w:rsidRPr="00594D2D">
        <w:rPr>
          <w:rFonts w:ascii="Times New Roman" w:hAnsi="Times New Roman"/>
        </w:rPr>
        <w:t>improvement</w:t>
      </w:r>
      <w:r w:rsidR="00882221" w:rsidRPr="00594D2D">
        <w:rPr>
          <w:rFonts w:ascii="Times New Roman" w:hAnsi="Times New Roman"/>
        </w:rPr>
        <w:t>.</w:t>
      </w:r>
    </w:p>
    <w:p w14:paraId="1C542D2C" w14:textId="7190B86E" w:rsidR="00F93653" w:rsidRDefault="00CE19A7" w:rsidP="00957292">
      <w:pPr>
        <w:spacing w:after="0" w:line="360" w:lineRule="auto"/>
        <w:jc w:val="both"/>
        <w:rPr>
          <w:rFonts w:ascii="Helvetica" w:eastAsia="Times New Roman" w:hAnsi="Helvetica"/>
          <w:color w:val="333333"/>
          <w:sz w:val="26"/>
          <w:szCs w:val="26"/>
        </w:rPr>
      </w:pPr>
      <w:r>
        <w:rPr>
          <w:noProof/>
          <w:lang w:val="en-US"/>
        </w:rPr>
        <w:lastRenderedPageBreak/>
        <mc:AlternateContent>
          <mc:Choice Requires="wpg">
            <w:drawing>
              <wp:anchor distT="0" distB="0" distL="114300" distR="114300" simplePos="0" relativeHeight="252620800" behindDoc="0" locked="0" layoutInCell="1" allowOverlap="1" wp14:anchorId="58003E82" wp14:editId="586EF985">
                <wp:simplePos x="0" y="0"/>
                <wp:positionH relativeFrom="margin">
                  <wp:posOffset>-1087120</wp:posOffset>
                </wp:positionH>
                <wp:positionV relativeFrom="paragraph">
                  <wp:posOffset>-114300</wp:posOffset>
                </wp:positionV>
                <wp:extent cx="7648575" cy="9258300"/>
                <wp:effectExtent l="0" t="0" r="0" b="12700"/>
                <wp:wrapThrough wrapText="bothSides">
                  <wp:wrapPolygon edited="0">
                    <wp:start x="0" y="0"/>
                    <wp:lineTo x="0" y="21570"/>
                    <wp:lineTo x="21519" y="21570"/>
                    <wp:lineTo x="21519"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7648575" cy="9258300"/>
                          <a:chOff x="0" y="0"/>
                          <a:chExt cx="7648575" cy="9258300"/>
                        </a:xfrm>
                        <a:extLst>
                          <a:ext uri="{0CCBE362-F206-4b92-989A-16890622DB6E}">
                            <ma14:wrappingTextBoxFlag xmlns:ma14="http://schemas.microsoft.com/office/mac/drawingml/2011/main" val="1"/>
                          </a:ext>
                        </a:extLst>
                      </wpg:grpSpPr>
                      <wps:wsp>
                        <wps:cNvPr id="23" name="Text Box 23"/>
                        <wps:cNvSpPr txBox="1"/>
                        <wps:spPr>
                          <a:xfrm>
                            <a:off x="0" y="0"/>
                            <a:ext cx="7648575" cy="9258300"/>
                          </a:xfrm>
                          <a:prstGeom prst="rect">
                            <a:avLst/>
                          </a:prstGeom>
                          <a:solidFill>
                            <a:schemeClr val="tx2">
                              <a:lumMod val="25000"/>
                              <a:lumOff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45720"/>
                            <a:ext cx="881380" cy="9026525"/>
                          </a:xfrm>
                          <a:prstGeom prst="rect">
                            <a:avLst/>
                          </a:prstGeom>
                          <a:noFill/>
                          <a:ln>
                            <a:noFill/>
                          </a:ln>
                          <a:effectLst/>
                          <a:extLst>
                            <a:ext uri="{C572A759-6A51-4108-AA02-DFA0A04FC94B}">
                              <ma14:wrappingTextBoxFlag xmlns:ma14="http://schemas.microsoft.com/office/mac/drawingml/2011/main"/>
                            </a:ext>
                          </a:extLst>
                        </wps:spPr>
                        <wps:txbx>
                          <w:txbxContent>
                            <w:p w14:paraId="772F60F0" w14:textId="77777777" w:rsidR="002E5195" w:rsidRDefault="002E5195" w:rsidP="00F93653">
                              <w:pPr>
                                <w:ind w:left="1560"/>
                              </w:pPr>
                              <w:r>
                                <w:rPr>
                                  <w:noProof/>
                                  <w:lang w:val="en-US"/>
                                </w:rPr>
                                <w:drawing>
                                  <wp:inline distT="0" distB="0" distL="0" distR="0" wp14:anchorId="6C322536" wp14:editId="5ACA7BEE">
                                    <wp:extent cx="5266055" cy="8872855"/>
                                    <wp:effectExtent l="0" t="0" r="0" b="0"/>
                                    <wp:docPr id="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38" style="position:absolute;left:0;text-align:left;margin-left:-85.55pt;margin-top:-8.95pt;width:602.25pt;height:729pt;z-index:252620800;mso-position-horizontal-relative:margin" coordsize="7648575,9258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" mv:complextextbox="1">
                <v:shape id="Text Box 23" o:spid="_x0000_s1039" type="#_x0000_t202" style="position:absolute;width:7648575;height:925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hlBxAAA&#10;ANsAAAAPAAAAZHJzL2Rvd25yZXYueG1sRI9BawIxFITvQv9DeAUvUrO6UMrWKLIgtIeC1fbQ2yN5&#10;3V26eVnyoq7/vhEKPQ4z8w2z2oy+V2eK0gU2sJgXoIhtcB03Bj6Ou4cnUJKQHfaBycCVBDbru8kK&#10;Kxcu/E7nQ2pUhrBUaKBNaai0FtuSR5mHgTh73yF6TFnGRruIlwz3vV4WxaP22HFeaHGguiX7czh5&#10;A1+0H0U+i1O5fatndWltfD2KMdP7cfsMKtGY/sN/7RdnYFnC7Uv+AX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4ZQcQAAADbAAAADwAAAAAAAAAAAAAAAACXAgAAZHJzL2Rv&#10;d25yZXYueG1sUEsFBgAAAAAEAAQA9QAAAIgDAAAAAA==&#10;" mv:complextextbox="1" fillcolor="#a0c6f0 [831]" stroked="f"/>
                <v:shape id="Text Box 5" o:spid="_x0000_s1040" type="#_x0000_t202" style="position:absolute;left:91440;top:45720;width:881380;height:9026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inset="0,0,0,0">
                    <w:txbxContent>
                      <w:p w14:paraId="772F60F0" w14:textId="77777777" w:rsidR="002E5195" w:rsidRDefault="002E5195" w:rsidP="00F93653">
                        <w:pPr>
                          <w:ind w:left="1560"/>
                        </w:pPr>
                        <w:r>
                          <w:rPr>
                            <w:noProof/>
                            <w:lang w:val="en-US"/>
                          </w:rPr>
                          <w:drawing>
                            <wp:inline distT="0" distB="0" distL="0" distR="0" wp14:anchorId="6C322536" wp14:editId="5ACA7BEE">
                              <wp:extent cx="5266055" cy="8872855"/>
                              <wp:effectExtent l="0" t="0" r="0" b="0"/>
                              <wp:docPr id="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v:textbox>
                </v:shape>
                <w10:wrap type="through" anchorx="margin"/>
              </v:group>
            </w:pict>
          </mc:Fallback>
        </mc:AlternateContent>
      </w:r>
      <w:r w:rsidR="004D0A38">
        <w:rPr>
          <w:noProof/>
          <w:lang w:val="en-US"/>
        </w:rPr>
        <mc:AlternateContent>
          <mc:Choice Requires="wps">
            <w:drawing>
              <wp:anchor distT="0" distB="0" distL="114300" distR="114300" simplePos="0" relativeHeight="252622848" behindDoc="0" locked="0" layoutInCell="1" allowOverlap="1" wp14:anchorId="166431A0" wp14:editId="49F3F99A">
                <wp:simplePos x="0" y="0"/>
                <wp:positionH relativeFrom="column">
                  <wp:posOffset>0</wp:posOffset>
                </wp:positionH>
                <wp:positionV relativeFrom="paragraph">
                  <wp:posOffset>0</wp:posOffset>
                </wp:positionV>
                <wp:extent cx="5448300" cy="91440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448300" cy="914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565AAA" w14:textId="327CDD2E" w:rsidR="002E5195" w:rsidRDefault="002E5195" w:rsidP="00CA2911">
                            <w:pPr>
                              <w:spacing w:after="0" w:line="240" w:lineRule="auto"/>
                              <w:jc w:val="both"/>
                              <w:rPr>
                                <w:rFonts w:ascii="Times New Roman" w:hAnsi="Times New Roman"/>
                                <w:noProof/>
                                <w:lang w:val="en-US"/>
                              </w:rPr>
                            </w:pPr>
                            <w:r>
                              <w:rPr>
                                <w:rFonts w:ascii="Times New Roman" w:hAnsi="Times New Roman"/>
                              </w:rPr>
                              <w:t>A report by</w:t>
                            </w:r>
                            <w:r>
                              <w:rPr>
                                <w:rFonts w:ascii="Times New Roman" w:hAnsi="Times New Roman"/>
                                <w:noProof/>
                                <w:lang w:val="en-US"/>
                              </w:rPr>
                              <w:t xml:space="preserve"> </w:t>
                            </w:r>
                            <w:r w:rsidRPr="004D0A38">
                              <w:rPr>
                                <w:rFonts w:ascii="Times New Roman" w:hAnsi="Times New Roman"/>
                                <w:noProof/>
                                <w:lang w:val="en-US"/>
                              </w:rPr>
                              <w:t>Thomas</w:t>
                            </w:r>
                            <w:r>
                              <w:rPr>
                                <w:rFonts w:ascii="Times New Roman" w:hAnsi="Times New Roman"/>
                                <w:noProof/>
                                <w:lang w:val="en-US"/>
                              </w:rPr>
                              <w:t xml:space="preserve"> (</w:t>
                            </w:r>
                            <w:r w:rsidRPr="004D0A38">
                              <w:rPr>
                                <w:rFonts w:ascii="Times New Roman" w:hAnsi="Times New Roman"/>
                                <w:noProof/>
                                <w:lang w:val="en-US"/>
                              </w:rPr>
                              <w:t>2007)</w:t>
                            </w:r>
                            <w:r>
                              <w:rPr>
                                <w:rFonts w:ascii="Times New Roman" w:hAnsi="Times New Roman"/>
                                <w:noProof/>
                                <w:lang w:val="en-US"/>
                              </w:rPr>
                              <w:t xml:space="preserve"> concluded that children from poorer households score significantly lower on measures of vocabulary and communication skills, knowledge of numbers, copying and symbol use, ability to concentrate, and cooperative play with other children than those from wealthier households. </w:t>
                            </w:r>
                            <w:r w:rsidRPr="003F029C">
                              <w:rPr>
                                <w:rFonts w:ascii="Times New Roman" w:hAnsi="Times New Roman"/>
                                <w:noProof/>
                                <w:lang w:val="en-US"/>
                              </w:rPr>
                              <w:t xml:space="preserve">Janus, </w:t>
                            </w:r>
                            <w:r>
                              <w:rPr>
                                <w:rFonts w:ascii="Times New Roman" w:hAnsi="Times New Roman"/>
                                <w:noProof/>
                                <w:lang w:val="en-US"/>
                              </w:rPr>
                              <w:t>et al. (</w:t>
                            </w:r>
                            <w:r w:rsidRPr="003F029C">
                              <w:rPr>
                                <w:rFonts w:ascii="Times New Roman" w:hAnsi="Times New Roman"/>
                                <w:noProof/>
                                <w:lang w:val="en-US"/>
                              </w:rPr>
                              <w:t>2007)</w:t>
                            </w:r>
                            <w:r>
                              <w:rPr>
                                <w:rFonts w:ascii="Times New Roman" w:hAnsi="Times New Roman"/>
                                <w:noProof/>
                                <w:lang w:val="en-US"/>
                              </w:rPr>
                              <w:t xml:space="preserve"> reported that schools with the largest proportion of children with low school readiness were from neighbourhoods of high social risk, including poverty. </w:t>
                            </w:r>
                            <w:r w:rsidRPr="008F400C">
                              <w:rPr>
                                <w:rFonts w:ascii="Times New Roman" w:hAnsi="Times New Roman"/>
                                <w:noProof/>
                                <w:lang w:val="en-US"/>
                              </w:rPr>
                              <w:t>Willms</w:t>
                            </w:r>
                            <w:r>
                              <w:rPr>
                                <w:rFonts w:ascii="Times New Roman" w:hAnsi="Times New Roman"/>
                                <w:noProof/>
                                <w:lang w:val="en-US"/>
                              </w:rPr>
                              <w:t xml:space="preserve"> (</w:t>
                            </w:r>
                            <w:r w:rsidRPr="008F400C">
                              <w:rPr>
                                <w:rFonts w:ascii="Times New Roman" w:hAnsi="Times New Roman"/>
                                <w:noProof/>
                                <w:lang w:val="en-US"/>
                              </w:rPr>
                              <w:t>2007)</w:t>
                            </w:r>
                            <w:r>
                              <w:rPr>
                                <w:rFonts w:ascii="Times New Roman" w:hAnsi="Times New Roman"/>
                                <w:noProof/>
                                <w:lang w:val="en-US"/>
                              </w:rPr>
                              <w:t xml:space="preserve"> reported that children from households of lower socioeconomic status (SES) scored lower on a receptive vocabulary test than those from higher SES. </w:t>
                            </w:r>
                            <w:r w:rsidRPr="00C06169">
                              <w:rPr>
                                <w:rFonts w:ascii="Times New Roman" w:hAnsi="Times New Roman"/>
                                <w:noProof/>
                                <w:color w:val="A95715" w:themeColor="accent3" w:themeShade="BF"/>
                                <w:lang w:val="en-US"/>
                              </w:rPr>
                              <w:t xml:space="preserve">Evidence is therefore </w:t>
                            </w:r>
                            <w:r>
                              <w:rPr>
                                <w:rFonts w:ascii="Times New Roman" w:hAnsi="Times New Roman"/>
                                <w:noProof/>
                                <w:color w:val="A95715" w:themeColor="accent3" w:themeShade="BF"/>
                                <w:lang w:val="en-US"/>
                              </w:rPr>
                              <w:t>strong</w:t>
                            </w:r>
                            <w:r w:rsidRPr="00C06169">
                              <w:rPr>
                                <w:rFonts w:ascii="Times New Roman" w:hAnsi="Times New Roman"/>
                                <w:noProof/>
                                <w:color w:val="A95715" w:themeColor="accent3" w:themeShade="BF"/>
                                <w:lang w:val="en-US"/>
                              </w:rPr>
                              <w:t xml:space="preserve"> and unanimous that poor children arrive at school at a cognitive and behavioural disadvantage</w:t>
                            </w:r>
                            <w:r>
                              <w:rPr>
                                <w:rFonts w:ascii="Times New Roman" w:hAnsi="Times New Roman"/>
                                <w:noProof/>
                                <w:lang w:val="en-US"/>
                              </w:rPr>
                              <w:t>. Schools are obviously not in a position to equalize this gap, hence, the importance of interventions by other stakeholders in the development agenda relating to children from poor backgrounds.</w:t>
                            </w:r>
                          </w:p>
                          <w:p w14:paraId="516AE619" w14:textId="77777777" w:rsidR="002E5195" w:rsidRDefault="002E5195" w:rsidP="00CA2911">
                            <w:pPr>
                              <w:spacing w:after="0" w:line="240" w:lineRule="auto"/>
                              <w:jc w:val="both"/>
                              <w:rPr>
                                <w:rFonts w:ascii="Times New Roman" w:hAnsi="Times New Roman"/>
                                <w:noProof/>
                                <w:lang w:val="en-US"/>
                              </w:rPr>
                            </w:pPr>
                          </w:p>
                          <w:p w14:paraId="0D0A359C" w14:textId="66270C7F" w:rsidR="002E5195" w:rsidRDefault="002E5195" w:rsidP="00CA2911">
                            <w:pPr>
                              <w:spacing w:after="0" w:line="240" w:lineRule="auto"/>
                              <w:jc w:val="both"/>
                              <w:rPr>
                                <w:rFonts w:ascii="Times New Roman" w:hAnsi="Times New Roman"/>
                                <w:noProof/>
                                <w:lang w:val="en-US"/>
                              </w:rPr>
                            </w:pPr>
                            <w:r>
                              <w:rPr>
                                <w:rFonts w:ascii="Times New Roman" w:hAnsi="Times New Roman"/>
                                <w:noProof/>
                                <w:lang w:val="en-US"/>
                              </w:rPr>
                              <w:t>While children from poor backgrounds are likely to get fewer opportunities to excel, they should be encouraged to work hard. A dual system where the base rate for scholarship is determined, not just from income status, but adjustments are made based on students’ academic performance has been encouraged</w:t>
                            </w:r>
                            <w:sdt>
                              <w:sdtPr>
                                <w:rPr>
                                  <w:rFonts w:ascii="Times New Roman" w:hAnsi="Times New Roman"/>
                                  <w:noProof/>
                                  <w:lang w:val="en-US"/>
                                </w:rPr>
                                <w:id w:val="1683003489"/>
                                <w:citation/>
                              </w:sdtPr>
                              <w:sdtEndPr/>
                              <w:sdtContent>
                                <w:r>
                                  <w:rPr>
                                    <w:rFonts w:ascii="Times New Roman" w:hAnsi="Times New Roman"/>
                                    <w:noProof/>
                                    <w:lang w:val="en-US"/>
                                  </w:rPr>
                                  <w:fldChar w:fldCharType="begin"/>
                                </w:r>
                                <w:r>
                                  <w:rPr>
                                    <w:rFonts w:ascii="Times New Roman" w:hAnsi="Times New Roman"/>
                                    <w:noProof/>
                                    <w:lang w:val="en-US"/>
                                  </w:rPr>
                                  <w:instrText xml:space="preserve"> CITATION Cas15 \l 1033 </w:instrText>
                                </w:r>
                                <w:r>
                                  <w:rPr>
                                    <w:rFonts w:ascii="Times New Roman" w:hAnsi="Times New Roman"/>
                                    <w:noProof/>
                                    <w:lang w:val="en-US"/>
                                  </w:rPr>
                                  <w:fldChar w:fldCharType="separate"/>
                                </w:r>
                                <w:r>
                                  <w:rPr>
                                    <w:rFonts w:ascii="Times New Roman" w:hAnsi="Times New Roman"/>
                                    <w:noProof/>
                                    <w:lang w:val="en-US"/>
                                  </w:rPr>
                                  <w:t xml:space="preserve"> </w:t>
                                </w:r>
                                <w:r w:rsidRPr="00F845CA">
                                  <w:rPr>
                                    <w:rFonts w:ascii="Times New Roman" w:hAnsi="Times New Roman"/>
                                    <w:noProof/>
                                    <w:lang w:val="en-US"/>
                                  </w:rPr>
                                  <w:t>(Cassie, 2015)</w:t>
                                </w:r>
                                <w:r>
                                  <w:rPr>
                                    <w:rFonts w:ascii="Times New Roman" w:hAnsi="Times New Roman"/>
                                    <w:noProof/>
                                    <w:lang w:val="en-US"/>
                                  </w:rPr>
                                  <w:fldChar w:fldCharType="end"/>
                                </w:r>
                              </w:sdtContent>
                            </w:sdt>
                            <w:r>
                              <w:rPr>
                                <w:rFonts w:ascii="Times New Roman" w:hAnsi="Times New Roman"/>
                                <w:noProof/>
                                <w:lang w:val="en-US"/>
                              </w:rPr>
                              <w:t>. This is because it would be wasteful to squander aid on high-achieving, high-income students with an above-average academic record, even if they might not have the perfect transcript of a high-income student who has been receiving high-quality tutoring since they started schooling. Putting the merit aspect into the needy children’s issue, therefore, strikes the appropriate balance in the quest to determine who to benefit from  scholarships.</w:t>
                            </w:r>
                            <w:sdt>
                              <w:sdtPr>
                                <w:rPr>
                                  <w:rFonts w:ascii="Times New Roman" w:hAnsi="Times New Roman"/>
                                  <w:noProof/>
                                  <w:lang w:val="en-US"/>
                                </w:rPr>
                                <w:id w:val="1373809384"/>
                                <w:citation/>
                              </w:sdtPr>
                              <w:sdtEndPr/>
                              <w:sdtContent>
                                <w:r>
                                  <w:rPr>
                                    <w:rFonts w:ascii="Times New Roman" w:hAnsi="Times New Roman"/>
                                    <w:noProof/>
                                    <w:lang w:val="en-US"/>
                                  </w:rPr>
                                  <w:fldChar w:fldCharType="begin"/>
                                </w:r>
                                <w:r>
                                  <w:rPr>
                                    <w:rFonts w:ascii="Times New Roman" w:hAnsi="Times New Roman"/>
                                    <w:noProof/>
                                    <w:lang w:val="en-US"/>
                                  </w:rPr>
                                  <w:instrText xml:space="preserve"> CITATION Dav18 \l 1033 </w:instrText>
                                </w:r>
                                <w:r>
                                  <w:rPr>
                                    <w:rFonts w:ascii="Times New Roman" w:hAnsi="Times New Roman"/>
                                    <w:noProof/>
                                    <w:lang w:val="en-US"/>
                                  </w:rPr>
                                  <w:fldChar w:fldCharType="separate"/>
                                </w:r>
                                <w:r>
                                  <w:rPr>
                                    <w:rFonts w:ascii="Times New Roman" w:hAnsi="Times New Roman"/>
                                    <w:noProof/>
                                    <w:lang w:val="en-US"/>
                                  </w:rPr>
                                  <w:t xml:space="preserve"> </w:t>
                                </w:r>
                                <w:r w:rsidRPr="00F845CA">
                                  <w:rPr>
                                    <w:rFonts w:ascii="Times New Roman" w:hAnsi="Times New Roman"/>
                                    <w:noProof/>
                                    <w:lang w:val="en-US"/>
                                  </w:rPr>
                                  <w:t>(David, 2018)</w:t>
                                </w:r>
                                <w:r>
                                  <w:rPr>
                                    <w:rFonts w:ascii="Times New Roman" w:hAnsi="Times New Roman"/>
                                    <w:noProof/>
                                    <w:lang w:val="en-US"/>
                                  </w:rPr>
                                  <w:fldChar w:fldCharType="end"/>
                                </w:r>
                              </w:sdtContent>
                            </w:sdt>
                            <w:r>
                              <w:rPr>
                                <w:rFonts w:ascii="Times New Roman" w:hAnsi="Times New Roman"/>
                                <w:noProof/>
                                <w:lang w:val="en-US"/>
                              </w:rPr>
                              <w:t>.</w:t>
                            </w:r>
                          </w:p>
                          <w:p w14:paraId="6E1B7F87" w14:textId="77777777" w:rsidR="002E5195" w:rsidRDefault="002E5195" w:rsidP="00CA2911">
                            <w:pPr>
                              <w:spacing w:after="0" w:line="240" w:lineRule="auto"/>
                              <w:jc w:val="both"/>
                              <w:rPr>
                                <w:rFonts w:ascii="Times New Roman" w:hAnsi="Times New Roman"/>
                                <w:noProof/>
                                <w:lang w:val="en-US"/>
                              </w:rPr>
                            </w:pPr>
                          </w:p>
                          <w:p w14:paraId="0EC8FF7F" w14:textId="77777777" w:rsidR="002E5195" w:rsidRPr="00B809B0" w:rsidRDefault="002E5195" w:rsidP="00594D2D">
                            <w:pPr>
                              <w:spacing w:after="0" w:line="240" w:lineRule="auto"/>
                              <w:jc w:val="both"/>
                              <w:rPr>
                                <w:rFonts w:ascii="Times New Roman" w:hAnsi="Times New Roman"/>
                                <w:b/>
                              </w:rPr>
                            </w:pPr>
                            <w:r>
                              <w:rPr>
                                <w:rFonts w:ascii="Times New Roman" w:hAnsi="Times New Roman"/>
                                <w:b/>
                              </w:rPr>
                              <w:t>4. Life skills training</w:t>
                            </w:r>
                          </w:p>
                          <w:p w14:paraId="4FFE5B9D" w14:textId="6C641369" w:rsidR="002E5195" w:rsidRDefault="002E5195" w:rsidP="00594D2D">
                            <w:pPr>
                              <w:spacing w:after="0" w:line="240" w:lineRule="auto"/>
                              <w:jc w:val="both"/>
                              <w:rPr>
                                <w:rFonts w:ascii="Times New Roman" w:hAnsi="Times New Roman"/>
                              </w:rPr>
                            </w:pPr>
                            <w:r>
                              <w:rPr>
                                <w:rFonts w:ascii="Times New Roman" w:hAnsi="Times New Roman"/>
                              </w:rPr>
                              <w:t>In an ever-growing technology- and data-driven world, much of the focus in education has, understandably, taken a shift toward science, technology, engineering, and mathematics (STEM)-based initiatives that prepare learners for the coursework and careers of the future. Even so, life skills – how well equipped learners are to make good decisions and solve problems in their academic and professional careers, as well as their personal lives, should also play a critical role in a well-rounded and comprehensive education. Life skills are building blocks or frameworks that allow learners to apply the knowledge that they acquire in school to real world problems and situations. Life skills enhance one’s ability to think abstractly and approach problems from multiple angles, so as to find practical solutions.</w:t>
                            </w:r>
                          </w:p>
                          <w:p w14:paraId="633D5574" w14:textId="77777777" w:rsidR="002E5195" w:rsidRDefault="002E5195" w:rsidP="00594D2D">
                            <w:pPr>
                              <w:spacing w:after="0" w:line="240" w:lineRule="auto"/>
                              <w:jc w:val="both"/>
                              <w:rPr>
                                <w:rFonts w:ascii="Times New Roman" w:hAnsi="Times New Roman"/>
                              </w:rPr>
                            </w:pPr>
                          </w:p>
                          <w:p w14:paraId="2C7F56CE" w14:textId="77777777" w:rsidR="002E5195" w:rsidRDefault="002E5195" w:rsidP="000151D5">
                            <w:pPr>
                              <w:spacing w:after="0" w:line="240" w:lineRule="auto"/>
                              <w:jc w:val="both"/>
                              <w:rPr>
                                <w:rFonts w:ascii="Times New Roman" w:hAnsi="Times New Roman"/>
                              </w:rPr>
                            </w:pPr>
                            <w:r>
                              <w:rPr>
                                <w:rFonts w:ascii="Times New Roman" w:hAnsi="Times New Roman"/>
                              </w:rPr>
                              <w:t xml:space="preserve">Life skills trainings also enhance </w:t>
                            </w:r>
                            <w:proofErr w:type="spellStart"/>
                            <w:r>
                              <w:rPr>
                                <w:rFonts w:ascii="Times New Roman" w:hAnsi="Times New Roman"/>
                              </w:rPr>
                              <w:t>childrens</w:t>
                            </w:r>
                            <w:proofErr w:type="spellEnd"/>
                            <w:r>
                              <w:rPr>
                                <w:rFonts w:ascii="Times New Roman" w:hAnsi="Times New Roman"/>
                              </w:rPr>
                              <w:t>’ abilities to communicate clearly and effectively. Building life skills in children also helps them to develop sound judgment and good habits for long-term stability, wellness, and success. Reaching children through life skills programs, both within and outside of the education system, is a unique opportunity to develop in them leadership abilities, provide vocational aptitudes, and integrate elements of empowerment for girls and young women. These programs help shift cultural norms, as well as create social change for the next generation of children</w:t>
                            </w:r>
                            <w:sdt>
                              <w:sdtPr>
                                <w:rPr>
                                  <w:rFonts w:ascii="Times New Roman" w:hAnsi="Times New Roman"/>
                                </w:rPr>
                                <w:id w:val="638694317"/>
                                <w:citation/>
                              </w:sdtPr>
                              <w:sdtEndPr/>
                              <w:sdtContent>
                                <w:r>
                                  <w:rPr>
                                    <w:rFonts w:ascii="Times New Roman" w:hAnsi="Times New Roman"/>
                                  </w:rPr>
                                  <w:fldChar w:fldCharType="begin"/>
                                </w:r>
                                <w:r>
                                  <w:rPr>
                                    <w:rFonts w:ascii="Times New Roman" w:hAnsi="Times New Roman"/>
                                    <w:lang w:val="en-US"/>
                                  </w:rPr>
                                  <w:instrText xml:space="preserve"> CITATION UNW13 \l 1033 </w:instrText>
                                </w:r>
                                <w:r>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(UN Women, 2013)</w:t>
                                </w:r>
                                <w:r>
                                  <w:rPr>
                                    <w:rFonts w:ascii="Times New Roman" w:hAnsi="Times New Roman"/>
                                  </w:rPr>
                                  <w:fldChar w:fldCharType="end"/>
                                </w:r>
                              </w:sdtContent>
                            </w:sdt>
                            <w:r>
                              <w:rPr>
                                <w:rFonts w:ascii="Times New Roman" w:hAnsi="Times New Roman"/>
                              </w:rPr>
                              <w:t>.</w:t>
                            </w:r>
                          </w:p>
                          <w:p w14:paraId="2C31F8C6" w14:textId="77777777" w:rsidR="002E5195" w:rsidRDefault="002E5195" w:rsidP="000151D5">
                            <w:pPr>
                              <w:spacing w:after="0" w:line="240" w:lineRule="auto"/>
                              <w:jc w:val="both"/>
                              <w:rPr>
                                <w:rFonts w:ascii="Times New Roman" w:hAnsi="Times New Roman"/>
                              </w:rPr>
                            </w:pPr>
                          </w:p>
                          <w:p w14:paraId="142198E7" w14:textId="77777777" w:rsidR="002E5195" w:rsidRPr="00B809B0" w:rsidRDefault="002E5195" w:rsidP="000151D5">
                            <w:pPr>
                              <w:spacing w:after="0" w:line="240" w:lineRule="auto"/>
                              <w:jc w:val="both"/>
                              <w:rPr>
                                <w:rFonts w:ascii="Times New Roman" w:hAnsi="Times New Roman"/>
                                <w:b/>
                              </w:rPr>
                            </w:pPr>
                            <w:r>
                              <w:rPr>
                                <w:rFonts w:ascii="Times New Roman" w:hAnsi="Times New Roman"/>
                                <w:b/>
                              </w:rPr>
                              <w:t>5. School infrastructure improvement</w:t>
                            </w:r>
                          </w:p>
                          <w:p w14:paraId="67F388A4" w14:textId="47EC0648" w:rsidR="002E5195" w:rsidRDefault="002E5195" w:rsidP="000151D5">
                            <w:pPr>
                              <w:spacing w:after="0" w:line="240" w:lineRule="auto"/>
                              <w:jc w:val="both"/>
                              <w:rPr>
                                <w:rFonts w:ascii="Times New Roman" w:hAnsi="Times New Roman"/>
                              </w:rPr>
                            </w:pPr>
                            <w:r>
                              <w:rPr>
                                <w:rFonts w:ascii="Times New Roman" w:hAnsi="Times New Roman"/>
                              </w:rPr>
                              <w:t>Education infrastructure is a crucial element of learning environments in schools. There is strong evidence that high-quality infrastructure facilitates better instruction, improves student outcomes, and reduces dropout rates, among other benefits</w:t>
                            </w:r>
                            <w:r>
                              <w:rPr>
                                <w:rFonts w:ascii="Times New Roman" w:hAnsi="Times New Roman"/>
                                <w:noProof/>
                                <w:lang w:val="en-US"/>
                              </w:rPr>
                              <w:t xml:space="preserve"> </w:t>
                            </w:r>
                            <w:r w:rsidRPr="00F845CA">
                              <w:rPr>
                                <w:rFonts w:ascii="Times New Roman" w:hAnsi="Times New Roman"/>
                                <w:noProof/>
                                <w:lang w:val="en-US"/>
                              </w:rPr>
                              <w:t xml:space="preserve">(Teixeira, </w:t>
                            </w:r>
                            <w:r>
                              <w:rPr>
                                <w:rFonts w:ascii="Times New Roman" w:hAnsi="Times New Roman"/>
                                <w:noProof/>
                                <w:lang w:val="en-US"/>
                              </w:rPr>
                              <w:t>et al.</w:t>
                            </w:r>
                            <w:r w:rsidRPr="00F845CA">
                              <w:rPr>
                                <w:rFonts w:ascii="Times New Roman" w:hAnsi="Times New Roman"/>
                                <w:noProof/>
                                <w:lang w:val="en-US"/>
                              </w:rPr>
                              <w:t>, 2017)</w:t>
                            </w:r>
                            <w:r>
                              <w:rPr>
                                <w:rFonts w:ascii="Times New Roman" w:hAnsi="Times New Roman"/>
                              </w:rPr>
                              <w:t>. Schools in marginalised areas face the biggest investment needs in Kenya. This means that learners attending these schools are doubly disadvantaged – they mainly come from low-income and rural families, to attend poorly equipped schools. Some of the attributes of adequate infrastructure are:</w:t>
                            </w:r>
                          </w:p>
                          <w:p w14:paraId="04CDFAA9" w14:textId="77777777" w:rsidR="002E5195" w:rsidRDefault="002E5195" w:rsidP="000151D5">
                            <w:pPr>
                              <w:pStyle w:val="ListParagraph"/>
                              <w:numPr>
                                <w:ilvl w:val="0"/>
                                <w:numId w:val="16"/>
                              </w:numPr>
                              <w:spacing w:after="0" w:line="240" w:lineRule="auto"/>
                              <w:jc w:val="both"/>
                              <w:rPr>
                                <w:rFonts w:ascii="Times New Roman" w:hAnsi="Times New Roman"/>
                              </w:rPr>
                            </w:pPr>
                            <w:r>
                              <w:rPr>
                                <w:rFonts w:ascii="Times New Roman" w:hAnsi="Times New Roman"/>
                              </w:rPr>
                              <w:t>Sufficient space per child (usually guided by standards set by a country’s Ministry of Education);</w:t>
                            </w:r>
                          </w:p>
                          <w:p w14:paraId="6D15DB44" w14:textId="77777777" w:rsidR="002E5195" w:rsidRDefault="002E5195" w:rsidP="000151D5">
                            <w:pPr>
                              <w:pStyle w:val="ListParagraph"/>
                              <w:numPr>
                                <w:ilvl w:val="0"/>
                                <w:numId w:val="16"/>
                              </w:numPr>
                              <w:spacing w:after="0" w:line="240" w:lineRule="auto"/>
                              <w:jc w:val="both"/>
                              <w:rPr>
                                <w:rFonts w:ascii="Times New Roman" w:hAnsi="Times New Roman"/>
                              </w:rPr>
                            </w:pPr>
                            <w:r>
                              <w:rPr>
                                <w:rFonts w:ascii="Times New Roman" w:hAnsi="Times New Roman"/>
                              </w:rPr>
                              <w:t>Sufficient space for 30-40 children per classroom (to permit efficient use of teachers);</w:t>
                            </w:r>
                          </w:p>
                          <w:p w14:paraId="7A89B08B" w14:textId="77777777" w:rsidR="002E5195" w:rsidRDefault="002E5195" w:rsidP="000151D5">
                            <w:pPr>
                              <w:pStyle w:val="ListParagraph"/>
                              <w:numPr>
                                <w:ilvl w:val="0"/>
                                <w:numId w:val="16"/>
                              </w:numPr>
                              <w:spacing w:after="0" w:line="240" w:lineRule="auto"/>
                              <w:jc w:val="both"/>
                              <w:rPr>
                                <w:rFonts w:ascii="Times New Roman" w:hAnsi="Times New Roman"/>
                              </w:rPr>
                            </w:pPr>
                            <w:r>
                              <w:rPr>
                                <w:rFonts w:ascii="Times New Roman" w:hAnsi="Times New Roman"/>
                              </w:rPr>
                              <w:t>Construction methods that ensure the safety of children in school, and are suited to the natural hazards of the area;</w:t>
                            </w:r>
                          </w:p>
                          <w:p w14:paraId="0F46B39E" w14:textId="77777777" w:rsidR="002E5195" w:rsidRDefault="002E5195" w:rsidP="000151D5">
                            <w:pPr>
                              <w:pStyle w:val="ListParagraph"/>
                              <w:numPr>
                                <w:ilvl w:val="0"/>
                                <w:numId w:val="16"/>
                              </w:numPr>
                              <w:spacing w:after="0" w:line="240" w:lineRule="auto"/>
                              <w:jc w:val="both"/>
                              <w:rPr>
                                <w:rFonts w:ascii="Times New Roman" w:hAnsi="Times New Roman"/>
                              </w:rPr>
                            </w:pPr>
                            <w:r>
                              <w:rPr>
                                <w:rFonts w:ascii="Times New Roman" w:hAnsi="Times New Roman"/>
                              </w:rPr>
                              <w:t>Adequate separate sanitary facilities for boys and girls, as well as for staff; and</w:t>
                            </w:r>
                          </w:p>
                          <w:p w14:paraId="26657643" w14:textId="77777777" w:rsidR="002E5195" w:rsidRDefault="002E5195" w:rsidP="000151D5">
                            <w:pPr>
                              <w:pStyle w:val="ListParagraph"/>
                              <w:numPr>
                                <w:ilvl w:val="0"/>
                                <w:numId w:val="16"/>
                              </w:numPr>
                              <w:spacing w:after="0" w:line="240" w:lineRule="auto"/>
                              <w:jc w:val="both"/>
                              <w:rPr>
                                <w:rFonts w:ascii="Times New Roman" w:hAnsi="Times New Roman"/>
                              </w:rPr>
                            </w:pPr>
                            <w:r>
                              <w:rPr>
                                <w:rFonts w:ascii="Times New Roman" w:hAnsi="Times New Roman"/>
                              </w:rPr>
                              <w:t>Increasingly, electricity and Internet connectivity.</w:t>
                            </w:r>
                          </w:p>
                          <w:p w14:paraId="43043242" w14:textId="77777777" w:rsidR="002E5195" w:rsidRDefault="002E5195" w:rsidP="00594D2D">
                            <w:pPr>
                              <w:spacing w:after="0" w:line="240" w:lineRule="auto"/>
                              <w:jc w:val="both"/>
                              <w:rPr>
                                <w:rFonts w:ascii="Times New Roman" w:hAnsi="Times New Roman"/>
                              </w:rPr>
                            </w:pPr>
                          </w:p>
                          <w:p w14:paraId="66A6243C" w14:textId="77777777" w:rsidR="002E5195" w:rsidRPr="0017157D" w:rsidRDefault="002E5195" w:rsidP="00CA2911">
                            <w:pPr>
                              <w:spacing w:after="0" w:line="240" w:lineRule="auto"/>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1" type="#_x0000_t202" style="position:absolute;left:0;text-align:left;margin-left:0;margin-top:0;width:429pt;height:10in;z-index:25262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33CNE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" filled="f" stroked="f">
                <v:textbox>
                  <w:txbxContent>
                    <w:p w14:paraId="28565AAA" w14:textId="327CDD2E" w:rsidR="002E5195" w:rsidRDefault="002E5195" w:rsidP="00CA2911">
                      <w:pPr>
                        <w:spacing w:after="0" w:line="240" w:lineRule="auto"/>
                        <w:jc w:val="both"/>
                        <w:rPr>
                          <w:rFonts w:ascii="Times New Roman" w:hAnsi="Times New Roman"/>
                          <w:noProof/>
                          <w:lang w:val="en-US"/>
                        </w:rPr>
                      </w:pPr>
                      <w:r>
                        <w:rPr>
                          <w:rFonts w:ascii="Times New Roman" w:hAnsi="Times New Roman"/>
                        </w:rPr>
                        <w:t>A report by</w:t>
                      </w:r>
                      <w:r>
                        <w:rPr>
                          <w:rFonts w:ascii="Times New Roman" w:hAnsi="Times New Roman"/>
                          <w:noProof/>
                          <w:lang w:val="en-US"/>
                        </w:rPr>
                        <w:t xml:space="preserve"> </w:t>
                      </w:r>
                      <w:r w:rsidRPr="004D0A38">
                        <w:rPr>
                          <w:rFonts w:ascii="Times New Roman" w:hAnsi="Times New Roman"/>
                          <w:noProof/>
                          <w:lang w:val="en-US"/>
                        </w:rPr>
                        <w:t>Thomas</w:t>
                      </w:r>
                      <w:r>
                        <w:rPr>
                          <w:rFonts w:ascii="Times New Roman" w:hAnsi="Times New Roman"/>
                          <w:noProof/>
                          <w:lang w:val="en-US"/>
                        </w:rPr>
                        <w:t xml:space="preserve"> (</w:t>
                      </w:r>
                      <w:r w:rsidRPr="004D0A38">
                        <w:rPr>
                          <w:rFonts w:ascii="Times New Roman" w:hAnsi="Times New Roman"/>
                          <w:noProof/>
                          <w:lang w:val="en-US"/>
                        </w:rPr>
                        <w:t>2007)</w:t>
                      </w:r>
                      <w:r>
                        <w:rPr>
                          <w:rFonts w:ascii="Times New Roman" w:hAnsi="Times New Roman"/>
                          <w:noProof/>
                          <w:lang w:val="en-US"/>
                        </w:rPr>
                        <w:t xml:space="preserve"> concluded that children from poorer households score significantly lower on measures of vocabulary and communication skills, knowledge of numbers, copying and symbol use, ability to concentrate, and cooperative play with other children than those from wealthier households. </w:t>
                      </w:r>
                      <w:r w:rsidRPr="003F029C">
                        <w:rPr>
                          <w:rFonts w:ascii="Times New Roman" w:hAnsi="Times New Roman"/>
                          <w:noProof/>
                          <w:lang w:val="en-US"/>
                        </w:rPr>
                        <w:t xml:space="preserve">Janus, </w:t>
                      </w:r>
                      <w:r>
                        <w:rPr>
                          <w:rFonts w:ascii="Times New Roman" w:hAnsi="Times New Roman"/>
                          <w:noProof/>
                          <w:lang w:val="en-US"/>
                        </w:rPr>
                        <w:t>et al. (</w:t>
                      </w:r>
                      <w:r w:rsidRPr="003F029C">
                        <w:rPr>
                          <w:rFonts w:ascii="Times New Roman" w:hAnsi="Times New Roman"/>
                          <w:noProof/>
                          <w:lang w:val="en-US"/>
                        </w:rPr>
                        <w:t>2007)</w:t>
                      </w:r>
                      <w:r>
                        <w:rPr>
                          <w:rFonts w:ascii="Times New Roman" w:hAnsi="Times New Roman"/>
                          <w:noProof/>
                          <w:lang w:val="en-US"/>
                        </w:rPr>
                        <w:t xml:space="preserve"> reported that schools with the largest proportion of children with low school readiness were from neighbourhoods of high social risk, including poverty. </w:t>
                      </w:r>
                      <w:r w:rsidRPr="008F400C">
                        <w:rPr>
                          <w:rFonts w:ascii="Times New Roman" w:hAnsi="Times New Roman"/>
                          <w:noProof/>
                          <w:lang w:val="en-US"/>
                        </w:rPr>
                        <w:t>Willms</w:t>
                      </w:r>
                      <w:r>
                        <w:rPr>
                          <w:rFonts w:ascii="Times New Roman" w:hAnsi="Times New Roman"/>
                          <w:noProof/>
                          <w:lang w:val="en-US"/>
                        </w:rPr>
                        <w:t xml:space="preserve"> (</w:t>
                      </w:r>
                      <w:r w:rsidRPr="008F400C">
                        <w:rPr>
                          <w:rFonts w:ascii="Times New Roman" w:hAnsi="Times New Roman"/>
                          <w:noProof/>
                          <w:lang w:val="en-US"/>
                        </w:rPr>
                        <w:t>2007)</w:t>
                      </w:r>
                      <w:r>
                        <w:rPr>
                          <w:rFonts w:ascii="Times New Roman" w:hAnsi="Times New Roman"/>
                          <w:noProof/>
                          <w:lang w:val="en-US"/>
                        </w:rPr>
                        <w:t xml:space="preserve"> reported that children from households of lower socioeconomic status (SES) scored lower on a receptive vocabulary test than those from higher SES. </w:t>
                      </w:r>
                      <w:r w:rsidRPr="00C06169">
                        <w:rPr>
                          <w:rFonts w:ascii="Times New Roman" w:hAnsi="Times New Roman"/>
                          <w:noProof/>
                          <w:color w:val="A95715" w:themeColor="accent3" w:themeShade="BF"/>
                          <w:lang w:val="en-US"/>
                        </w:rPr>
                        <w:t xml:space="preserve">Evidence is therefore </w:t>
                      </w:r>
                      <w:r>
                        <w:rPr>
                          <w:rFonts w:ascii="Times New Roman" w:hAnsi="Times New Roman"/>
                          <w:noProof/>
                          <w:color w:val="A95715" w:themeColor="accent3" w:themeShade="BF"/>
                          <w:lang w:val="en-US"/>
                        </w:rPr>
                        <w:t>strong</w:t>
                      </w:r>
                      <w:r w:rsidRPr="00C06169">
                        <w:rPr>
                          <w:rFonts w:ascii="Times New Roman" w:hAnsi="Times New Roman"/>
                          <w:noProof/>
                          <w:color w:val="A95715" w:themeColor="accent3" w:themeShade="BF"/>
                          <w:lang w:val="en-US"/>
                        </w:rPr>
                        <w:t xml:space="preserve"> and unanimous that poor children arrive at school at a cognitive and behavioural disadvantage</w:t>
                      </w:r>
                      <w:r>
                        <w:rPr>
                          <w:rFonts w:ascii="Times New Roman" w:hAnsi="Times New Roman"/>
                          <w:noProof/>
                          <w:lang w:val="en-US"/>
                        </w:rPr>
                        <w:t>. Schools are obviously not in a position to equalize this gap, hence, the importance of interventions by other stakeholders in the development agenda relating to children from poor backgrounds.</w:t>
                      </w:r>
                    </w:p>
                    <w:p w14:paraId="516AE619" w14:textId="77777777" w:rsidR="002E5195" w:rsidRDefault="002E5195" w:rsidP="00CA2911">
                      <w:pPr>
                        <w:spacing w:after="0" w:line="240" w:lineRule="auto"/>
                        <w:jc w:val="both"/>
                        <w:rPr>
                          <w:rFonts w:ascii="Times New Roman" w:hAnsi="Times New Roman"/>
                          <w:noProof/>
                          <w:lang w:val="en-US"/>
                        </w:rPr>
                      </w:pPr>
                    </w:p>
                    <w:p w14:paraId="0D0A359C" w14:textId="66270C7F" w:rsidR="002E5195" w:rsidRDefault="002E5195" w:rsidP="00CA2911">
                      <w:pPr>
                        <w:spacing w:after="0" w:line="240" w:lineRule="auto"/>
                        <w:jc w:val="both"/>
                        <w:rPr>
                          <w:rFonts w:ascii="Times New Roman" w:hAnsi="Times New Roman"/>
                          <w:noProof/>
                          <w:lang w:val="en-US"/>
                        </w:rPr>
                      </w:pPr>
                      <w:r>
                        <w:rPr>
                          <w:rFonts w:ascii="Times New Roman" w:hAnsi="Times New Roman"/>
                          <w:noProof/>
                          <w:lang w:val="en-US"/>
                        </w:rPr>
                        <w:t>While children from poor backgrounds are likely to get fewer opportunities to excel, they should be encouraged to work hard. A dual system where the base rate for scholarship is determined, not just from income status, but adjustments are made based on students’ academic performance has been encouraged</w:t>
                      </w:r>
                      <w:sdt>
                        <w:sdtPr>
                          <w:rPr>
                            <w:rFonts w:ascii="Times New Roman" w:hAnsi="Times New Roman"/>
                            <w:noProof/>
                            <w:lang w:val="en-US"/>
                          </w:rPr>
                          <w:id w:val="1683003489"/>
                          <w:citation/>
                        </w:sdtPr>
                        <w:sdtEndPr/>
                        <w:sdtContent>
                          <w:r>
                            <w:rPr>
                              <w:rFonts w:ascii="Times New Roman" w:hAnsi="Times New Roman"/>
                              <w:noProof/>
                              <w:lang w:val="en-US"/>
                            </w:rPr>
                            <w:fldChar w:fldCharType="begin"/>
                          </w:r>
                          <w:r>
                            <w:rPr>
                              <w:rFonts w:ascii="Times New Roman" w:hAnsi="Times New Roman"/>
                              <w:noProof/>
                              <w:lang w:val="en-US"/>
                            </w:rPr>
                            <w:instrText xml:space="preserve"> CITATION Cas15 \l 1033 </w:instrText>
                          </w:r>
                          <w:r>
                            <w:rPr>
                              <w:rFonts w:ascii="Times New Roman" w:hAnsi="Times New Roman"/>
                              <w:noProof/>
                              <w:lang w:val="en-US"/>
                            </w:rPr>
                            <w:fldChar w:fldCharType="separate"/>
                          </w:r>
                          <w:r>
                            <w:rPr>
                              <w:rFonts w:ascii="Times New Roman" w:hAnsi="Times New Roman"/>
                              <w:noProof/>
                              <w:lang w:val="en-US"/>
                            </w:rPr>
                            <w:t xml:space="preserve"> </w:t>
                          </w:r>
                          <w:r w:rsidRPr="00F845CA">
                            <w:rPr>
                              <w:rFonts w:ascii="Times New Roman" w:hAnsi="Times New Roman"/>
                              <w:noProof/>
                              <w:lang w:val="en-US"/>
                            </w:rPr>
                            <w:t>(Cassie, 2015)</w:t>
                          </w:r>
                          <w:r>
                            <w:rPr>
                              <w:rFonts w:ascii="Times New Roman" w:hAnsi="Times New Roman"/>
                              <w:noProof/>
                              <w:lang w:val="en-US"/>
                            </w:rPr>
                            <w:fldChar w:fldCharType="end"/>
                          </w:r>
                        </w:sdtContent>
                      </w:sdt>
                      <w:r>
                        <w:rPr>
                          <w:rFonts w:ascii="Times New Roman" w:hAnsi="Times New Roman"/>
                          <w:noProof/>
                          <w:lang w:val="en-US"/>
                        </w:rPr>
                        <w:t>. This is because it would be wasteful to squander aid on high-achieving, high-income students with an above-average academic record, even if they might not have the perfect transcript of a high-income student who has been receiving high-quality tutoring since they started schooling. Putting the merit aspect into the needy children’s issue, therefore, strikes the appropriate balance in the quest to determine who to benefit from  scholarships.</w:t>
                      </w:r>
                      <w:sdt>
                        <w:sdtPr>
                          <w:rPr>
                            <w:rFonts w:ascii="Times New Roman" w:hAnsi="Times New Roman"/>
                            <w:noProof/>
                            <w:lang w:val="en-US"/>
                          </w:rPr>
                          <w:id w:val="1373809384"/>
                          <w:citation/>
                        </w:sdtPr>
                        <w:sdtEndPr/>
                        <w:sdtContent>
                          <w:r>
                            <w:rPr>
                              <w:rFonts w:ascii="Times New Roman" w:hAnsi="Times New Roman"/>
                              <w:noProof/>
                              <w:lang w:val="en-US"/>
                            </w:rPr>
                            <w:fldChar w:fldCharType="begin"/>
                          </w:r>
                          <w:r>
                            <w:rPr>
                              <w:rFonts w:ascii="Times New Roman" w:hAnsi="Times New Roman"/>
                              <w:noProof/>
                              <w:lang w:val="en-US"/>
                            </w:rPr>
                            <w:instrText xml:space="preserve"> CITATION Dav18 \l 1033 </w:instrText>
                          </w:r>
                          <w:r>
                            <w:rPr>
                              <w:rFonts w:ascii="Times New Roman" w:hAnsi="Times New Roman"/>
                              <w:noProof/>
                              <w:lang w:val="en-US"/>
                            </w:rPr>
                            <w:fldChar w:fldCharType="separate"/>
                          </w:r>
                          <w:r>
                            <w:rPr>
                              <w:rFonts w:ascii="Times New Roman" w:hAnsi="Times New Roman"/>
                              <w:noProof/>
                              <w:lang w:val="en-US"/>
                            </w:rPr>
                            <w:t xml:space="preserve"> </w:t>
                          </w:r>
                          <w:r w:rsidRPr="00F845CA">
                            <w:rPr>
                              <w:rFonts w:ascii="Times New Roman" w:hAnsi="Times New Roman"/>
                              <w:noProof/>
                              <w:lang w:val="en-US"/>
                            </w:rPr>
                            <w:t>(David, 2018)</w:t>
                          </w:r>
                          <w:r>
                            <w:rPr>
                              <w:rFonts w:ascii="Times New Roman" w:hAnsi="Times New Roman"/>
                              <w:noProof/>
                              <w:lang w:val="en-US"/>
                            </w:rPr>
                            <w:fldChar w:fldCharType="end"/>
                          </w:r>
                        </w:sdtContent>
                      </w:sdt>
                      <w:r>
                        <w:rPr>
                          <w:rFonts w:ascii="Times New Roman" w:hAnsi="Times New Roman"/>
                          <w:noProof/>
                          <w:lang w:val="en-US"/>
                        </w:rPr>
                        <w:t>.</w:t>
                      </w:r>
                    </w:p>
                    <w:p w14:paraId="6E1B7F87" w14:textId="77777777" w:rsidR="002E5195" w:rsidRDefault="002E5195" w:rsidP="00CA2911">
                      <w:pPr>
                        <w:spacing w:after="0" w:line="240" w:lineRule="auto"/>
                        <w:jc w:val="both"/>
                        <w:rPr>
                          <w:rFonts w:ascii="Times New Roman" w:hAnsi="Times New Roman"/>
                          <w:noProof/>
                          <w:lang w:val="en-US"/>
                        </w:rPr>
                      </w:pPr>
                    </w:p>
                    <w:p w14:paraId="0EC8FF7F" w14:textId="77777777" w:rsidR="002E5195" w:rsidRPr="00B809B0" w:rsidRDefault="002E5195" w:rsidP="00594D2D">
                      <w:pPr>
                        <w:spacing w:after="0" w:line="240" w:lineRule="auto"/>
                        <w:jc w:val="both"/>
                        <w:rPr>
                          <w:rFonts w:ascii="Times New Roman" w:hAnsi="Times New Roman"/>
                          <w:b/>
                        </w:rPr>
                      </w:pPr>
                      <w:r>
                        <w:rPr>
                          <w:rFonts w:ascii="Times New Roman" w:hAnsi="Times New Roman"/>
                          <w:b/>
                        </w:rPr>
                        <w:t>4. Life skills training</w:t>
                      </w:r>
                    </w:p>
                    <w:p w14:paraId="4FFE5B9D" w14:textId="6C641369" w:rsidR="002E5195" w:rsidRDefault="002E5195" w:rsidP="00594D2D">
                      <w:pPr>
                        <w:spacing w:after="0" w:line="240" w:lineRule="auto"/>
                        <w:jc w:val="both"/>
                        <w:rPr>
                          <w:rFonts w:ascii="Times New Roman" w:hAnsi="Times New Roman"/>
                        </w:rPr>
                      </w:pPr>
                      <w:r>
                        <w:rPr>
                          <w:rFonts w:ascii="Times New Roman" w:hAnsi="Times New Roman"/>
                        </w:rPr>
                        <w:t>In an ever-growing technology- and data-driven world, much of the focus in education has, understandably, taken a shift toward science, technology, engineering, and mathematics (STEM)-based initiatives that prepare learners for the coursework and careers of the future. Even so, life skills – how well equipped learners are to make good decisions and solve problems in their academic and professional careers, as well as their personal lives, should also play a critical role in a well-rounded and comprehensive education. Life skills are building blocks or frameworks that allow learners to apply the knowledge that they acquire in school to real world problems and situations. Life skills enhance one’s ability to think abstractly and approach problems from multiple angles, so as to find practical solutions.</w:t>
                      </w:r>
                    </w:p>
                    <w:p w14:paraId="633D5574" w14:textId="77777777" w:rsidR="002E5195" w:rsidRDefault="002E5195" w:rsidP="00594D2D">
                      <w:pPr>
                        <w:spacing w:after="0" w:line="240" w:lineRule="auto"/>
                        <w:jc w:val="both"/>
                        <w:rPr>
                          <w:rFonts w:ascii="Times New Roman" w:hAnsi="Times New Roman"/>
                        </w:rPr>
                      </w:pPr>
                    </w:p>
                    <w:p w14:paraId="2C7F56CE" w14:textId="77777777" w:rsidR="002E5195" w:rsidRDefault="002E5195" w:rsidP="000151D5">
                      <w:pPr>
                        <w:spacing w:after="0" w:line="240" w:lineRule="auto"/>
                        <w:jc w:val="both"/>
                        <w:rPr>
                          <w:rFonts w:ascii="Times New Roman" w:hAnsi="Times New Roman"/>
                        </w:rPr>
                      </w:pPr>
                      <w:r>
                        <w:rPr>
                          <w:rFonts w:ascii="Times New Roman" w:hAnsi="Times New Roman"/>
                        </w:rPr>
                        <w:t xml:space="preserve">Life skills trainings also enhance </w:t>
                      </w:r>
                      <w:proofErr w:type="spellStart"/>
                      <w:r>
                        <w:rPr>
                          <w:rFonts w:ascii="Times New Roman" w:hAnsi="Times New Roman"/>
                        </w:rPr>
                        <w:t>childrens</w:t>
                      </w:r>
                      <w:proofErr w:type="spellEnd"/>
                      <w:r>
                        <w:rPr>
                          <w:rFonts w:ascii="Times New Roman" w:hAnsi="Times New Roman"/>
                        </w:rPr>
                        <w:t>’ abilities to communicate clearly and effectively. Building life skills in children also helps them to develop sound judgment and good habits for long-term stability, wellness, and success. Reaching children through life skills programs, both within and outside of the education system, is a unique opportunity to develop in them leadership abilities, provide vocational aptitudes, and integrate elements of empowerment for girls and young women. These programs help shift cultural norms, as well as create social change for the next generation of children</w:t>
                      </w:r>
                      <w:sdt>
                        <w:sdtPr>
                          <w:rPr>
                            <w:rFonts w:ascii="Times New Roman" w:hAnsi="Times New Roman"/>
                          </w:rPr>
                          <w:id w:val="638694317"/>
                          <w:citation/>
                        </w:sdtPr>
                        <w:sdtEndPr/>
                        <w:sdtContent>
                          <w:r>
                            <w:rPr>
                              <w:rFonts w:ascii="Times New Roman" w:hAnsi="Times New Roman"/>
                            </w:rPr>
                            <w:fldChar w:fldCharType="begin"/>
                          </w:r>
                          <w:r>
                            <w:rPr>
                              <w:rFonts w:ascii="Times New Roman" w:hAnsi="Times New Roman"/>
                              <w:lang w:val="en-US"/>
                            </w:rPr>
                            <w:instrText xml:space="preserve"> CITATION UNW13 \l 1033 </w:instrText>
                          </w:r>
                          <w:r>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(UN Women, 2013)</w:t>
                          </w:r>
                          <w:r>
                            <w:rPr>
                              <w:rFonts w:ascii="Times New Roman" w:hAnsi="Times New Roman"/>
                            </w:rPr>
                            <w:fldChar w:fldCharType="end"/>
                          </w:r>
                        </w:sdtContent>
                      </w:sdt>
                      <w:r>
                        <w:rPr>
                          <w:rFonts w:ascii="Times New Roman" w:hAnsi="Times New Roman"/>
                        </w:rPr>
                        <w:t>.</w:t>
                      </w:r>
                    </w:p>
                    <w:p w14:paraId="2C31F8C6" w14:textId="77777777" w:rsidR="002E5195" w:rsidRDefault="002E5195" w:rsidP="000151D5">
                      <w:pPr>
                        <w:spacing w:after="0" w:line="240" w:lineRule="auto"/>
                        <w:jc w:val="both"/>
                        <w:rPr>
                          <w:rFonts w:ascii="Times New Roman" w:hAnsi="Times New Roman"/>
                        </w:rPr>
                      </w:pPr>
                    </w:p>
                    <w:p w14:paraId="142198E7" w14:textId="77777777" w:rsidR="002E5195" w:rsidRPr="00B809B0" w:rsidRDefault="002E5195" w:rsidP="000151D5">
                      <w:pPr>
                        <w:spacing w:after="0" w:line="240" w:lineRule="auto"/>
                        <w:jc w:val="both"/>
                        <w:rPr>
                          <w:rFonts w:ascii="Times New Roman" w:hAnsi="Times New Roman"/>
                          <w:b/>
                        </w:rPr>
                      </w:pPr>
                      <w:r>
                        <w:rPr>
                          <w:rFonts w:ascii="Times New Roman" w:hAnsi="Times New Roman"/>
                          <w:b/>
                        </w:rPr>
                        <w:t>5. School infrastructure improvement</w:t>
                      </w:r>
                    </w:p>
                    <w:p w14:paraId="67F388A4" w14:textId="47EC0648" w:rsidR="002E5195" w:rsidRDefault="002E5195" w:rsidP="000151D5">
                      <w:pPr>
                        <w:spacing w:after="0" w:line="240" w:lineRule="auto"/>
                        <w:jc w:val="both"/>
                        <w:rPr>
                          <w:rFonts w:ascii="Times New Roman" w:hAnsi="Times New Roman"/>
                        </w:rPr>
                      </w:pPr>
                      <w:r>
                        <w:rPr>
                          <w:rFonts w:ascii="Times New Roman" w:hAnsi="Times New Roman"/>
                        </w:rPr>
                        <w:t>Education infrastructure is a crucial element of learning environments in schools. There is strong evidence that high-quality infrastructure facilitates better instruction, improves student outcomes, and reduces dropout rates, among other benefits</w:t>
                      </w:r>
                      <w:r>
                        <w:rPr>
                          <w:rFonts w:ascii="Times New Roman" w:hAnsi="Times New Roman"/>
                          <w:noProof/>
                          <w:lang w:val="en-US"/>
                        </w:rPr>
                        <w:t xml:space="preserve"> </w:t>
                      </w:r>
                      <w:r w:rsidRPr="00F845CA">
                        <w:rPr>
                          <w:rFonts w:ascii="Times New Roman" w:hAnsi="Times New Roman"/>
                          <w:noProof/>
                          <w:lang w:val="en-US"/>
                        </w:rPr>
                        <w:t xml:space="preserve">(Teixeira, </w:t>
                      </w:r>
                      <w:r>
                        <w:rPr>
                          <w:rFonts w:ascii="Times New Roman" w:hAnsi="Times New Roman"/>
                          <w:noProof/>
                          <w:lang w:val="en-US"/>
                        </w:rPr>
                        <w:t>et al.</w:t>
                      </w:r>
                      <w:r w:rsidRPr="00F845CA">
                        <w:rPr>
                          <w:rFonts w:ascii="Times New Roman" w:hAnsi="Times New Roman"/>
                          <w:noProof/>
                          <w:lang w:val="en-US"/>
                        </w:rPr>
                        <w:t>, 2017)</w:t>
                      </w:r>
                      <w:r>
                        <w:rPr>
                          <w:rFonts w:ascii="Times New Roman" w:hAnsi="Times New Roman"/>
                        </w:rPr>
                        <w:t>. Schools in marginalised areas face the biggest investment needs in Kenya. This means that learners attending these schools are doubly disadvantaged – they mainly come from low-income and rural families, to attend poorly equipped schools. Some of the attributes of adequate infrastructure are:</w:t>
                      </w:r>
                    </w:p>
                    <w:p w14:paraId="04CDFAA9" w14:textId="77777777" w:rsidR="002E5195" w:rsidRDefault="002E5195" w:rsidP="000151D5">
                      <w:pPr>
                        <w:pStyle w:val="ListParagraph"/>
                        <w:numPr>
                          <w:ilvl w:val="0"/>
                          <w:numId w:val="16"/>
                        </w:numPr>
                        <w:spacing w:after="0" w:line="240" w:lineRule="auto"/>
                        <w:jc w:val="both"/>
                        <w:rPr>
                          <w:rFonts w:ascii="Times New Roman" w:hAnsi="Times New Roman"/>
                        </w:rPr>
                      </w:pPr>
                      <w:r>
                        <w:rPr>
                          <w:rFonts w:ascii="Times New Roman" w:hAnsi="Times New Roman"/>
                        </w:rPr>
                        <w:t>Sufficient space per child (usually guided by standards set by a country’s Ministry of Education);</w:t>
                      </w:r>
                    </w:p>
                    <w:p w14:paraId="6D15DB44" w14:textId="77777777" w:rsidR="002E5195" w:rsidRDefault="002E5195" w:rsidP="000151D5">
                      <w:pPr>
                        <w:pStyle w:val="ListParagraph"/>
                        <w:numPr>
                          <w:ilvl w:val="0"/>
                          <w:numId w:val="16"/>
                        </w:numPr>
                        <w:spacing w:after="0" w:line="240" w:lineRule="auto"/>
                        <w:jc w:val="both"/>
                        <w:rPr>
                          <w:rFonts w:ascii="Times New Roman" w:hAnsi="Times New Roman"/>
                        </w:rPr>
                      </w:pPr>
                      <w:r>
                        <w:rPr>
                          <w:rFonts w:ascii="Times New Roman" w:hAnsi="Times New Roman"/>
                        </w:rPr>
                        <w:t>Sufficient space for 30-40 children per classroom (to permit efficient use of teachers);</w:t>
                      </w:r>
                    </w:p>
                    <w:p w14:paraId="7A89B08B" w14:textId="77777777" w:rsidR="002E5195" w:rsidRDefault="002E5195" w:rsidP="000151D5">
                      <w:pPr>
                        <w:pStyle w:val="ListParagraph"/>
                        <w:numPr>
                          <w:ilvl w:val="0"/>
                          <w:numId w:val="16"/>
                        </w:numPr>
                        <w:spacing w:after="0" w:line="240" w:lineRule="auto"/>
                        <w:jc w:val="both"/>
                        <w:rPr>
                          <w:rFonts w:ascii="Times New Roman" w:hAnsi="Times New Roman"/>
                        </w:rPr>
                      </w:pPr>
                      <w:r>
                        <w:rPr>
                          <w:rFonts w:ascii="Times New Roman" w:hAnsi="Times New Roman"/>
                        </w:rPr>
                        <w:t>Construction methods that ensure the safety of children in school, and are suited to the natural hazards of the area;</w:t>
                      </w:r>
                    </w:p>
                    <w:p w14:paraId="0F46B39E" w14:textId="77777777" w:rsidR="002E5195" w:rsidRDefault="002E5195" w:rsidP="000151D5">
                      <w:pPr>
                        <w:pStyle w:val="ListParagraph"/>
                        <w:numPr>
                          <w:ilvl w:val="0"/>
                          <w:numId w:val="16"/>
                        </w:numPr>
                        <w:spacing w:after="0" w:line="240" w:lineRule="auto"/>
                        <w:jc w:val="both"/>
                        <w:rPr>
                          <w:rFonts w:ascii="Times New Roman" w:hAnsi="Times New Roman"/>
                        </w:rPr>
                      </w:pPr>
                      <w:r>
                        <w:rPr>
                          <w:rFonts w:ascii="Times New Roman" w:hAnsi="Times New Roman"/>
                        </w:rPr>
                        <w:t>Adequate separate sanitary facilities for boys and girls, as well as for staff; and</w:t>
                      </w:r>
                    </w:p>
                    <w:p w14:paraId="26657643" w14:textId="77777777" w:rsidR="002E5195" w:rsidRDefault="002E5195" w:rsidP="000151D5">
                      <w:pPr>
                        <w:pStyle w:val="ListParagraph"/>
                        <w:numPr>
                          <w:ilvl w:val="0"/>
                          <w:numId w:val="16"/>
                        </w:numPr>
                        <w:spacing w:after="0" w:line="240" w:lineRule="auto"/>
                        <w:jc w:val="both"/>
                        <w:rPr>
                          <w:rFonts w:ascii="Times New Roman" w:hAnsi="Times New Roman"/>
                        </w:rPr>
                      </w:pPr>
                      <w:r>
                        <w:rPr>
                          <w:rFonts w:ascii="Times New Roman" w:hAnsi="Times New Roman"/>
                        </w:rPr>
                        <w:t>Increasingly, electricity and Internet connectivity.</w:t>
                      </w:r>
                    </w:p>
                    <w:p w14:paraId="43043242" w14:textId="77777777" w:rsidR="002E5195" w:rsidRDefault="002E5195" w:rsidP="00594D2D">
                      <w:pPr>
                        <w:spacing w:after="0" w:line="240" w:lineRule="auto"/>
                        <w:jc w:val="both"/>
                        <w:rPr>
                          <w:rFonts w:ascii="Times New Roman" w:hAnsi="Times New Roman"/>
                        </w:rPr>
                      </w:pPr>
                    </w:p>
                    <w:p w14:paraId="66A6243C" w14:textId="77777777" w:rsidR="002E5195" w:rsidRPr="0017157D" w:rsidRDefault="002E5195" w:rsidP="00CA2911">
                      <w:pPr>
                        <w:spacing w:after="0" w:line="240" w:lineRule="auto"/>
                        <w:jc w:val="both"/>
                        <w:rPr>
                          <w:rFonts w:ascii="Times New Roman" w:hAnsi="Times New Roman"/>
                        </w:rPr>
                      </w:pPr>
                    </w:p>
                  </w:txbxContent>
                </v:textbox>
                <w10:wrap type="square"/>
              </v:shape>
            </w:pict>
          </mc:Fallback>
        </mc:AlternateContent>
      </w:r>
    </w:p>
    <w:p w14:paraId="1934ADB3" w14:textId="10F8A09E" w:rsidR="000F3F1C" w:rsidRPr="00DA275F" w:rsidRDefault="000151D5" w:rsidP="00050E90">
      <w:pPr>
        <w:spacing w:after="0" w:line="360" w:lineRule="auto"/>
        <w:jc w:val="both"/>
        <w:rPr>
          <w:rFonts w:ascii="Helvetica" w:eastAsia="Times New Roman" w:hAnsi="Helvetica"/>
          <w:color w:val="333333"/>
          <w:sz w:val="26"/>
          <w:szCs w:val="26"/>
        </w:rPr>
      </w:pPr>
      <w:r>
        <w:rPr>
          <w:noProof/>
          <w:lang w:val="en-US"/>
        </w:rPr>
        <w:lastRenderedPageBreak/>
        <mc:AlternateContent>
          <mc:Choice Requires="wps">
            <w:drawing>
              <wp:anchor distT="0" distB="0" distL="114300" distR="114300" simplePos="0" relativeHeight="252624896" behindDoc="0" locked="0" layoutInCell="1" allowOverlap="1" wp14:anchorId="4EAEF604" wp14:editId="62929C92">
                <wp:simplePos x="0" y="0"/>
                <wp:positionH relativeFrom="margin">
                  <wp:posOffset>-1087120</wp:posOffset>
                </wp:positionH>
                <wp:positionV relativeFrom="paragraph">
                  <wp:posOffset>-114300</wp:posOffset>
                </wp:positionV>
                <wp:extent cx="7648575" cy="2171700"/>
                <wp:effectExtent l="0" t="0" r="0" b="12700"/>
                <wp:wrapTopAndBottom/>
                <wp:docPr id="27" name="Text Box 27"/>
                <wp:cNvGraphicFramePr/>
                <a:graphic xmlns:a="http://schemas.openxmlformats.org/drawingml/2006/main">
                  <a:graphicData uri="http://schemas.microsoft.com/office/word/2010/wordprocessingShape">
                    <wps:wsp>
                      <wps:cNvSpPr txBox="1"/>
                      <wps:spPr>
                        <a:xfrm>
                          <a:off x="0" y="0"/>
                          <a:ext cx="7648575" cy="2171700"/>
                        </a:xfrm>
                        <a:prstGeom prst="rect">
                          <a:avLst/>
                        </a:prstGeom>
                        <a:solidFill>
                          <a:schemeClr val="tx2">
                            <a:lumMod val="25000"/>
                            <a:lumOff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3696A2" w14:textId="77777777" w:rsidR="002E5195" w:rsidRDefault="002E5195" w:rsidP="000A62D0">
                            <w:pPr>
                              <w:ind w:left="1560"/>
                            </w:pPr>
                            <w:r>
                              <w:rPr>
                                <w:noProof/>
                                <w:lang w:val="en-US"/>
                              </w:rPr>
                              <w:drawing>
                                <wp:inline distT="0" distB="0" distL="0" distR="0" wp14:anchorId="2DA65149" wp14:editId="60891C02">
                                  <wp:extent cx="5266055" cy="8872855"/>
                                  <wp:effectExtent l="0" t="0" r="0" b="0"/>
                                  <wp:docPr id="7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left:0;text-align:left;margin-left:-85.55pt;margin-top:-8.95pt;width:602.25pt;height:171pt;z-index:25262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" mv:complextextbox="1" fillcolor="#a0c6f0 [831]" stroked="f">
                <v:textbox>
                  <w:txbxContent>
                    <w:p w14:paraId="733696A2" w14:textId="77777777" w:rsidR="002E5195" w:rsidRDefault="002E5195" w:rsidP="000A62D0">
                      <w:pPr>
                        <w:ind w:left="1560"/>
                      </w:pPr>
                      <w:r>
                        <w:rPr>
                          <w:noProof/>
                          <w:lang w:val="en-US"/>
                        </w:rPr>
                        <w:drawing>
                          <wp:inline distT="0" distB="0" distL="0" distR="0" wp14:anchorId="2DA65149" wp14:editId="60891C02">
                            <wp:extent cx="5266055" cy="8872855"/>
                            <wp:effectExtent l="0" t="0" r="0" b="0"/>
                            <wp:docPr id="7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v:textbox>
                <w10:wrap type="topAndBottom" anchorx="margin"/>
              </v:shape>
            </w:pict>
          </mc:Fallback>
        </mc:AlternateContent>
      </w:r>
      <w:r>
        <w:rPr>
          <w:noProof/>
          <w:lang w:val="en-US"/>
        </w:rPr>
        <mc:AlternateContent>
          <mc:Choice Requires="wps">
            <w:drawing>
              <wp:anchor distT="0" distB="0" distL="114300" distR="114300" simplePos="0" relativeHeight="252626944" behindDoc="0" locked="0" layoutInCell="1" allowOverlap="1" wp14:anchorId="60DCBAA0" wp14:editId="2D367782">
                <wp:simplePos x="0" y="0"/>
                <wp:positionH relativeFrom="column">
                  <wp:posOffset>-139700</wp:posOffset>
                </wp:positionH>
                <wp:positionV relativeFrom="paragraph">
                  <wp:posOffset>0</wp:posOffset>
                </wp:positionV>
                <wp:extent cx="5657850" cy="20574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65785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18236" w14:textId="4960D817" w:rsidR="002E5195" w:rsidRDefault="002E5195" w:rsidP="000F3F1C">
                            <w:pPr>
                              <w:spacing w:after="0" w:line="240" w:lineRule="auto"/>
                              <w:jc w:val="both"/>
                              <w:rPr>
                                <w:rFonts w:ascii="Times New Roman" w:hAnsi="Times New Roman"/>
                              </w:rPr>
                            </w:pPr>
                            <w:r>
                              <w:rPr>
                                <w:rFonts w:ascii="Times New Roman" w:hAnsi="Times New Roman"/>
                              </w:rPr>
                              <w:t xml:space="preserve">Infrastructural facilities may be inadequate in many ways, including being over-crowded or dangerous, inadequate sanitary facilities, and lack of water for hygiene. The health implications of inadequate toilets and sanitation are very severe - girls, in particular, are pushed out of school if facilities are inadequate. Older primary-age girls often miss significant amounts of school or are unlikely to continue at school after they begin </w:t>
                            </w:r>
                            <w:proofErr w:type="spellStart"/>
                            <w:r>
                              <w:rPr>
                                <w:rFonts w:ascii="Times New Roman" w:hAnsi="Times New Roman"/>
                              </w:rPr>
                              <w:t>menstration</w:t>
                            </w:r>
                            <w:proofErr w:type="spellEnd"/>
                            <w:r>
                              <w:rPr>
                                <w:rFonts w:ascii="Times New Roman" w:hAnsi="Times New Roman"/>
                              </w:rPr>
                              <w:t xml:space="preserve"> if sanitary facilities are poor or non-existent.</w:t>
                            </w:r>
                          </w:p>
                          <w:p w14:paraId="2F2E567E" w14:textId="77777777" w:rsidR="002E5195" w:rsidRDefault="002E5195" w:rsidP="000F3F1C">
                            <w:pPr>
                              <w:spacing w:after="0" w:line="240" w:lineRule="auto"/>
                              <w:jc w:val="both"/>
                              <w:rPr>
                                <w:rFonts w:ascii="Times New Roman" w:hAnsi="Times New Roman"/>
                              </w:rPr>
                            </w:pPr>
                          </w:p>
                          <w:p w14:paraId="1FB8EE4D" w14:textId="4D76AE83" w:rsidR="002E5195" w:rsidRDefault="002E5195" w:rsidP="000F3F1C">
                            <w:pPr>
                              <w:spacing w:after="0" w:line="240" w:lineRule="auto"/>
                              <w:jc w:val="both"/>
                              <w:rPr>
                                <w:rFonts w:ascii="Times New Roman" w:hAnsi="Times New Roman"/>
                              </w:rPr>
                            </w:pPr>
                            <w:r>
                              <w:rPr>
                                <w:rFonts w:ascii="Times New Roman" w:hAnsi="Times New Roman"/>
                              </w:rPr>
                              <w:t>Effective approaches toward improvement of school infrastructure would include</w:t>
                            </w:r>
                            <w:sdt>
                              <w:sdtPr>
                                <w:rPr>
                                  <w:rFonts w:ascii="Times New Roman" w:hAnsi="Times New Roman"/>
                                </w:rPr>
                                <w:id w:val="758727246"/>
                                <w:citation/>
                              </w:sdtPr>
                              <w:sdtEndPr/>
                              <w:sdtContent>
                                <w:r>
                                  <w:rPr>
                                    <w:rFonts w:ascii="Times New Roman" w:hAnsi="Times New Roman"/>
                                  </w:rPr>
                                  <w:fldChar w:fldCharType="begin"/>
                                </w:r>
                                <w:r>
                                  <w:rPr>
                                    <w:rFonts w:ascii="Times New Roman" w:hAnsi="Times New Roman"/>
                                    <w:lang w:val="en-US"/>
                                  </w:rPr>
                                  <w:instrText xml:space="preserve"> CITATION Edued \l 1033 </w:instrText>
                                </w:r>
                                <w:r>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(Educate a Child, Undated)</w:t>
                                </w:r>
                                <w:r>
                                  <w:rPr>
                                    <w:rFonts w:ascii="Times New Roman" w:hAnsi="Times New Roman"/>
                                  </w:rPr>
                                  <w:fldChar w:fldCharType="end"/>
                                </w:r>
                              </w:sdtContent>
                            </w:sdt>
                            <w:r>
                              <w:rPr>
                                <w:rFonts w:ascii="Times New Roman" w:hAnsi="Times New Roman"/>
                              </w:rPr>
                              <w:t>:</w:t>
                            </w:r>
                          </w:p>
                          <w:p w14:paraId="59A467F1" w14:textId="744F9A17" w:rsidR="002E5195" w:rsidRDefault="002E5195" w:rsidP="00063664">
                            <w:pPr>
                              <w:pStyle w:val="ListParagraph"/>
                              <w:numPr>
                                <w:ilvl w:val="0"/>
                                <w:numId w:val="17"/>
                              </w:numPr>
                              <w:spacing w:after="0" w:line="240" w:lineRule="auto"/>
                              <w:jc w:val="both"/>
                              <w:rPr>
                                <w:rFonts w:ascii="Times New Roman" w:hAnsi="Times New Roman"/>
                              </w:rPr>
                            </w:pPr>
                            <w:r>
                              <w:rPr>
                                <w:rFonts w:ascii="Times New Roman" w:hAnsi="Times New Roman"/>
                              </w:rPr>
                              <w:t>Rehabilitating schools that are in disrepair;</w:t>
                            </w:r>
                          </w:p>
                          <w:p w14:paraId="2CD74E15" w14:textId="064EA3B1" w:rsidR="002E5195" w:rsidRDefault="002E5195" w:rsidP="00063664">
                            <w:pPr>
                              <w:pStyle w:val="ListParagraph"/>
                              <w:numPr>
                                <w:ilvl w:val="0"/>
                                <w:numId w:val="17"/>
                              </w:numPr>
                              <w:spacing w:after="0" w:line="240" w:lineRule="auto"/>
                              <w:jc w:val="both"/>
                              <w:rPr>
                                <w:rFonts w:ascii="Times New Roman" w:hAnsi="Times New Roman"/>
                              </w:rPr>
                            </w:pPr>
                            <w:r>
                              <w:rPr>
                                <w:rFonts w:ascii="Times New Roman" w:hAnsi="Times New Roman"/>
                              </w:rPr>
                              <w:t>Expanding learning space in overcrowded schools; and</w:t>
                            </w:r>
                          </w:p>
                          <w:p w14:paraId="178C8ECA" w14:textId="755649A3" w:rsidR="002E5195" w:rsidRPr="00063664" w:rsidRDefault="002E5195" w:rsidP="00063664">
                            <w:pPr>
                              <w:pStyle w:val="ListParagraph"/>
                              <w:numPr>
                                <w:ilvl w:val="0"/>
                                <w:numId w:val="17"/>
                              </w:numPr>
                              <w:spacing w:after="0" w:line="240" w:lineRule="auto"/>
                              <w:jc w:val="both"/>
                              <w:rPr>
                                <w:rFonts w:ascii="Times New Roman" w:hAnsi="Times New Roman"/>
                              </w:rPr>
                            </w:pPr>
                            <w:r>
                              <w:rPr>
                                <w:rFonts w:ascii="Times New Roman" w:hAnsi="Times New Roman"/>
                              </w:rPr>
                              <w:t>Improving water, sanitation, and hygiene (WASH) facilities in schools</w:t>
                            </w:r>
                            <w:sdt>
                              <w:sdtPr>
                                <w:rPr>
                                  <w:rFonts w:ascii="Times New Roman" w:hAnsi="Times New Roman"/>
                                </w:rPr>
                                <w:id w:val="-63573197"/>
                                <w:citation/>
                              </w:sdtPr>
                              <w:sdtEndPr/>
                              <w:sdtContent>
                                <w:r>
                                  <w:rPr>
                                    <w:rFonts w:ascii="Times New Roman" w:hAnsi="Times New Roman"/>
                                  </w:rPr>
                                  <w:fldChar w:fldCharType="begin"/>
                                </w:r>
                                <w:r>
                                  <w:rPr>
                                    <w:rFonts w:ascii="Times New Roman" w:hAnsi="Times New Roman"/>
                                    <w:lang w:val="en-US"/>
                                  </w:rPr>
                                  <w:instrText xml:space="preserve"> CITATION UNI121 \l 1033 </w:instrText>
                                </w:r>
                                <w:r>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(UNICEF, 2012)</w:t>
                                </w:r>
                                <w:r>
                                  <w:rPr>
                                    <w:rFonts w:ascii="Times New Roman" w:hAnsi="Times New Roman"/>
                                  </w:rPr>
                                  <w:fldChar w:fldCharType="end"/>
                                </w:r>
                              </w:sdtContent>
                            </w:sdt>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left:0;text-align:left;margin-left:-10.95pt;margin-top:0;width:445.5pt;height:162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PWD9QCAAAZ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" filled="f" stroked="f">
                <v:textbox>
                  <w:txbxContent>
                    <w:p w14:paraId="53918236" w14:textId="4960D817" w:rsidR="002E5195" w:rsidRDefault="002E5195" w:rsidP="000F3F1C">
                      <w:pPr>
                        <w:spacing w:after="0" w:line="240" w:lineRule="auto"/>
                        <w:jc w:val="both"/>
                        <w:rPr>
                          <w:rFonts w:ascii="Times New Roman" w:hAnsi="Times New Roman"/>
                        </w:rPr>
                      </w:pPr>
                      <w:r>
                        <w:rPr>
                          <w:rFonts w:ascii="Times New Roman" w:hAnsi="Times New Roman"/>
                        </w:rPr>
                        <w:t xml:space="preserve">Infrastructural facilities may be inadequate in many ways, including being over-crowded or dangerous, inadequate sanitary facilities, and lack of water for hygiene. The health implications of inadequate toilets and sanitation are very severe - girls, in particular, are pushed out of school if facilities are inadequate. Older primary-age girls often miss significant amounts of school or are unlikely to continue at school after they begin </w:t>
                      </w:r>
                      <w:proofErr w:type="spellStart"/>
                      <w:r>
                        <w:rPr>
                          <w:rFonts w:ascii="Times New Roman" w:hAnsi="Times New Roman"/>
                        </w:rPr>
                        <w:t>menstration</w:t>
                      </w:r>
                      <w:proofErr w:type="spellEnd"/>
                      <w:r>
                        <w:rPr>
                          <w:rFonts w:ascii="Times New Roman" w:hAnsi="Times New Roman"/>
                        </w:rPr>
                        <w:t xml:space="preserve"> if sanitary facilities are poor or non-existent.</w:t>
                      </w:r>
                    </w:p>
                    <w:p w14:paraId="2F2E567E" w14:textId="77777777" w:rsidR="002E5195" w:rsidRDefault="002E5195" w:rsidP="000F3F1C">
                      <w:pPr>
                        <w:spacing w:after="0" w:line="240" w:lineRule="auto"/>
                        <w:jc w:val="both"/>
                        <w:rPr>
                          <w:rFonts w:ascii="Times New Roman" w:hAnsi="Times New Roman"/>
                        </w:rPr>
                      </w:pPr>
                    </w:p>
                    <w:p w14:paraId="1FB8EE4D" w14:textId="4D76AE83" w:rsidR="002E5195" w:rsidRDefault="002E5195" w:rsidP="000F3F1C">
                      <w:pPr>
                        <w:spacing w:after="0" w:line="240" w:lineRule="auto"/>
                        <w:jc w:val="both"/>
                        <w:rPr>
                          <w:rFonts w:ascii="Times New Roman" w:hAnsi="Times New Roman"/>
                        </w:rPr>
                      </w:pPr>
                      <w:r>
                        <w:rPr>
                          <w:rFonts w:ascii="Times New Roman" w:hAnsi="Times New Roman"/>
                        </w:rPr>
                        <w:t>Effective approaches toward improvement of school infrastructure would include</w:t>
                      </w:r>
                      <w:sdt>
                        <w:sdtPr>
                          <w:rPr>
                            <w:rFonts w:ascii="Times New Roman" w:hAnsi="Times New Roman"/>
                          </w:rPr>
                          <w:id w:val="758727246"/>
                          <w:citation/>
                        </w:sdtPr>
                        <w:sdtEndPr/>
                        <w:sdtContent>
                          <w:r>
                            <w:rPr>
                              <w:rFonts w:ascii="Times New Roman" w:hAnsi="Times New Roman"/>
                            </w:rPr>
                            <w:fldChar w:fldCharType="begin"/>
                          </w:r>
                          <w:r>
                            <w:rPr>
                              <w:rFonts w:ascii="Times New Roman" w:hAnsi="Times New Roman"/>
                              <w:lang w:val="en-US"/>
                            </w:rPr>
                            <w:instrText xml:space="preserve"> CITATION Edued \l 1033 </w:instrText>
                          </w:r>
                          <w:r>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(Educate a Child, Undated)</w:t>
                          </w:r>
                          <w:r>
                            <w:rPr>
                              <w:rFonts w:ascii="Times New Roman" w:hAnsi="Times New Roman"/>
                            </w:rPr>
                            <w:fldChar w:fldCharType="end"/>
                          </w:r>
                        </w:sdtContent>
                      </w:sdt>
                      <w:r>
                        <w:rPr>
                          <w:rFonts w:ascii="Times New Roman" w:hAnsi="Times New Roman"/>
                        </w:rPr>
                        <w:t>:</w:t>
                      </w:r>
                    </w:p>
                    <w:p w14:paraId="59A467F1" w14:textId="744F9A17" w:rsidR="002E5195" w:rsidRDefault="002E5195" w:rsidP="00063664">
                      <w:pPr>
                        <w:pStyle w:val="ListParagraph"/>
                        <w:numPr>
                          <w:ilvl w:val="0"/>
                          <w:numId w:val="17"/>
                        </w:numPr>
                        <w:spacing w:after="0" w:line="240" w:lineRule="auto"/>
                        <w:jc w:val="both"/>
                        <w:rPr>
                          <w:rFonts w:ascii="Times New Roman" w:hAnsi="Times New Roman"/>
                        </w:rPr>
                      </w:pPr>
                      <w:r>
                        <w:rPr>
                          <w:rFonts w:ascii="Times New Roman" w:hAnsi="Times New Roman"/>
                        </w:rPr>
                        <w:t>Rehabilitating schools that are in disrepair;</w:t>
                      </w:r>
                    </w:p>
                    <w:p w14:paraId="2CD74E15" w14:textId="064EA3B1" w:rsidR="002E5195" w:rsidRDefault="002E5195" w:rsidP="00063664">
                      <w:pPr>
                        <w:pStyle w:val="ListParagraph"/>
                        <w:numPr>
                          <w:ilvl w:val="0"/>
                          <w:numId w:val="17"/>
                        </w:numPr>
                        <w:spacing w:after="0" w:line="240" w:lineRule="auto"/>
                        <w:jc w:val="both"/>
                        <w:rPr>
                          <w:rFonts w:ascii="Times New Roman" w:hAnsi="Times New Roman"/>
                        </w:rPr>
                      </w:pPr>
                      <w:r>
                        <w:rPr>
                          <w:rFonts w:ascii="Times New Roman" w:hAnsi="Times New Roman"/>
                        </w:rPr>
                        <w:t>Expanding learning space in overcrowded schools; and</w:t>
                      </w:r>
                    </w:p>
                    <w:p w14:paraId="178C8ECA" w14:textId="755649A3" w:rsidR="002E5195" w:rsidRPr="00063664" w:rsidRDefault="002E5195" w:rsidP="00063664">
                      <w:pPr>
                        <w:pStyle w:val="ListParagraph"/>
                        <w:numPr>
                          <w:ilvl w:val="0"/>
                          <w:numId w:val="17"/>
                        </w:numPr>
                        <w:spacing w:after="0" w:line="240" w:lineRule="auto"/>
                        <w:jc w:val="both"/>
                        <w:rPr>
                          <w:rFonts w:ascii="Times New Roman" w:hAnsi="Times New Roman"/>
                        </w:rPr>
                      </w:pPr>
                      <w:r>
                        <w:rPr>
                          <w:rFonts w:ascii="Times New Roman" w:hAnsi="Times New Roman"/>
                        </w:rPr>
                        <w:t>Improving water, sanitation, and hygiene (WASH) facilities in schools</w:t>
                      </w:r>
                      <w:sdt>
                        <w:sdtPr>
                          <w:rPr>
                            <w:rFonts w:ascii="Times New Roman" w:hAnsi="Times New Roman"/>
                          </w:rPr>
                          <w:id w:val="-63573197"/>
                          <w:citation/>
                        </w:sdtPr>
                        <w:sdtEndPr/>
                        <w:sdtContent>
                          <w:r>
                            <w:rPr>
                              <w:rFonts w:ascii="Times New Roman" w:hAnsi="Times New Roman"/>
                            </w:rPr>
                            <w:fldChar w:fldCharType="begin"/>
                          </w:r>
                          <w:r>
                            <w:rPr>
                              <w:rFonts w:ascii="Times New Roman" w:hAnsi="Times New Roman"/>
                              <w:lang w:val="en-US"/>
                            </w:rPr>
                            <w:instrText xml:space="preserve"> CITATION UNI121 \l 1033 </w:instrText>
                          </w:r>
                          <w:r>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(UNICEF, 2012)</w:t>
                          </w:r>
                          <w:r>
                            <w:rPr>
                              <w:rFonts w:ascii="Times New Roman" w:hAnsi="Times New Roman"/>
                            </w:rPr>
                            <w:fldChar w:fldCharType="end"/>
                          </w:r>
                        </w:sdtContent>
                      </w:sdt>
                      <w:r>
                        <w:rPr>
                          <w:rFonts w:ascii="Times New Roman" w:hAnsi="Times New Roman"/>
                        </w:rPr>
                        <w:t>.</w:t>
                      </w:r>
                    </w:p>
                  </w:txbxContent>
                </v:textbox>
                <w10:wrap type="square"/>
              </v:shape>
            </w:pict>
          </mc:Fallback>
        </mc:AlternateContent>
      </w:r>
    </w:p>
    <w:p w14:paraId="08F35E63" w14:textId="77777777" w:rsidR="005B11F9" w:rsidRDefault="00050E90" w:rsidP="00050E90">
      <w:pPr>
        <w:spacing w:after="0" w:line="360" w:lineRule="auto"/>
        <w:jc w:val="both"/>
        <w:rPr>
          <w:rFonts w:ascii="Times New Roman" w:hAnsi="Times New Roman"/>
        </w:rPr>
      </w:pPr>
      <w:r w:rsidRPr="00594D2D">
        <w:rPr>
          <w:rFonts w:ascii="Times New Roman" w:hAnsi="Times New Roman"/>
          <w:b/>
        </w:rPr>
        <w:t xml:space="preserve">Secondary: </w:t>
      </w:r>
      <w:r w:rsidR="00CE0BCD" w:rsidRPr="00594D2D">
        <w:rPr>
          <w:rFonts w:ascii="Times New Roman" w:hAnsi="Times New Roman"/>
        </w:rPr>
        <w:t>UNESCO Institute for Statistics and the Global Education Monitoring</w:t>
      </w:r>
      <w:r w:rsidR="00081113">
        <w:rPr>
          <w:rFonts w:ascii="Times New Roman" w:hAnsi="Times New Roman"/>
        </w:rPr>
        <w:t xml:space="preserve"> (GEM)</w:t>
      </w:r>
      <w:r w:rsidR="00CE0BCD" w:rsidRPr="00594D2D">
        <w:rPr>
          <w:rFonts w:ascii="Times New Roman" w:hAnsi="Times New Roman"/>
        </w:rPr>
        <w:t xml:space="preserve"> </w:t>
      </w:r>
      <w:r w:rsidR="00164E5F" w:rsidRPr="00594D2D">
        <w:rPr>
          <w:rFonts w:ascii="Times New Roman" w:hAnsi="Times New Roman"/>
        </w:rPr>
        <w:t>have reported that</w:t>
      </w:r>
      <w:r w:rsidR="00CE0BCD" w:rsidRPr="00594D2D">
        <w:rPr>
          <w:rFonts w:ascii="Times New Roman" w:hAnsi="Times New Roman"/>
        </w:rPr>
        <w:t xml:space="preserve"> 420 million people could be lifted out of poverty with a secondary education, thus reducing the number of poor peo</w:t>
      </w:r>
      <w:r w:rsidR="00403FB1" w:rsidRPr="00594D2D">
        <w:rPr>
          <w:rFonts w:ascii="Times New Roman" w:hAnsi="Times New Roman"/>
        </w:rPr>
        <w:t>ple worldwide by more than half, and by almost two-thirds in sub-Saharan Africa and South Asia.</w:t>
      </w:r>
      <w:r w:rsidRPr="00594D2D">
        <w:rPr>
          <w:rFonts w:ascii="Times New Roman" w:hAnsi="Times New Roman"/>
        </w:rPr>
        <w:t xml:space="preserve"> </w:t>
      </w:r>
    </w:p>
    <w:p w14:paraId="60F4E7F4" w14:textId="77777777" w:rsidR="005B11F9" w:rsidRDefault="005B11F9" w:rsidP="00050E90">
      <w:pPr>
        <w:spacing w:after="0" w:line="360" w:lineRule="auto"/>
        <w:jc w:val="both"/>
        <w:rPr>
          <w:rFonts w:ascii="Times New Roman" w:hAnsi="Times New Roman"/>
        </w:rPr>
      </w:pPr>
    </w:p>
    <w:p w14:paraId="23B7EB0E" w14:textId="7B78B641" w:rsidR="00050E90" w:rsidRPr="00594D2D" w:rsidRDefault="00225C51" w:rsidP="00050E90">
      <w:pPr>
        <w:spacing w:after="0" w:line="360" w:lineRule="auto"/>
        <w:jc w:val="both"/>
        <w:rPr>
          <w:rFonts w:ascii="Times New Roman" w:hAnsi="Times New Roman"/>
        </w:rPr>
      </w:pPr>
      <w:r w:rsidRPr="00594D2D">
        <w:rPr>
          <w:rFonts w:ascii="Times New Roman" w:hAnsi="Times New Roman"/>
        </w:rPr>
        <w:t xml:space="preserve">While UNESCO </w:t>
      </w:r>
      <w:r w:rsidR="00D9507D" w:rsidRPr="00594D2D">
        <w:rPr>
          <w:rFonts w:ascii="Times New Roman" w:hAnsi="Times New Roman"/>
        </w:rPr>
        <w:t>underlines</w:t>
      </w:r>
      <w:r w:rsidRPr="00594D2D">
        <w:rPr>
          <w:rFonts w:ascii="Times New Roman" w:hAnsi="Times New Roman"/>
        </w:rPr>
        <w:t xml:space="preserve"> that education must reach</w:t>
      </w:r>
      <w:r w:rsidR="00081113">
        <w:rPr>
          <w:rFonts w:ascii="Times New Roman" w:hAnsi="Times New Roman"/>
        </w:rPr>
        <w:t xml:space="preserve"> the poorest in order to maximis</w:t>
      </w:r>
      <w:r w:rsidRPr="00594D2D">
        <w:rPr>
          <w:rFonts w:ascii="Times New Roman" w:hAnsi="Times New Roman"/>
        </w:rPr>
        <w:t>e its benefits and reduce income inequality, according to</w:t>
      </w:r>
      <w:r w:rsidR="00F458CB" w:rsidRPr="00594D2D">
        <w:rPr>
          <w:rFonts w:ascii="Times New Roman" w:hAnsi="Times New Roman"/>
        </w:rPr>
        <w:t xml:space="preserve"> the 20</w:t>
      </w:r>
      <w:r w:rsidR="00081113">
        <w:rPr>
          <w:rFonts w:ascii="Times New Roman" w:hAnsi="Times New Roman"/>
        </w:rPr>
        <w:t>16 GEM</w:t>
      </w:r>
      <w:r w:rsidR="00F458CB" w:rsidRPr="00594D2D">
        <w:rPr>
          <w:rFonts w:ascii="Times New Roman" w:hAnsi="Times New Roman"/>
        </w:rPr>
        <w:t xml:space="preserve"> Report, children from the poorest 20% of families are 8 times as likely to be out of school as children from the richest 20% in lower-middle-income countries</w:t>
      </w:r>
      <w:r w:rsidR="00081113">
        <w:rPr>
          <w:rFonts w:ascii="Times New Roman" w:hAnsi="Times New Roman"/>
          <w:noProof/>
          <w:lang w:val="en-US"/>
        </w:rPr>
        <w:t xml:space="preserve"> </w:t>
      </w:r>
      <w:r w:rsidR="00081113" w:rsidRPr="00F10553">
        <w:rPr>
          <w:rFonts w:ascii="Times New Roman" w:hAnsi="Times New Roman"/>
          <w:noProof/>
          <w:lang w:val="en-US"/>
        </w:rPr>
        <w:t>(</w:t>
      </w:r>
      <w:r w:rsidR="00081113">
        <w:rPr>
          <w:rFonts w:ascii="Times New Roman" w:hAnsi="Times New Roman"/>
          <w:noProof/>
          <w:lang w:val="en-US"/>
        </w:rPr>
        <w:t>GEM</w:t>
      </w:r>
      <w:r w:rsidR="00081113" w:rsidRPr="00F10553">
        <w:rPr>
          <w:rFonts w:ascii="Times New Roman" w:hAnsi="Times New Roman"/>
          <w:noProof/>
          <w:lang w:val="en-US"/>
        </w:rPr>
        <w:t>, 2016)</w:t>
      </w:r>
      <w:r w:rsidR="00F458CB" w:rsidRPr="00594D2D">
        <w:rPr>
          <w:rFonts w:ascii="Times New Roman" w:hAnsi="Times New Roman"/>
        </w:rPr>
        <w:t>.</w:t>
      </w:r>
    </w:p>
    <w:p w14:paraId="15506132" w14:textId="77777777" w:rsidR="00B46620" w:rsidRPr="00594D2D" w:rsidRDefault="00B46620" w:rsidP="00050E90">
      <w:pPr>
        <w:spacing w:after="0" w:line="360" w:lineRule="auto"/>
        <w:jc w:val="both"/>
        <w:rPr>
          <w:rFonts w:ascii="Times New Roman" w:hAnsi="Times New Roman"/>
          <w:sz w:val="12"/>
          <w:szCs w:val="12"/>
        </w:rPr>
      </w:pPr>
    </w:p>
    <w:p w14:paraId="3D3FA05A" w14:textId="7742D11B" w:rsidR="00B126E8" w:rsidRDefault="00B46620" w:rsidP="00B46620">
      <w:pPr>
        <w:spacing w:after="0" w:line="360" w:lineRule="auto"/>
        <w:jc w:val="both"/>
        <w:rPr>
          <w:rFonts w:ascii="Times New Roman" w:hAnsi="Times New Roman"/>
        </w:rPr>
      </w:pPr>
      <w:r w:rsidRPr="00594D2D">
        <w:rPr>
          <w:rFonts w:ascii="Times New Roman" w:hAnsi="Times New Roman"/>
        </w:rPr>
        <w:t xml:space="preserve">APC </w:t>
      </w:r>
      <w:r w:rsidR="005757E7">
        <w:rPr>
          <w:rFonts w:ascii="Times New Roman" w:hAnsi="Times New Roman"/>
        </w:rPr>
        <w:t>has, over time, come to a well-founded appreciation of</w:t>
      </w:r>
      <w:r w:rsidRPr="00594D2D">
        <w:rPr>
          <w:rFonts w:ascii="Times New Roman" w:hAnsi="Times New Roman"/>
        </w:rPr>
        <w:t xml:space="preserve"> the barriers to secondary education that </w:t>
      </w:r>
      <w:r w:rsidR="00971350">
        <w:rPr>
          <w:rFonts w:ascii="Times New Roman" w:hAnsi="Times New Roman"/>
        </w:rPr>
        <w:t>learners</w:t>
      </w:r>
      <w:r w:rsidRPr="00594D2D">
        <w:rPr>
          <w:rFonts w:ascii="Times New Roman" w:hAnsi="Times New Roman"/>
        </w:rPr>
        <w:t xml:space="preserve"> from poor families</w:t>
      </w:r>
      <w:r w:rsidR="00081113">
        <w:rPr>
          <w:rFonts w:ascii="Times New Roman" w:hAnsi="Times New Roman"/>
        </w:rPr>
        <w:t>,</w:t>
      </w:r>
      <w:r w:rsidRPr="00594D2D">
        <w:rPr>
          <w:rFonts w:ascii="Times New Roman" w:hAnsi="Times New Roman"/>
        </w:rPr>
        <w:t xml:space="preserve"> and communities at the margins of society</w:t>
      </w:r>
      <w:r w:rsidR="00081113">
        <w:rPr>
          <w:rFonts w:ascii="Times New Roman" w:hAnsi="Times New Roman"/>
        </w:rPr>
        <w:t>,</w:t>
      </w:r>
      <w:r w:rsidRPr="00594D2D">
        <w:rPr>
          <w:rFonts w:ascii="Times New Roman" w:hAnsi="Times New Roman"/>
        </w:rPr>
        <w:t xml:space="preserve"> continually grapple with, and has been designing and implementing interventions to counter these barriers in </w:t>
      </w:r>
      <w:r w:rsidR="00081113">
        <w:rPr>
          <w:rFonts w:ascii="Times New Roman" w:hAnsi="Times New Roman"/>
        </w:rPr>
        <w:t>various</w:t>
      </w:r>
      <w:r w:rsidRPr="00594D2D">
        <w:rPr>
          <w:rFonts w:ascii="Times New Roman" w:hAnsi="Times New Roman"/>
        </w:rPr>
        <w:t xml:space="preserve"> communities. The interventions have </w:t>
      </w:r>
      <w:r w:rsidR="00B66DF0" w:rsidRPr="00594D2D">
        <w:rPr>
          <w:rFonts w:ascii="Times New Roman" w:hAnsi="Times New Roman"/>
        </w:rPr>
        <w:t>encompassed</w:t>
      </w:r>
      <w:r w:rsidR="00B126E8" w:rsidRPr="00594D2D">
        <w:rPr>
          <w:rFonts w:ascii="Times New Roman" w:hAnsi="Times New Roman"/>
        </w:rPr>
        <w:t xml:space="preserve"> targeting secondary school </w:t>
      </w:r>
      <w:r w:rsidR="00971350">
        <w:rPr>
          <w:rFonts w:ascii="Times New Roman" w:hAnsi="Times New Roman"/>
        </w:rPr>
        <w:t>learners</w:t>
      </w:r>
      <w:r w:rsidR="00B126E8" w:rsidRPr="00594D2D">
        <w:rPr>
          <w:rFonts w:ascii="Times New Roman" w:hAnsi="Times New Roman"/>
        </w:rPr>
        <w:t>, their siblings, their</w:t>
      </w:r>
      <w:r w:rsidR="00081113">
        <w:rPr>
          <w:rFonts w:ascii="Times New Roman" w:hAnsi="Times New Roman"/>
        </w:rPr>
        <w:t xml:space="preserve"> peers, their parents, and the</w:t>
      </w:r>
      <w:r w:rsidR="00B126E8" w:rsidRPr="00594D2D">
        <w:rPr>
          <w:rFonts w:ascii="Times New Roman" w:hAnsi="Times New Roman"/>
        </w:rPr>
        <w:t xml:space="preserve"> communities through:</w:t>
      </w:r>
    </w:p>
    <w:p w14:paraId="120A09A4" w14:textId="77777777" w:rsidR="000151D5" w:rsidRPr="000151D5" w:rsidRDefault="000151D5" w:rsidP="00B46620">
      <w:pPr>
        <w:spacing w:after="0" w:line="360" w:lineRule="auto"/>
        <w:jc w:val="both"/>
        <w:rPr>
          <w:rFonts w:ascii="Times New Roman" w:hAnsi="Times New Roman"/>
          <w:sz w:val="12"/>
          <w:szCs w:val="12"/>
        </w:rPr>
      </w:pPr>
    </w:p>
    <w:p w14:paraId="2F9E2CBE" w14:textId="58FCA706" w:rsidR="00B126E8" w:rsidRPr="00594D2D" w:rsidRDefault="00081113" w:rsidP="00B126E8">
      <w:pPr>
        <w:pStyle w:val="ListParagraph"/>
        <w:numPr>
          <w:ilvl w:val="0"/>
          <w:numId w:val="20"/>
        </w:numPr>
        <w:spacing w:after="0" w:line="360" w:lineRule="auto"/>
        <w:jc w:val="both"/>
        <w:rPr>
          <w:rFonts w:ascii="Times New Roman" w:hAnsi="Times New Roman"/>
        </w:rPr>
      </w:pPr>
      <w:r>
        <w:rPr>
          <w:rFonts w:ascii="Times New Roman" w:hAnsi="Times New Roman"/>
        </w:rPr>
        <w:t>Provision of</w:t>
      </w:r>
      <w:r w:rsidR="00B126E8" w:rsidRPr="00594D2D">
        <w:rPr>
          <w:rFonts w:ascii="Times New Roman" w:hAnsi="Times New Roman"/>
        </w:rPr>
        <w:t xml:space="preserve"> conditional cash transfers, stipends, or scholarships;</w:t>
      </w:r>
    </w:p>
    <w:p w14:paraId="7AADD48C" w14:textId="4B0A0FF2" w:rsidR="00B126E8" w:rsidRPr="00594D2D" w:rsidRDefault="00B126E8" w:rsidP="00B126E8">
      <w:pPr>
        <w:pStyle w:val="ListParagraph"/>
        <w:numPr>
          <w:ilvl w:val="0"/>
          <w:numId w:val="20"/>
        </w:numPr>
        <w:spacing w:after="0" w:line="360" w:lineRule="auto"/>
        <w:jc w:val="both"/>
        <w:rPr>
          <w:rFonts w:ascii="Times New Roman" w:hAnsi="Times New Roman"/>
        </w:rPr>
      </w:pPr>
      <w:r w:rsidRPr="00594D2D">
        <w:rPr>
          <w:rFonts w:ascii="Times New Roman" w:hAnsi="Times New Roman"/>
        </w:rPr>
        <w:t>Life skills training (</w:t>
      </w:r>
      <w:proofErr w:type="spellStart"/>
      <w:r w:rsidRPr="00594D2D">
        <w:rPr>
          <w:rFonts w:ascii="Times New Roman" w:hAnsi="Times New Roman"/>
        </w:rPr>
        <w:t>incuding</w:t>
      </w:r>
      <w:proofErr w:type="spellEnd"/>
      <w:r w:rsidRPr="00594D2D">
        <w:rPr>
          <w:rFonts w:ascii="Times New Roman" w:hAnsi="Times New Roman"/>
        </w:rPr>
        <w:t xml:space="preserve"> seeking for, and placing the children </w:t>
      </w:r>
      <w:r w:rsidR="003A6B60" w:rsidRPr="00594D2D">
        <w:rPr>
          <w:rFonts w:ascii="Times New Roman" w:hAnsi="Times New Roman"/>
        </w:rPr>
        <w:t>in, voluntary service or free</w:t>
      </w:r>
      <w:r w:rsidRPr="00594D2D">
        <w:rPr>
          <w:rFonts w:ascii="Times New Roman" w:hAnsi="Times New Roman"/>
        </w:rPr>
        <w:t xml:space="preserve"> jobs</w:t>
      </w:r>
      <w:r w:rsidR="003A6B60" w:rsidRPr="00594D2D">
        <w:rPr>
          <w:rFonts w:ascii="Times New Roman" w:hAnsi="Times New Roman"/>
        </w:rPr>
        <w:t xml:space="preserve"> during holidays);</w:t>
      </w:r>
    </w:p>
    <w:p w14:paraId="15E18A4D" w14:textId="77777777" w:rsidR="00B126E8" w:rsidRPr="00594D2D" w:rsidRDefault="00B126E8" w:rsidP="00B126E8">
      <w:pPr>
        <w:pStyle w:val="ListParagraph"/>
        <w:numPr>
          <w:ilvl w:val="0"/>
          <w:numId w:val="19"/>
        </w:numPr>
        <w:spacing w:after="0" w:line="360" w:lineRule="auto"/>
        <w:jc w:val="both"/>
        <w:rPr>
          <w:rFonts w:ascii="Times New Roman" w:hAnsi="Times New Roman"/>
        </w:rPr>
      </w:pPr>
      <w:r w:rsidRPr="00594D2D">
        <w:rPr>
          <w:rFonts w:ascii="Times New Roman" w:hAnsi="Times New Roman"/>
        </w:rPr>
        <w:t>Targeting boys and men to be part of the discussions about cultural and societal practices;</w:t>
      </w:r>
    </w:p>
    <w:p w14:paraId="58A0D2E4" w14:textId="43E9FE3F" w:rsidR="00B126E8" w:rsidRPr="00594D2D" w:rsidRDefault="00B126E8" w:rsidP="00B126E8">
      <w:pPr>
        <w:pStyle w:val="ListParagraph"/>
        <w:numPr>
          <w:ilvl w:val="0"/>
          <w:numId w:val="19"/>
        </w:numPr>
        <w:spacing w:after="0" w:line="360" w:lineRule="auto"/>
        <w:jc w:val="both"/>
        <w:rPr>
          <w:rFonts w:ascii="Times New Roman" w:hAnsi="Times New Roman"/>
        </w:rPr>
      </w:pPr>
      <w:r w:rsidRPr="00594D2D">
        <w:rPr>
          <w:rFonts w:ascii="Times New Roman" w:hAnsi="Times New Roman"/>
        </w:rPr>
        <w:t xml:space="preserve">Working with communities and other actors to end child/early marriage; </w:t>
      </w:r>
    </w:p>
    <w:p w14:paraId="3F6D8094" w14:textId="77777777" w:rsidR="000151D5" w:rsidRDefault="003A6B60" w:rsidP="00B126E8">
      <w:pPr>
        <w:pStyle w:val="ListParagraph"/>
        <w:numPr>
          <w:ilvl w:val="0"/>
          <w:numId w:val="19"/>
        </w:numPr>
        <w:spacing w:after="0" w:line="360" w:lineRule="auto"/>
        <w:jc w:val="both"/>
        <w:rPr>
          <w:rFonts w:ascii="Times New Roman" w:hAnsi="Times New Roman"/>
        </w:rPr>
      </w:pPr>
      <w:r w:rsidRPr="00594D2D">
        <w:rPr>
          <w:rFonts w:ascii="Times New Roman" w:hAnsi="Times New Roman"/>
        </w:rPr>
        <w:t>Working with communities and other actors to address</w:t>
      </w:r>
      <w:r w:rsidR="00B126E8" w:rsidRPr="00594D2D">
        <w:rPr>
          <w:rFonts w:ascii="Times New Roman" w:hAnsi="Times New Roman"/>
        </w:rPr>
        <w:t xml:space="preserve"> v</w:t>
      </w:r>
      <w:r w:rsidRPr="00594D2D">
        <w:rPr>
          <w:rFonts w:ascii="Times New Roman" w:hAnsi="Times New Roman"/>
        </w:rPr>
        <w:t>iolence against girls and women; and</w:t>
      </w:r>
      <w:r w:rsidR="000151D5" w:rsidRPr="000151D5">
        <w:rPr>
          <w:rFonts w:ascii="Times New Roman" w:hAnsi="Times New Roman"/>
        </w:rPr>
        <w:t xml:space="preserve"> </w:t>
      </w:r>
    </w:p>
    <w:p w14:paraId="2CC7606D" w14:textId="4E5E371C" w:rsidR="00B126E8" w:rsidRDefault="000151D5" w:rsidP="00B126E8">
      <w:pPr>
        <w:pStyle w:val="ListParagraph"/>
        <w:numPr>
          <w:ilvl w:val="0"/>
          <w:numId w:val="19"/>
        </w:numPr>
        <w:spacing w:after="0" w:line="360" w:lineRule="auto"/>
        <w:jc w:val="both"/>
        <w:rPr>
          <w:rFonts w:ascii="Times New Roman" w:hAnsi="Times New Roman"/>
        </w:rPr>
      </w:pPr>
      <w:r>
        <w:rPr>
          <w:rFonts w:ascii="Times New Roman" w:hAnsi="Times New Roman"/>
        </w:rPr>
        <w:t xml:space="preserve">Designing and implementing targeted interventions to combat poverty among parents/guardians of targeted children/learners, which are fundamentally grounded in </w:t>
      </w:r>
      <w:proofErr w:type="spellStart"/>
      <w:r>
        <w:rPr>
          <w:rFonts w:ascii="Times New Roman" w:hAnsi="Times New Roman"/>
        </w:rPr>
        <w:t>Brac’s</w:t>
      </w:r>
      <w:proofErr w:type="spellEnd"/>
      <w:r>
        <w:rPr>
          <w:rFonts w:ascii="Times New Roman" w:hAnsi="Times New Roman"/>
        </w:rPr>
        <w:t xml:space="preserve"> Ultra-Poor Graduation Approach.</w:t>
      </w:r>
    </w:p>
    <w:p w14:paraId="35C4CBFA" w14:textId="69E6A716" w:rsidR="00594D2D" w:rsidRPr="000151D5" w:rsidRDefault="000151D5" w:rsidP="000151D5">
      <w:pPr>
        <w:spacing w:after="0" w:line="360" w:lineRule="auto"/>
        <w:jc w:val="both"/>
        <w:rPr>
          <w:rFonts w:ascii="Times New Roman" w:hAnsi="Times New Roman"/>
          <w:sz w:val="24"/>
          <w:szCs w:val="24"/>
        </w:rPr>
      </w:pPr>
      <w:r>
        <w:rPr>
          <w:noProof/>
          <w:lang w:val="en-US"/>
        </w:rPr>
        <w:lastRenderedPageBreak/>
        <mc:AlternateContent>
          <mc:Choice Requires="wps">
            <w:drawing>
              <wp:anchor distT="0" distB="0" distL="114300" distR="114300" simplePos="0" relativeHeight="252712960" behindDoc="0" locked="0" layoutInCell="1" allowOverlap="1" wp14:anchorId="19332E96" wp14:editId="28D75C55">
                <wp:simplePos x="0" y="0"/>
                <wp:positionH relativeFrom="column">
                  <wp:posOffset>0</wp:posOffset>
                </wp:positionH>
                <wp:positionV relativeFrom="paragraph">
                  <wp:posOffset>-114300</wp:posOffset>
                </wp:positionV>
                <wp:extent cx="5727700" cy="9258300"/>
                <wp:effectExtent l="0" t="0" r="0" b="12700"/>
                <wp:wrapSquare wrapText="bothSides"/>
                <wp:docPr id="1796" name="Text Box 1796"/>
                <wp:cNvGraphicFramePr/>
                <a:graphic xmlns:a="http://schemas.openxmlformats.org/drawingml/2006/main">
                  <a:graphicData uri="http://schemas.microsoft.com/office/word/2010/wordprocessingShape">
                    <wps:wsp>
                      <wps:cNvSpPr txBox="1"/>
                      <wps:spPr>
                        <a:xfrm>
                          <a:off x="0" y="0"/>
                          <a:ext cx="5727700" cy="9258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189E7" w14:textId="1ADF5322" w:rsidR="002E5195" w:rsidRPr="006C6460" w:rsidRDefault="002E5195" w:rsidP="00594D2D">
                            <w:pPr>
                              <w:spacing w:after="0" w:line="240" w:lineRule="auto"/>
                              <w:jc w:val="both"/>
                              <w:rPr>
                                <w:rFonts w:ascii="Times New Roman" w:hAnsi="Times New Roman"/>
                                <w:b/>
                                <w:color w:val="FF0000"/>
                              </w:rPr>
                            </w:pPr>
                            <w:r w:rsidRPr="006C6460">
                              <w:rPr>
                                <w:rFonts w:ascii="Times New Roman" w:hAnsi="Times New Roman"/>
                                <w:b/>
                                <w:color w:val="FF0000"/>
                              </w:rPr>
                              <w:t>KEY ISSUES</w:t>
                            </w:r>
                          </w:p>
                          <w:p w14:paraId="355B6D3E" w14:textId="77777777" w:rsidR="002E5195" w:rsidRPr="00594D2D" w:rsidRDefault="002E5195" w:rsidP="00594D2D">
                            <w:pPr>
                              <w:spacing w:after="0" w:line="240" w:lineRule="auto"/>
                              <w:jc w:val="both"/>
                              <w:rPr>
                                <w:rFonts w:ascii="Times New Roman" w:hAnsi="Times New Roman"/>
                                <w:b/>
                              </w:rPr>
                            </w:pPr>
                            <w:r w:rsidRPr="00594D2D">
                              <w:rPr>
                                <w:rFonts w:ascii="Times New Roman" w:hAnsi="Times New Roman"/>
                                <w:b/>
                              </w:rPr>
                              <w:t>1. Girls are more likely not to proceed to secondary education</w:t>
                            </w:r>
                          </w:p>
                          <w:p w14:paraId="0F7ABB6B" w14:textId="1B5AF196" w:rsidR="002E5195" w:rsidRPr="00594D2D" w:rsidRDefault="002E5195" w:rsidP="00594D2D">
                            <w:pPr>
                              <w:spacing w:after="0" w:line="240" w:lineRule="auto"/>
                              <w:jc w:val="both"/>
                              <w:rPr>
                                <w:rFonts w:ascii="Times New Roman" w:hAnsi="Times New Roman"/>
                              </w:rPr>
                            </w:pPr>
                            <w:r w:rsidRPr="00594D2D">
                              <w:rPr>
                                <w:rFonts w:ascii="Times New Roman" w:hAnsi="Times New Roman"/>
                              </w:rPr>
                              <w:t>Girls are particularly more likely not to proceed to secondary education</w:t>
                            </w:r>
                            <w:r>
                              <w:rPr>
                                <w:rFonts w:ascii="Times New Roman" w:hAnsi="Times New Roman"/>
                              </w:rPr>
                              <w:t xml:space="preserve">. This </w:t>
                            </w:r>
                            <w:r w:rsidRPr="00594D2D">
                              <w:rPr>
                                <w:rFonts w:ascii="Times New Roman" w:hAnsi="Times New Roman"/>
                              </w:rPr>
                              <w:t>calls for concerted efforts to foil</w:t>
                            </w:r>
                            <w:r>
                              <w:rPr>
                                <w:rFonts w:ascii="Times New Roman" w:hAnsi="Times New Roman"/>
                              </w:rPr>
                              <w:t xml:space="preserve"> the trend</w:t>
                            </w:r>
                            <w:r w:rsidRPr="00594D2D">
                              <w:rPr>
                                <w:rFonts w:ascii="Times New Roman" w:hAnsi="Times New Roman"/>
                              </w:rPr>
                              <w:t>. Girls’ education goes beyond getting girls into school. It is also about ensuring that girls learn and feel safe while in school, complete all levels of education</w:t>
                            </w:r>
                            <w:r>
                              <w:rPr>
                                <w:rFonts w:ascii="Times New Roman" w:hAnsi="Times New Roman"/>
                              </w:rPr>
                              <w:t xml:space="preserve">, develop </w:t>
                            </w:r>
                            <w:r w:rsidRPr="00594D2D">
                              <w:rPr>
                                <w:rFonts w:ascii="Times New Roman" w:hAnsi="Times New Roman"/>
                              </w:rPr>
                              <w:t xml:space="preserve">skills to </w:t>
                            </w:r>
                            <w:r>
                              <w:rPr>
                                <w:rFonts w:ascii="Times New Roman" w:hAnsi="Times New Roman"/>
                              </w:rPr>
                              <w:t xml:space="preserve">make them </w:t>
                            </w:r>
                            <w:r w:rsidRPr="00594D2D">
                              <w:rPr>
                                <w:rFonts w:ascii="Times New Roman" w:hAnsi="Times New Roman"/>
                              </w:rPr>
                              <w:t>effectively compete in the labour market, learn the socio-emotional and life skills necessary to navigate and adapt to a changing world, make decisions about their own lives, and contribute to their communities and the world. Girls’ education is therefore a strategic development</w:t>
                            </w:r>
                            <w:r>
                              <w:rPr>
                                <w:rFonts w:ascii="Times New Roman" w:hAnsi="Times New Roman"/>
                              </w:rPr>
                              <w:t xml:space="preserve"> priority. Indeed, b</w:t>
                            </w:r>
                            <w:r w:rsidRPr="00594D2D">
                              <w:rPr>
                                <w:rFonts w:ascii="Times New Roman" w:hAnsi="Times New Roman"/>
                              </w:rPr>
                              <w:t>etter educated women tend to be healthier, participate more in the formal labour market, earn higher incomes, have fewer children, marry at a late</w:t>
                            </w:r>
                            <w:r>
                              <w:rPr>
                                <w:rFonts w:ascii="Times New Roman" w:hAnsi="Times New Roman"/>
                              </w:rPr>
                              <w:t>r age, and enable better health</w:t>
                            </w:r>
                            <w:r w:rsidRPr="00594D2D">
                              <w:rPr>
                                <w:rFonts w:ascii="Times New Roman" w:hAnsi="Times New Roman"/>
                              </w:rPr>
                              <w:t>care and education for their children should they choose to become</w:t>
                            </w:r>
                            <w:r>
                              <w:rPr>
                                <w:rFonts w:ascii="Times New Roman" w:hAnsi="Times New Roman"/>
                              </w:rPr>
                              <w:t xml:space="preserve"> mothers. When these happen</w:t>
                            </w:r>
                            <w:r w:rsidRPr="00594D2D">
                              <w:rPr>
                                <w:rFonts w:ascii="Times New Roman" w:hAnsi="Times New Roman"/>
                              </w:rPr>
                              <w:t xml:space="preserve">, they help lift households, communities, and nations out of poverty. </w:t>
                            </w:r>
                          </w:p>
                          <w:p w14:paraId="7274ADD1" w14:textId="77777777" w:rsidR="002E5195" w:rsidRPr="00594D2D" w:rsidRDefault="002E5195" w:rsidP="00594D2D">
                            <w:pPr>
                              <w:spacing w:after="0" w:line="240" w:lineRule="auto"/>
                              <w:jc w:val="both"/>
                              <w:rPr>
                                <w:rFonts w:ascii="Times New Roman" w:hAnsi="Times New Roman"/>
                              </w:rPr>
                            </w:pPr>
                          </w:p>
                          <w:p w14:paraId="013D22BE" w14:textId="38CEB0A6" w:rsidR="002E5195" w:rsidRPr="00594D2D" w:rsidRDefault="002E5195" w:rsidP="00594D2D">
                            <w:pPr>
                              <w:spacing w:after="0" w:line="240" w:lineRule="auto"/>
                              <w:jc w:val="both"/>
                              <w:rPr>
                                <w:rFonts w:ascii="Times New Roman" w:hAnsi="Times New Roman"/>
                                <w:b/>
                              </w:rPr>
                            </w:pPr>
                            <w:r>
                              <w:rPr>
                                <w:rFonts w:ascii="Times New Roman" w:hAnsi="Times New Roman"/>
                                <w:b/>
                              </w:rPr>
                              <w:t>2. Poverty is a</w:t>
                            </w:r>
                            <w:r w:rsidRPr="00594D2D">
                              <w:rPr>
                                <w:rFonts w:ascii="Times New Roman" w:hAnsi="Times New Roman"/>
                                <w:b/>
                              </w:rPr>
                              <w:t xml:space="preserve"> major barrier to girls’ access to secondary education</w:t>
                            </w:r>
                          </w:p>
                          <w:p w14:paraId="216A7139" w14:textId="091B0EE8" w:rsidR="002E5195" w:rsidRPr="008F5FF0" w:rsidRDefault="002E5195" w:rsidP="00594D2D">
                            <w:pPr>
                              <w:spacing w:after="0" w:line="240" w:lineRule="auto"/>
                              <w:jc w:val="both"/>
                              <w:rPr>
                                <w:rFonts w:ascii="Times New Roman" w:hAnsi="Times New Roman"/>
                              </w:rPr>
                            </w:pPr>
                            <w:r w:rsidRPr="008F5FF0">
                              <w:rPr>
                                <w:rFonts w:ascii="Times New Roman" w:hAnsi="Times New Roman"/>
                              </w:rPr>
                              <w:t xml:space="preserve">Poverty is a chief determinant of whether a girl accesses </w:t>
                            </w:r>
                            <w:r>
                              <w:rPr>
                                <w:rFonts w:ascii="Times New Roman" w:hAnsi="Times New Roman"/>
                              </w:rPr>
                              <w:t>education or not.</w:t>
                            </w:r>
                            <w:r w:rsidRPr="008F5FF0">
                              <w:rPr>
                                <w:rFonts w:ascii="Times New Roman" w:hAnsi="Times New Roman"/>
                              </w:rPr>
                              <w:t xml:space="preserve"> Studies indicate that girls that face multiple disadvantages, e.g., low family income, </w:t>
                            </w:r>
                            <w:r>
                              <w:rPr>
                                <w:rFonts w:ascii="Times New Roman" w:hAnsi="Times New Roman"/>
                              </w:rPr>
                              <w:t>living in remote/</w:t>
                            </w:r>
                            <w:r w:rsidRPr="008F5FF0">
                              <w:rPr>
                                <w:rFonts w:ascii="Times New Roman" w:hAnsi="Times New Roman"/>
                              </w:rPr>
                              <w:t xml:space="preserve">underserved areas, </w:t>
                            </w:r>
                            <w:r>
                              <w:rPr>
                                <w:rFonts w:ascii="Times New Roman" w:hAnsi="Times New Roman"/>
                              </w:rPr>
                              <w:t>are living with disabilities</w:t>
                            </w:r>
                            <w:r w:rsidRPr="008F5FF0">
                              <w:rPr>
                                <w:rFonts w:ascii="Times New Roman" w:hAnsi="Times New Roman"/>
                              </w:rPr>
                              <w:t xml:space="preserve">, or </w:t>
                            </w:r>
                            <w:r>
                              <w:rPr>
                                <w:rFonts w:ascii="Times New Roman" w:hAnsi="Times New Roman"/>
                              </w:rPr>
                              <w:t xml:space="preserve">are </w:t>
                            </w:r>
                            <w:r w:rsidRPr="008F5FF0">
                              <w:rPr>
                                <w:rFonts w:ascii="Times New Roman" w:hAnsi="Times New Roman"/>
                              </w:rPr>
                              <w:t>of minority ethno-linguistic group</w:t>
                            </w:r>
                            <w:r>
                              <w:rPr>
                                <w:rFonts w:ascii="Times New Roman" w:hAnsi="Times New Roman"/>
                              </w:rPr>
                              <w:t>s</w:t>
                            </w:r>
                            <w:r w:rsidRPr="008F5FF0">
                              <w:rPr>
                                <w:rFonts w:ascii="Times New Roman" w:hAnsi="Times New Roman"/>
                              </w:rPr>
                              <w:t>, are farthest behind in terms of access to and completion of education</w:t>
                            </w:r>
                            <w:sdt>
                              <w:sdtPr>
                                <w:rPr>
                                  <w:rFonts w:ascii="Times New Roman" w:hAnsi="Times New Roman"/>
                                </w:rPr>
                                <w:id w:val="1007257268"/>
                                <w:citation/>
                              </w:sdtPr>
                              <w:sdtEndPr/>
                              <w:sdtContent>
                                <w:r w:rsidRPr="008F5FF0">
                                  <w:rPr>
                                    <w:rFonts w:ascii="Times New Roman" w:hAnsi="Times New Roman"/>
                                  </w:rPr>
                                  <w:fldChar w:fldCharType="begin"/>
                                </w:r>
                                <w:r w:rsidRPr="008F5FF0">
                                  <w:rPr>
                                    <w:rFonts w:ascii="Times New Roman" w:hAnsi="Times New Roman"/>
                                    <w:lang w:val="en-US"/>
                                  </w:rPr>
                                  <w:instrText xml:space="preserve"> CITATION Tan131 \l 1033 </w:instrText>
                                </w:r>
                                <w:r w:rsidRPr="008F5FF0">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(Tanner &amp; Antonowicz, 2013)</w:t>
                                </w:r>
                                <w:r w:rsidRPr="008F5FF0">
                                  <w:rPr>
                                    <w:rFonts w:ascii="Times New Roman" w:hAnsi="Times New Roman"/>
                                  </w:rPr>
                                  <w:fldChar w:fldCharType="end"/>
                                </w:r>
                              </w:sdtContent>
                            </w:sdt>
                            <w:r w:rsidRPr="008F5FF0">
                              <w:rPr>
                                <w:rFonts w:ascii="Times New Roman" w:hAnsi="Times New Roman"/>
                              </w:rPr>
                              <w:t>.</w:t>
                            </w:r>
                            <w:r>
                              <w:rPr>
                                <w:rFonts w:ascii="Times New Roman" w:hAnsi="Times New Roman"/>
                              </w:rPr>
                              <w:t xml:space="preserve"> Prioritising access to education for girls from poor households and communities is therefore a strategic choice.</w:t>
                            </w:r>
                          </w:p>
                          <w:p w14:paraId="759174A9" w14:textId="77777777" w:rsidR="002E5195" w:rsidRPr="008F5FF0" w:rsidRDefault="002E5195" w:rsidP="00594D2D">
                            <w:pPr>
                              <w:spacing w:after="0" w:line="240" w:lineRule="auto"/>
                              <w:jc w:val="both"/>
                              <w:rPr>
                                <w:rFonts w:ascii="Times New Roman" w:hAnsi="Times New Roman"/>
                              </w:rPr>
                            </w:pPr>
                          </w:p>
                          <w:p w14:paraId="4A307342" w14:textId="77777777" w:rsidR="002E5195" w:rsidRPr="008F5FF0" w:rsidRDefault="002E5195" w:rsidP="00442953">
                            <w:pPr>
                              <w:spacing w:after="0" w:line="240" w:lineRule="auto"/>
                              <w:jc w:val="both"/>
                              <w:rPr>
                                <w:rFonts w:ascii="Times New Roman" w:hAnsi="Times New Roman"/>
                                <w:b/>
                              </w:rPr>
                            </w:pPr>
                            <w:r w:rsidRPr="008F5FF0">
                              <w:rPr>
                                <w:rFonts w:ascii="Times New Roman" w:hAnsi="Times New Roman"/>
                                <w:b/>
                              </w:rPr>
                              <w:t>3. Violence negatively impacts access to education</w:t>
                            </w:r>
                          </w:p>
                          <w:p w14:paraId="15954A46" w14:textId="77777777" w:rsidR="002E5195" w:rsidRDefault="002E5195" w:rsidP="00442953">
                            <w:pPr>
                              <w:spacing w:after="0" w:line="240" w:lineRule="auto"/>
                              <w:jc w:val="both"/>
                              <w:rPr>
                                <w:rFonts w:ascii="Times New Roman" w:hAnsi="Times New Roman"/>
                              </w:rPr>
                            </w:pPr>
                            <w:r w:rsidRPr="008F5FF0">
                              <w:rPr>
                                <w:rFonts w:ascii="Times New Roman" w:hAnsi="Times New Roman"/>
                              </w:rPr>
                              <w:t>Violence adversely impacts</w:t>
                            </w:r>
                            <w:r>
                              <w:rPr>
                                <w:rFonts w:ascii="Times New Roman" w:hAnsi="Times New Roman"/>
                              </w:rPr>
                              <w:t xml:space="preserve"> access to education. It also disrupts</w:t>
                            </w:r>
                            <w:r w:rsidRPr="008F5FF0">
                              <w:rPr>
                                <w:rFonts w:ascii="Times New Roman" w:hAnsi="Times New Roman"/>
                              </w:rPr>
                              <w:t xml:space="preserve"> safe environment</w:t>
                            </w:r>
                            <w:r>
                              <w:rPr>
                                <w:rFonts w:ascii="Times New Roman" w:hAnsi="Times New Roman"/>
                              </w:rPr>
                              <w:t>s</w:t>
                            </w:r>
                            <w:r w:rsidRPr="008F5FF0">
                              <w:rPr>
                                <w:rFonts w:ascii="Times New Roman" w:hAnsi="Times New Roman"/>
                              </w:rPr>
                              <w:t xml:space="preserve"> for learning. </w:t>
                            </w:r>
                            <w:r>
                              <w:rPr>
                                <w:rFonts w:ascii="Times New Roman" w:hAnsi="Times New Roman"/>
                              </w:rPr>
                              <w:t>Violence includes gender-based violence (GBV), which comprises child marriage and female genital mutilation (FGM)</w:t>
                            </w:r>
                            <w:r w:rsidRPr="008F5FF0">
                              <w:rPr>
                                <w:rFonts w:ascii="Times New Roman" w:hAnsi="Times New Roman"/>
                              </w:rPr>
                              <w:t xml:space="preserve">. Child brides are much more likely to drop out of school and complete fewer years of education than their peers who marry later. </w:t>
                            </w:r>
                          </w:p>
                          <w:p w14:paraId="45A053EB" w14:textId="77777777" w:rsidR="002E5195" w:rsidRDefault="002E5195" w:rsidP="00442953">
                            <w:pPr>
                              <w:spacing w:after="0" w:line="240" w:lineRule="auto"/>
                              <w:jc w:val="both"/>
                              <w:rPr>
                                <w:rFonts w:ascii="Times New Roman" w:hAnsi="Times New Roman"/>
                              </w:rPr>
                            </w:pPr>
                          </w:p>
                          <w:p w14:paraId="3FC2844B" w14:textId="1B4F208C" w:rsidR="002E5195" w:rsidRPr="008F5FF0" w:rsidRDefault="002E5195" w:rsidP="00442953">
                            <w:pPr>
                              <w:spacing w:after="0" w:line="240" w:lineRule="auto"/>
                              <w:jc w:val="both"/>
                              <w:rPr>
                                <w:rFonts w:ascii="Times New Roman" w:hAnsi="Times New Roman"/>
                              </w:rPr>
                            </w:pPr>
                            <w:r w:rsidRPr="008F5FF0">
                              <w:rPr>
                                <w:rFonts w:ascii="Times New Roman" w:hAnsi="Times New Roman"/>
                              </w:rPr>
                              <w:t>This affects the education and health of their children, as well as their ability to earn a living. It has been reported that more than 41,000 girls under the age of 18 marry every day</w:t>
                            </w:r>
                            <w:sdt>
                              <w:sdtPr>
                                <w:rPr>
                                  <w:rFonts w:ascii="Times New Roman" w:hAnsi="Times New Roman"/>
                                </w:rPr>
                                <w:id w:val="15513333"/>
                                <w:citation/>
                              </w:sdtPr>
                              <w:sdtEndPr/>
                              <w:sdtContent>
                                <w:r w:rsidRPr="008F5FF0">
                                  <w:rPr>
                                    <w:rFonts w:ascii="Times New Roman" w:hAnsi="Times New Roman"/>
                                  </w:rPr>
                                  <w:fldChar w:fldCharType="begin"/>
                                </w:r>
                                <w:r w:rsidRPr="008F5FF0">
                                  <w:rPr>
                                    <w:rFonts w:ascii="Times New Roman" w:hAnsi="Times New Roman"/>
                                    <w:lang w:val="en-US"/>
                                  </w:rPr>
                                  <w:instrText xml:space="preserve"> CITATION Cob17 \l 1033 </w:instrText>
                                </w:r>
                                <w:r w:rsidRPr="008F5FF0">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(Coby, 2017)</w:t>
                                </w:r>
                                <w:r w:rsidRPr="008F5FF0">
                                  <w:rPr>
                                    <w:rFonts w:ascii="Times New Roman" w:hAnsi="Times New Roman"/>
                                  </w:rPr>
                                  <w:fldChar w:fldCharType="end"/>
                                </w:r>
                              </w:sdtContent>
                            </w:sdt>
                            <w:r w:rsidRPr="008F5FF0">
                              <w:rPr>
                                <w:rFonts w:ascii="Times New Roman" w:hAnsi="Times New Roman"/>
                              </w:rPr>
                              <w:t xml:space="preserve">. Putting an end to the practice </w:t>
                            </w:r>
                            <w:r>
                              <w:rPr>
                                <w:rFonts w:ascii="Times New Roman" w:hAnsi="Times New Roman"/>
                              </w:rPr>
                              <w:t>will</w:t>
                            </w:r>
                            <w:r w:rsidRPr="008F5FF0">
                              <w:rPr>
                                <w:rFonts w:ascii="Times New Roman" w:hAnsi="Times New Roman"/>
                              </w:rPr>
                              <w:t xml:space="preserve"> increase women’s educational attainment and, with it, their potential earnings. Estimates show that ending child marriage could generate more than $500 billion in benefits annually.</w:t>
                            </w:r>
                          </w:p>
                          <w:p w14:paraId="2EADAF66" w14:textId="77777777" w:rsidR="002E5195" w:rsidRPr="008F5FF0" w:rsidRDefault="002E5195" w:rsidP="00442953">
                            <w:pPr>
                              <w:spacing w:after="0" w:line="240" w:lineRule="auto"/>
                              <w:jc w:val="both"/>
                              <w:rPr>
                                <w:rFonts w:ascii="Times New Roman" w:hAnsi="Times New Roman"/>
                              </w:rPr>
                            </w:pPr>
                          </w:p>
                          <w:p w14:paraId="2BABF860" w14:textId="77777777" w:rsidR="002E5195" w:rsidRPr="008F5FF0" w:rsidRDefault="002E5195" w:rsidP="00442953">
                            <w:pPr>
                              <w:spacing w:after="0" w:line="240" w:lineRule="auto"/>
                              <w:jc w:val="both"/>
                              <w:rPr>
                                <w:rFonts w:ascii="Times New Roman" w:hAnsi="Times New Roman"/>
                                <w:b/>
                              </w:rPr>
                            </w:pPr>
                            <w:r w:rsidRPr="008F5FF0">
                              <w:rPr>
                                <w:rFonts w:ascii="Times New Roman" w:hAnsi="Times New Roman"/>
                                <w:b/>
                              </w:rPr>
                              <w:t xml:space="preserve">4. Conditional cash transfers, </w:t>
                            </w:r>
                            <w:proofErr w:type="spellStart"/>
                            <w:r w:rsidRPr="008F5FF0">
                              <w:rPr>
                                <w:rFonts w:ascii="Times New Roman" w:hAnsi="Times New Roman"/>
                                <w:b/>
                              </w:rPr>
                              <w:t>stipents</w:t>
                            </w:r>
                            <w:proofErr w:type="spellEnd"/>
                            <w:r w:rsidRPr="008F5FF0">
                              <w:rPr>
                                <w:rFonts w:ascii="Times New Roman" w:hAnsi="Times New Roman"/>
                                <w:b/>
                              </w:rPr>
                              <w:t>, or scholarships</w:t>
                            </w:r>
                          </w:p>
                          <w:p w14:paraId="7F643AEF" w14:textId="726C532B" w:rsidR="002E5195" w:rsidRPr="008F5FF0" w:rsidRDefault="002E5195" w:rsidP="00442953">
                            <w:pPr>
                              <w:spacing w:after="0" w:line="240" w:lineRule="auto"/>
                              <w:jc w:val="both"/>
                              <w:rPr>
                                <w:rFonts w:ascii="Times New Roman" w:hAnsi="Times New Roman"/>
                              </w:rPr>
                            </w:pPr>
                            <w:r w:rsidRPr="008F5FF0">
                              <w:rPr>
                                <w:rFonts w:ascii="Times New Roman" w:hAnsi="Times New Roman"/>
                              </w:rPr>
                              <w:t xml:space="preserve">Studies have shown that providing conditional cash transfers, i.e., payments made to households that are conditional on their children’s school attendance, as well as </w:t>
                            </w:r>
                            <w:proofErr w:type="spellStart"/>
                            <w:r w:rsidRPr="008F5FF0">
                              <w:rPr>
                                <w:rFonts w:ascii="Times New Roman" w:hAnsi="Times New Roman"/>
                              </w:rPr>
                              <w:t>stipents</w:t>
                            </w:r>
                            <w:proofErr w:type="spellEnd"/>
                            <w:r w:rsidRPr="008F5FF0">
                              <w:rPr>
                                <w:rFonts w:ascii="Times New Roman" w:hAnsi="Times New Roman"/>
                              </w:rPr>
                              <w:t xml:space="preserve"> or scholarships, can effectively reduce dropout</w:t>
                            </w:r>
                            <w:r>
                              <w:rPr>
                                <w:rFonts w:ascii="Times New Roman" w:hAnsi="Times New Roman"/>
                              </w:rPr>
                              <w:t>s</w:t>
                            </w:r>
                            <w:r>
                              <w:rPr>
                                <w:rFonts w:ascii="Times New Roman" w:hAnsi="Times New Roman"/>
                                <w:noProof/>
                                <w:lang w:val="en-US"/>
                              </w:rPr>
                              <w:t xml:space="preserve"> </w:t>
                            </w:r>
                            <w:r w:rsidRPr="00F845CA">
                              <w:rPr>
                                <w:rFonts w:ascii="Times New Roman" w:hAnsi="Times New Roman"/>
                                <w:noProof/>
                                <w:lang w:val="en-US"/>
                              </w:rPr>
                              <w:t xml:space="preserve">(Mo, </w:t>
                            </w:r>
                            <w:r>
                              <w:rPr>
                                <w:rFonts w:ascii="Times New Roman" w:hAnsi="Times New Roman"/>
                                <w:noProof/>
                                <w:lang w:val="en-US"/>
                              </w:rPr>
                              <w:t>et al.</w:t>
                            </w:r>
                            <w:r w:rsidRPr="00F845CA">
                              <w:rPr>
                                <w:rFonts w:ascii="Times New Roman" w:hAnsi="Times New Roman"/>
                                <w:noProof/>
                                <w:lang w:val="en-US"/>
                              </w:rPr>
                              <w:t>, 2013)</w:t>
                            </w:r>
                            <w:r>
                              <w:rPr>
                                <w:rFonts w:ascii="Times New Roman" w:hAnsi="Times New Roman"/>
                              </w:rPr>
                              <w:t>. For children from poor</w:t>
                            </w:r>
                            <w:r w:rsidRPr="008F5FF0">
                              <w:rPr>
                                <w:rFonts w:ascii="Times New Roman" w:hAnsi="Times New Roman"/>
                              </w:rPr>
                              <w:t xml:space="preserve"> backgrounds, these significantly encourage transition from primary to secondary education, </w:t>
                            </w:r>
                            <w:r>
                              <w:rPr>
                                <w:rFonts w:ascii="Times New Roman" w:hAnsi="Times New Roman"/>
                              </w:rPr>
                              <w:t>given that the opportunity cost</w:t>
                            </w:r>
                            <w:r w:rsidRPr="008F5FF0">
                              <w:rPr>
                                <w:rFonts w:ascii="Times New Roman" w:hAnsi="Times New Roman"/>
                              </w:rPr>
                              <w:t xml:space="preserve"> of the students’ time </w:t>
                            </w:r>
                            <w:r>
                              <w:rPr>
                                <w:rFonts w:ascii="Times New Roman" w:hAnsi="Times New Roman"/>
                              </w:rPr>
                              <w:t xml:space="preserve">in school </w:t>
                            </w:r>
                            <w:r w:rsidRPr="008F5FF0">
                              <w:rPr>
                                <w:rFonts w:ascii="Times New Roman" w:hAnsi="Times New Roman"/>
                              </w:rPr>
                              <w:t xml:space="preserve">are </w:t>
                            </w:r>
                            <w:r>
                              <w:rPr>
                                <w:rFonts w:ascii="Times New Roman" w:hAnsi="Times New Roman"/>
                              </w:rPr>
                              <w:t xml:space="preserve">usually </w:t>
                            </w:r>
                            <w:r w:rsidRPr="008F5FF0">
                              <w:rPr>
                                <w:rFonts w:ascii="Times New Roman" w:hAnsi="Times New Roman"/>
                              </w:rPr>
                              <w:t xml:space="preserve">higher </w:t>
                            </w:r>
                            <w:r>
                              <w:rPr>
                                <w:rFonts w:ascii="Times New Roman" w:hAnsi="Times New Roman"/>
                              </w:rPr>
                              <w:t xml:space="preserve">because </w:t>
                            </w:r>
                            <w:r w:rsidRPr="008F5FF0">
                              <w:rPr>
                                <w:rFonts w:ascii="Times New Roman" w:hAnsi="Times New Roman"/>
                              </w:rPr>
                              <w:t xml:space="preserve">they are physically bigger and </w:t>
                            </w:r>
                            <w:r>
                              <w:rPr>
                                <w:rFonts w:ascii="Times New Roman" w:hAnsi="Times New Roman"/>
                              </w:rPr>
                              <w:t xml:space="preserve">seen </w:t>
                            </w:r>
                            <w:r w:rsidRPr="008F5FF0">
                              <w:rPr>
                                <w:rFonts w:ascii="Times New Roman" w:hAnsi="Times New Roman"/>
                              </w:rPr>
                              <w:t>more</w:t>
                            </w:r>
                            <w:r>
                              <w:rPr>
                                <w:rFonts w:ascii="Times New Roman" w:hAnsi="Times New Roman"/>
                              </w:rPr>
                              <w:t xml:space="preserve"> as</w:t>
                            </w:r>
                            <w:r w:rsidRPr="008F5FF0">
                              <w:rPr>
                                <w:rFonts w:ascii="Times New Roman" w:hAnsi="Times New Roman"/>
                              </w:rPr>
                              <w:t xml:space="preserve"> capable workers</w:t>
                            </w:r>
                            <w:r>
                              <w:rPr>
                                <w:rFonts w:ascii="Times New Roman" w:hAnsi="Times New Roman"/>
                              </w:rPr>
                              <w:t xml:space="preserve"> and/or wives</w:t>
                            </w:r>
                            <w:r w:rsidRPr="008F5FF0">
                              <w:rPr>
                                <w:rFonts w:ascii="Times New Roman" w:hAnsi="Times New Roman"/>
                              </w:rPr>
                              <w:t>, hence their parents or families would prefer them starting to help out in meeting household budgets</w:t>
                            </w:r>
                            <w:r>
                              <w:rPr>
                                <w:rFonts w:ascii="Times New Roman" w:hAnsi="Times New Roman"/>
                              </w:rPr>
                              <w:t xml:space="preserve"> and/or getting married to attract dowry.</w:t>
                            </w:r>
                          </w:p>
                          <w:p w14:paraId="3F8D52BD" w14:textId="77777777" w:rsidR="002E5195" w:rsidRDefault="002E5195" w:rsidP="00442953">
                            <w:pPr>
                              <w:spacing w:after="0" w:line="240" w:lineRule="auto"/>
                              <w:jc w:val="both"/>
                              <w:rPr>
                                <w:rFonts w:ascii="Times New Roman" w:hAnsi="Times New Roman"/>
                              </w:rPr>
                            </w:pPr>
                          </w:p>
                          <w:p w14:paraId="21253227" w14:textId="77777777" w:rsidR="002E5195" w:rsidRDefault="002E5195" w:rsidP="000151D5">
                            <w:pPr>
                              <w:spacing w:after="0" w:line="240" w:lineRule="auto"/>
                              <w:jc w:val="both"/>
                              <w:rPr>
                                <w:rFonts w:ascii="Times New Roman" w:hAnsi="Times New Roman"/>
                              </w:rPr>
                            </w:pPr>
                            <w:r>
                              <w:rPr>
                                <w:rFonts w:ascii="Times New Roman" w:hAnsi="Times New Roman"/>
                              </w:rPr>
                              <w:t xml:space="preserve">While it is fundamental not to discriminate against boys when designing interventions to foster access to education, positive discrimination in favour of girls is often inevitable given their </w:t>
                            </w:r>
                            <w:r w:rsidRPr="00442953">
                              <w:rPr>
                                <w:rFonts w:ascii="Times New Roman" w:hAnsi="Times New Roman"/>
                              </w:rPr>
                              <w:t>complex</w:t>
                            </w:r>
                            <w:r>
                              <w:rPr>
                                <w:rFonts w:ascii="Times New Roman" w:hAnsi="Times New Roman"/>
                              </w:rPr>
                              <w:t xml:space="preserve"> circumstances</w:t>
                            </w:r>
                            <w:r w:rsidRPr="00442953">
                              <w:rPr>
                                <w:rFonts w:ascii="Times New Roman" w:hAnsi="Times New Roman"/>
                              </w:rPr>
                              <w:t xml:space="preserve">. The onset of puberty </w:t>
                            </w:r>
                            <w:r>
                              <w:rPr>
                                <w:rFonts w:ascii="Times New Roman" w:hAnsi="Times New Roman"/>
                              </w:rPr>
                              <w:t>could</w:t>
                            </w:r>
                            <w:r w:rsidRPr="00442953">
                              <w:rPr>
                                <w:rFonts w:ascii="Times New Roman" w:hAnsi="Times New Roman"/>
                              </w:rPr>
                              <w:t xml:space="preserve"> have </w:t>
                            </w:r>
                            <w:r>
                              <w:rPr>
                                <w:rFonts w:ascii="Times New Roman" w:hAnsi="Times New Roman"/>
                              </w:rPr>
                              <w:t>baffling impacts on girls.</w:t>
                            </w:r>
                            <w:r w:rsidRPr="00442953">
                              <w:rPr>
                                <w:rFonts w:ascii="Times New Roman" w:hAnsi="Times New Roman"/>
                              </w:rPr>
                              <w:t xml:space="preserve"> For example, the onset of menstruation could </w:t>
                            </w:r>
                            <w:r>
                              <w:rPr>
                                <w:rFonts w:ascii="Times New Roman" w:hAnsi="Times New Roman"/>
                              </w:rPr>
                              <w:t>a</w:t>
                            </w:r>
                            <w:r w:rsidRPr="00442953">
                              <w:rPr>
                                <w:rFonts w:ascii="Times New Roman" w:hAnsi="Times New Roman"/>
                              </w:rPr>
                              <w:t xml:space="preserve">ffect their enrolment for both biological and cultural reasons, and parents may worry about their safety both when travelling to school and when in the school. At the time of adolescence, the option of early marriage and demands for care of siblings and other household chores impact the opportunity cost of sending female children to school. Differences may also exist in perceived returns </w:t>
                            </w:r>
                            <w:r>
                              <w:rPr>
                                <w:rFonts w:ascii="Times New Roman" w:hAnsi="Times New Roman"/>
                              </w:rPr>
                              <w:t>on</w:t>
                            </w:r>
                            <w:r w:rsidRPr="00442953">
                              <w:rPr>
                                <w:rFonts w:ascii="Times New Roman" w:hAnsi="Times New Roman"/>
                              </w:rPr>
                              <w:t xml:space="preserve"> educating girls versus boys. </w:t>
                            </w:r>
                          </w:p>
                          <w:p w14:paraId="00FD6EEE" w14:textId="77777777" w:rsidR="002E5195" w:rsidRDefault="002E5195" w:rsidP="000151D5">
                            <w:pPr>
                              <w:spacing w:after="0" w:line="240" w:lineRule="auto"/>
                              <w:jc w:val="both"/>
                              <w:rPr>
                                <w:rFonts w:ascii="Times New Roman" w:hAnsi="Times New Roman"/>
                              </w:rPr>
                            </w:pPr>
                          </w:p>
                          <w:p w14:paraId="719B35FC" w14:textId="2B01D963" w:rsidR="002E5195" w:rsidRPr="00442953" w:rsidRDefault="002E5195" w:rsidP="000151D5">
                            <w:pPr>
                              <w:spacing w:after="0" w:line="240" w:lineRule="auto"/>
                              <w:jc w:val="both"/>
                              <w:rPr>
                                <w:rFonts w:ascii="Times New Roman" w:hAnsi="Times New Roman"/>
                              </w:rPr>
                            </w:pPr>
                            <w:r w:rsidRPr="00442953">
                              <w:rPr>
                                <w:rFonts w:ascii="Times New Roman" w:hAnsi="Times New Roman"/>
                              </w:rPr>
                              <w:t xml:space="preserve">Furthermore, while most parents may have been to primary school, fewer have attended secondary and post-secondary school, and so, they are less </w:t>
                            </w:r>
                            <w:proofErr w:type="spellStart"/>
                            <w:r w:rsidRPr="00442953">
                              <w:rPr>
                                <w:rFonts w:ascii="Times New Roman" w:hAnsi="Times New Roman"/>
                              </w:rPr>
                              <w:t>farmiliar</w:t>
                            </w:r>
                            <w:proofErr w:type="spellEnd"/>
                            <w:r w:rsidRPr="00442953">
                              <w:rPr>
                                <w:rFonts w:ascii="Times New Roman" w:hAnsi="Times New Roman"/>
                              </w:rPr>
                              <w:t xml:space="preserve"> with post-primary education. Consequently, their information may be fragmentary and </w:t>
                            </w:r>
                            <w:r>
                              <w:rPr>
                                <w:rFonts w:ascii="Times New Roman" w:hAnsi="Times New Roman"/>
                              </w:rPr>
                              <w:t xml:space="preserve">in some cases, very inaccurate. This </w:t>
                            </w:r>
                            <w:r w:rsidRPr="00442953">
                              <w:rPr>
                                <w:rFonts w:ascii="Times New Roman" w:hAnsi="Times New Roman"/>
                              </w:rPr>
                              <w:t xml:space="preserve">is likely to increase the chances </w:t>
                            </w:r>
                            <w:r>
                              <w:rPr>
                                <w:rFonts w:ascii="Times New Roman" w:hAnsi="Times New Roman"/>
                              </w:rPr>
                              <w:t>of them making</w:t>
                            </w:r>
                            <w:r w:rsidRPr="00442953">
                              <w:rPr>
                                <w:rFonts w:ascii="Times New Roman" w:hAnsi="Times New Roman"/>
                              </w:rPr>
                              <w:t xml:space="preserve"> poor decisions with respect to their </w:t>
                            </w:r>
                            <w:r>
                              <w:rPr>
                                <w:rFonts w:ascii="Times New Roman" w:hAnsi="Times New Roman"/>
                              </w:rPr>
                              <w:t>girls’</w:t>
                            </w:r>
                            <w:r w:rsidRPr="00442953">
                              <w:rPr>
                                <w:rFonts w:ascii="Times New Roman" w:hAnsi="Times New Roman"/>
                              </w:rPr>
                              <w:t xml:space="preserve"> post-primary education.</w:t>
                            </w:r>
                          </w:p>
                          <w:p w14:paraId="0B024845" w14:textId="77777777" w:rsidR="002E5195" w:rsidRPr="00442953" w:rsidRDefault="002E5195" w:rsidP="00442953">
                            <w:pPr>
                              <w:spacing w:after="0" w:line="240" w:lineRule="auto"/>
                              <w:jc w:val="both"/>
                              <w:rPr>
                                <w:rFonts w:ascii="Times New Roman" w:hAnsi="Times New Roman"/>
                              </w:rPr>
                            </w:pPr>
                          </w:p>
                          <w:p w14:paraId="6344319E" w14:textId="77777777" w:rsidR="002E5195" w:rsidRPr="00594D2D" w:rsidRDefault="002E5195" w:rsidP="00594D2D">
                            <w:pPr>
                              <w:spacing w:after="0" w:line="240" w:lineRule="auto"/>
                              <w:jc w:val="both"/>
                              <w:rPr>
                                <w:rFonts w:ascii="Times New Roman" w:hAnsi="Times New Roman"/>
                              </w:rPr>
                            </w:pPr>
                          </w:p>
                          <w:p w14:paraId="0B8652E8" w14:textId="77777777" w:rsidR="002E5195" w:rsidRPr="0077363F" w:rsidRDefault="002E5195" w:rsidP="00594D2D">
                            <w:pPr>
                              <w:spacing w:after="0" w:line="240" w:lineRule="auto"/>
                              <w:jc w:val="both"/>
                              <w:rPr>
                                <w:rFonts w:ascii="Times New Roman" w:hAnsi="Times New Roman"/>
                              </w:rPr>
                            </w:pPr>
                          </w:p>
                          <w:p w14:paraId="3B2739ED" w14:textId="77777777" w:rsidR="002E5195" w:rsidRPr="0017157D" w:rsidRDefault="002E5195" w:rsidP="00594D2D">
                            <w:pPr>
                              <w:spacing w:after="0" w:line="240" w:lineRule="auto"/>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6" o:spid="_x0000_s1044" type="#_x0000_t202" style="position:absolute;left:0;text-align:left;margin-left:0;margin-top:-8.95pt;width:451pt;height:729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" filled="f" stroked="f">
                <v:textbox>
                  <w:txbxContent>
                    <w:p w14:paraId="48D189E7" w14:textId="1ADF5322" w:rsidR="002E5195" w:rsidRPr="006C6460" w:rsidRDefault="002E5195" w:rsidP="00594D2D">
                      <w:pPr>
                        <w:spacing w:after="0" w:line="240" w:lineRule="auto"/>
                        <w:jc w:val="both"/>
                        <w:rPr>
                          <w:rFonts w:ascii="Times New Roman" w:hAnsi="Times New Roman"/>
                          <w:b/>
                          <w:color w:val="FF0000"/>
                        </w:rPr>
                      </w:pPr>
                      <w:r w:rsidRPr="006C6460">
                        <w:rPr>
                          <w:rFonts w:ascii="Times New Roman" w:hAnsi="Times New Roman"/>
                          <w:b/>
                          <w:color w:val="FF0000"/>
                        </w:rPr>
                        <w:t>KEY ISSUES</w:t>
                      </w:r>
                    </w:p>
                    <w:p w14:paraId="355B6D3E" w14:textId="77777777" w:rsidR="002E5195" w:rsidRPr="00594D2D" w:rsidRDefault="002E5195" w:rsidP="00594D2D">
                      <w:pPr>
                        <w:spacing w:after="0" w:line="240" w:lineRule="auto"/>
                        <w:jc w:val="both"/>
                        <w:rPr>
                          <w:rFonts w:ascii="Times New Roman" w:hAnsi="Times New Roman"/>
                          <w:b/>
                        </w:rPr>
                      </w:pPr>
                      <w:r w:rsidRPr="00594D2D">
                        <w:rPr>
                          <w:rFonts w:ascii="Times New Roman" w:hAnsi="Times New Roman"/>
                          <w:b/>
                        </w:rPr>
                        <w:t>1. Girls are more likely not to proceed to secondary education</w:t>
                      </w:r>
                    </w:p>
                    <w:p w14:paraId="0F7ABB6B" w14:textId="1B5AF196" w:rsidR="002E5195" w:rsidRPr="00594D2D" w:rsidRDefault="002E5195" w:rsidP="00594D2D">
                      <w:pPr>
                        <w:spacing w:after="0" w:line="240" w:lineRule="auto"/>
                        <w:jc w:val="both"/>
                        <w:rPr>
                          <w:rFonts w:ascii="Times New Roman" w:hAnsi="Times New Roman"/>
                        </w:rPr>
                      </w:pPr>
                      <w:r w:rsidRPr="00594D2D">
                        <w:rPr>
                          <w:rFonts w:ascii="Times New Roman" w:hAnsi="Times New Roman"/>
                        </w:rPr>
                        <w:t>Girls are particularly more likely not to proceed to secondary education</w:t>
                      </w:r>
                      <w:r>
                        <w:rPr>
                          <w:rFonts w:ascii="Times New Roman" w:hAnsi="Times New Roman"/>
                        </w:rPr>
                        <w:t xml:space="preserve">. This </w:t>
                      </w:r>
                      <w:r w:rsidRPr="00594D2D">
                        <w:rPr>
                          <w:rFonts w:ascii="Times New Roman" w:hAnsi="Times New Roman"/>
                        </w:rPr>
                        <w:t>calls for concerted efforts to foil</w:t>
                      </w:r>
                      <w:r>
                        <w:rPr>
                          <w:rFonts w:ascii="Times New Roman" w:hAnsi="Times New Roman"/>
                        </w:rPr>
                        <w:t xml:space="preserve"> the trend</w:t>
                      </w:r>
                      <w:r w:rsidRPr="00594D2D">
                        <w:rPr>
                          <w:rFonts w:ascii="Times New Roman" w:hAnsi="Times New Roman"/>
                        </w:rPr>
                        <w:t>. Girls’ education goes beyond getting girls into school. It is also about ensuring that girls learn and feel safe while in school, complete all levels of education</w:t>
                      </w:r>
                      <w:r>
                        <w:rPr>
                          <w:rFonts w:ascii="Times New Roman" w:hAnsi="Times New Roman"/>
                        </w:rPr>
                        <w:t xml:space="preserve">, develop </w:t>
                      </w:r>
                      <w:r w:rsidRPr="00594D2D">
                        <w:rPr>
                          <w:rFonts w:ascii="Times New Roman" w:hAnsi="Times New Roman"/>
                        </w:rPr>
                        <w:t xml:space="preserve">skills to </w:t>
                      </w:r>
                      <w:r>
                        <w:rPr>
                          <w:rFonts w:ascii="Times New Roman" w:hAnsi="Times New Roman"/>
                        </w:rPr>
                        <w:t xml:space="preserve">make them </w:t>
                      </w:r>
                      <w:r w:rsidRPr="00594D2D">
                        <w:rPr>
                          <w:rFonts w:ascii="Times New Roman" w:hAnsi="Times New Roman"/>
                        </w:rPr>
                        <w:t>effectively compete in the labour market, learn the socio-emotional and life skills necessary to navigate and adapt to a changing world, make decisions about their own lives, and contribute to their communities and the world. Girls’ education is therefore a strategic development</w:t>
                      </w:r>
                      <w:r>
                        <w:rPr>
                          <w:rFonts w:ascii="Times New Roman" w:hAnsi="Times New Roman"/>
                        </w:rPr>
                        <w:t xml:space="preserve"> priority. Indeed, b</w:t>
                      </w:r>
                      <w:r w:rsidRPr="00594D2D">
                        <w:rPr>
                          <w:rFonts w:ascii="Times New Roman" w:hAnsi="Times New Roman"/>
                        </w:rPr>
                        <w:t>etter educated women tend to be healthier, participate more in the formal labour market, earn higher incomes, have fewer children, marry at a late</w:t>
                      </w:r>
                      <w:r>
                        <w:rPr>
                          <w:rFonts w:ascii="Times New Roman" w:hAnsi="Times New Roman"/>
                        </w:rPr>
                        <w:t>r age, and enable better health</w:t>
                      </w:r>
                      <w:r w:rsidRPr="00594D2D">
                        <w:rPr>
                          <w:rFonts w:ascii="Times New Roman" w:hAnsi="Times New Roman"/>
                        </w:rPr>
                        <w:t>care and education for their children should they choose to become</w:t>
                      </w:r>
                      <w:r>
                        <w:rPr>
                          <w:rFonts w:ascii="Times New Roman" w:hAnsi="Times New Roman"/>
                        </w:rPr>
                        <w:t xml:space="preserve"> mothers. When these happen</w:t>
                      </w:r>
                      <w:r w:rsidRPr="00594D2D">
                        <w:rPr>
                          <w:rFonts w:ascii="Times New Roman" w:hAnsi="Times New Roman"/>
                        </w:rPr>
                        <w:t xml:space="preserve">, they help lift households, communities, and nations out of poverty. </w:t>
                      </w:r>
                    </w:p>
                    <w:p w14:paraId="7274ADD1" w14:textId="77777777" w:rsidR="002E5195" w:rsidRPr="00594D2D" w:rsidRDefault="002E5195" w:rsidP="00594D2D">
                      <w:pPr>
                        <w:spacing w:after="0" w:line="240" w:lineRule="auto"/>
                        <w:jc w:val="both"/>
                        <w:rPr>
                          <w:rFonts w:ascii="Times New Roman" w:hAnsi="Times New Roman"/>
                        </w:rPr>
                      </w:pPr>
                    </w:p>
                    <w:p w14:paraId="013D22BE" w14:textId="38CEB0A6" w:rsidR="002E5195" w:rsidRPr="00594D2D" w:rsidRDefault="002E5195" w:rsidP="00594D2D">
                      <w:pPr>
                        <w:spacing w:after="0" w:line="240" w:lineRule="auto"/>
                        <w:jc w:val="both"/>
                        <w:rPr>
                          <w:rFonts w:ascii="Times New Roman" w:hAnsi="Times New Roman"/>
                          <w:b/>
                        </w:rPr>
                      </w:pPr>
                      <w:r>
                        <w:rPr>
                          <w:rFonts w:ascii="Times New Roman" w:hAnsi="Times New Roman"/>
                          <w:b/>
                        </w:rPr>
                        <w:t>2. Poverty is a</w:t>
                      </w:r>
                      <w:r w:rsidRPr="00594D2D">
                        <w:rPr>
                          <w:rFonts w:ascii="Times New Roman" w:hAnsi="Times New Roman"/>
                          <w:b/>
                        </w:rPr>
                        <w:t xml:space="preserve"> major barrier to girls’ access to secondary education</w:t>
                      </w:r>
                    </w:p>
                    <w:p w14:paraId="216A7139" w14:textId="091B0EE8" w:rsidR="002E5195" w:rsidRPr="008F5FF0" w:rsidRDefault="002E5195" w:rsidP="00594D2D">
                      <w:pPr>
                        <w:spacing w:after="0" w:line="240" w:lineRule="auto"/>
                        <w:jc w:val="both"/>
                        <w:rPr>
                          <w:rFonts w:ascii="Times New Roman" w:hAnsi="Times New Roman"/>
                        </w:rPr>
                      </w:pPr>
                      <w:r w:rsidRPr="008F5FF0">
                        <w:rPr>
                          <w:rFonts w:ascii="Times New Roman" w:hAnsi="Times New Roman"/>
                        </w:rPr>
                        <w:t xml:space="preserve">Poverty is a chief determinant of whether a girl accesses </w:t>
                      </w:r>
                      <w:r>
                        <w:rPr>
                          <w:rFonts w:ascii="Times New Roman" w:hAnsi="Times New Roman"/>
                        </w:rPr>
                        <w:t>education or not.</w:t>
                      </w:r>
                      <w:r w:rsidRPr="008F5FF0">
                        <w:rPr>
                          <w:rFonts w:ascii="Times New Roman" w:hAnsi="Times New Roman"/>
                        </w:rPr>
                        <w:t xml:space="preserve"> Studies indicate that girls that face multiple disadvantages, e.g., low family income, </w:t>
                      </w:r>
                      <w:r>
                        <w:rPr>
                          <w:rFonts w:ascii="Times New Roman" w:hAnsi="Times New Roman"/>
                        </w:rPr>
                        <w:t>living in remote/</w:t>
                      </w:r>
                      <w:r w:rsidRPr="008F5FF0">
                        <w:rPr>
                          <w:rFonts w:ascii="Times New Roman" w:hAnsi="Times New Roman"/>
                        </w:rPr>
                        <w:t xml:space="preserve">underserved areas, </w:t>
                      </w:r>
                      <w:r>
                        <w:rPr>
                          <w:rFonts w:ascii="Times New Roman" w:hAnsi="Times New Roman"/>
                        </w:rPr>
                        <w:t>are living with disabilities</w:t>
                      </w:r>
                      <w:r w:rsidRPr="008F5FF0">
                        <w:rPr>
                          <w:rFonts w:ascii="Times New Roman" w:hAnsi="Times New Roman"/>
                        </w:rPr>
                        <w:t xml:space="preserve">, or </w:t>
                      </w:r>
                      <w:r>
                        <w:rPr>
                          <w:rFonts w:ascii="Times New Roman" w:hAnsi="Times New Roman"/>
                        </w:rPr>
                        <w:t xml:space="preserve">are </w:t>
                      </w:r>
                      <w:r w:rsidRPr="008F5FF0">
                        <w:rPr>
                          <w:rFonts w:ascii="Times New Roman" w:hAnsi="Times New Roman"/>
                        </w:rPr>
                        <w:t>of minority ethno-linguistic group</w:t>
                      </w:r>
                      <w:r>
                        <w:rPr>
                          <w:rFonts w:ascii="Times New Roman" w:hAnsi="Times New Roman"/>
                        </w:rPr>
                        <w:t>s</w:t>
                      </w:r>
                      <w:r w:rsidRPr="008F5FF0">
                        <w:rPr>
                          <w:rFonts w:ascii="Times New Roman" w:hAnsi="Times New Roman"/>
                        </w:rPr>
                        <w:t>, are farthest behind in terms of access to and completion of education</w:t>
                      </w:r>
                      <w:sdt>
                        <w:sdtPr>
                          <w:rPr>
                            <w:rFonts w:ascii="Times New Roman" w:hAnsi="Times New Roman"/>
                          </w:rPr>
                          <w:id w:val="1007257268"/>
                          <w:citation/>
                        </w:sdtPr>
                        <w:sdtEndPr/>
                        <w:sdtContent>
                          <w:r w:rsidRPr="008F5FF0">
                            <w:rPr>
                              <w:rFonts w:ascii="Times New Roman" w:hAnsi="Times New Roman"/>
                            </w:rPr>
                            <w:fldChar w:fldCharType="begin"/>
                          </w:r>
                          <w:r w:rsidRPr="008F5FF0">
                            <w:rPr>
                              <w:rFonts w:ascii="Times New Roman" w:hAnsi="Times New Roman"/>
                              <w:lang w:val="en-US"/>
                            </w:rPr>
                            <w:instrText xml:space="preserve"> CITATION Tan131 \l 1033 </w:instrText>
                          </w:r>
                          <w:r w:rsidRPr="008F5FF0">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(Tanner &amp; Antonowicz, 2013)</w:t>
                          </w:r>
                          <w:r w:rsidRPr="008F5FF0">
                            <w:rPr>
                              <w:rFonts w:ascii="Times New Roman" w:hAnsi="Times New Roman"/>
                            </w:rPr>
                            <w:fldChar w:fldCharType="end"/>
                          </w:r>
                        </w:sdtContent>
                      </w:sdt>
                      <w:r w:rsidRPr="008F5FF0">
                        <w:rPr>
                          <w:rFonts w:ascii="Times New Roman" w:hAnsi="Times New Roman"/>
                        </w:rPr>
                        <w:t>.</w:t>
                      </w:r>
                      <w:r>
                        <w:rPr>
                          <w:rFonts w:ascii="Times New Roman" w:hAnsi="Times New Roman"/>
                        </w:rPr>
                        <w:t xml:space="preserve"> Prioritising access to education for girls from poor households and communities is therefore a strategic choice.</w:t>
                      </w:r>
                    </w:p>
                    <w:p w14:paraId="759174A9" w14:textId="77777777" w:rsidR="002E5195" w:rsidRPr="008F5FF0" w:rsidRDefault="002E5195" w:rsidP="00594D2D">
                      <w:pPr>
                        <w:spacing w:after="0" w:line="240" w:lineRule="auto"/>
                        <w:jc w:val="both"/>
                        <w:rPr>
                          <w:rFonts w:ascii="Times New Roman" w:hAnsi="Times New Roman"/>
                        </w:rPr>
                      </w:pPr>
                    </w:p>
                    <w:p w14:paraId="4A307342" w14:textId="77777777" w:rsidR="002E5195" w:rsidRPr="008F5FF0" w:rsidRDefault="002E5195" w:rsidP="00442953">
                      <w:pPr>
                        <w:spacing w:after="0" w:line="240" w:lineRule="auto"/>
                        <w:jc w:val="both"/>
                        <w:rPr>
                          <w:rFonts w:ascii="Times New Roman" w:hAnsi="Times New Roman"/>
                          <w:b/>
                        </w:rPr>
                      </w:pPr>
                      <w:r w:rsidRPr="008F5FF0">
                        <w:rPr>
                          <w:rFonts w:ascii="Times New Roman" w:hAnsi="Times New Roman"/>
                          <w:b/>
                        </w:rPr>
                        <w:t>3. Violence negatively impacts access to education</w:t>
                      </w:r>
                    </w:p>
                    <w:p w14:paraId="15954A46" w14:textId="77777777" w:rsidR="002E5195" w:rsidRDefault="002E5195" w:rsidP="00442953">
                      <w:pPr>
                        <w:spacing w:after="0" w:line="240" w:lineRule="auto"/>
                        <w:jc w:val="both"/>
                        <w:rPr>
                          <w:rFonts w:ascii="Times New Roman" w:hAnsi="Times New Roman"/>
                        </w:rPr>
                      </w:pPr>
                      <w:r w:rsidRPr="008F5FF0">
                        <w:rPr>
                          <w:rFonts w:ascii="Times New Roman" w:hAnsi="Times New Roman"/>
                        </w:rPr>
                        <w:t>Violence adversely impacts</w:t>
                      </w:r>
                      <w:r>
                        <w:rPr>
                          <w:rFonts w:ascii="Times New Roman" w:hAnsi="Times New Roman"/>
                        </w:rPr>
                        <w:t xml:space="preserve"> access to education. It also disrupts</w:t>
                      </w:r>
                      <w:r w:rsidRPr="008F5FF0">
                        <w:rPr>
                          <w:rFonts w:ascii="Times New Roman" w:hAnsi="Times New Roman"/>
                        </w:rPr>
                        <w:t xml:space="preserve"> safe environment</w:t>
                      </w:r>
                      <w:r>
                        <w:rPr>
                          <w:rFonts w:ascii="Times New Roman" w:hAnsi="Times New Roman"/>
                        </w:rPr>
                        <w:t>s</w:t>
                      </w:r>
                      <w:r w:rsidRPr="008F5FF0">
                        <w:rPr>
                          <w:rFonts w:ascii="Times New Roman" w:hAnsi="Times New Roman"/>
                        </w:rPr>
                        <w:t xml:space="preserve"> for learning. </w:t>
                      </w:r>
                      <w:r>
                        <w:rPr>
                          <w:rFonts w:ascii="Times New Roman" w:hAnsi="Times New Roman"/>
                        </w:rPr>
                        <w:t>Violence includes gender-based violence (GBV), which comprises child marriage and female genital mutilation (FGM)</w:t>
                      </w:r>
                      <w:r w:rsidRPr="008F5FF0">
                        <w:rPr>
                          <w:rFonts w:ascii="Times New Roman" w:hAnsi="Times New Roman"/>
                        </w:rPr>
                        <w:t xml:space="preserve">. Child brides are much more likely to drop out of school and complete fewer years of education than their peers who marry later. </w:t>
                      </w:r>
                    </w:p>
                    <w:p w14:paraId="45A053EB" w14:textId="77777777" w:rsidR="002E5195" w:rsidRDefault="002E5195" w:rsidP="00442953">
                      <w:pPr>
                        <w:spacing w:after="0" w:line="240" w:lineRule="auto"/>
                        <w:jc w:val="both"/>
                        <w:rPr>
                          <w:rFonts w:ascii="Times New Roman" w:hAnsi="Times New Roman"/>
                        </w:rPr>
                      </w:pPr>
                    </w:p>
                    <w:p w14:paraId="3FC2844B" w14:textId="1B4F208C" w:rsidR="002E5195" w:rsidRPr="008F5FF0" w:rsidRDefault="002E5195" w:rsidP="00442953">
                      <w:pPr>
                        <w:spacing w:after="0" w:line="240" w:lineRule="auto"/>
                        <w:jc w:val="both"/>
                        <w:rPr>
                          <w:rFonts w:ascii="Times New Roman" w:hAnsi="Times New Roman"/>
                        </w:rPr>
                      </w:pPr>
                      <w:r w:rsidRPr="008F5FF0">
                        <w:rPr>
                          <w:rFonts w:ascii="Times New Roman" w:hAnsi="Times New Roman"/>
                        </w:rPr>
                        <w:t>This affects the education and health of their children, as well as their ability to earn a living. It has been reported that more than 41,000 girls under the age of 18 marry every day</w:t>
                      </w:r>
                      <w:sdt>
                        <w:sdtPr>
                          <w:rPr>
                            <w:rFonts w:ascii="Times New Roman" w:hAnsi="Times New Roman"/>
                          </w:rPr>
                          <w:id w:val="15513333"/>
                          <w:citation/>
                        </w:sdtPr>
                        <w:sdtEndPr/>
                        <w:sdtContent>
                          <w:r w:rsidRPr="008F5FF0">
                            <w:rPr>
                              <w:rFonts w:ascii="Times New Roman" w:hAnsi="Times New Roman"/>
                            </w:rPr>
                            <w:fldChar w:fldCharType="begin"/>
                          </w:r>
                          <w:r w:rsidRPr="008F5FF0">
                            <w:rPr>
                              <w:rFonts w:ascii="Times New Roman" w:hAnsi="Times New Roman"/>
                              <w:lang w:val="en-US"/>
                            </w:rPr>
                            <w:instrText xml:space="preserve"> CITATION Cob17 \l 1033 </w:instrText>
                          </w:r>
                          <w:r w:rsidRPr="008F5FF0">
                            <w:rPr>
                              <w:rFonts w:ascii="Times New Roman" w:hAnsi="Times New Roman"/>
                            </w:rPr>
                            <w:fldChar w:fldCharType="separate"/>
                          </w:r>
                          <w:r>
                            <w:rPr>
                              <w:rFonts w:ascii="Times New Roman" w:hAnsi="Times New Roman"/>
                              <w:noProof/>
                              <w:lang w:val="en-US"/>
                            </w:rPr>
                            <w:t xml:space="preserve"> </w:t>
                          </w:r>
                          <w:r w:rsidRPr="00F845CA">
                            <w:rPr>
                              <w:rFonts w:ascii="Times New Roman" w:hAnsi="Times New Roman"/>
                              <w:noProof/>
                              <w:lang w:val="en-US"/>
                            </w:rPr>
                            <w:t>(Coby, 2017)</w:t>
                          </w:r>
                          <w:r w:rsidRPr="008F5FF0">
                            <w:rPr>
                              <w:rFonts w:ascii="Times New Roman" w:hAnsi="Times New Roman"/>
                            </w:rPr>
                            <w:fldChar w:fldCharType="end"/>
                          </w:r>
                        </w:sdtContent>
                      </w:sdt>
                      <w:r w:rsidRPr="008F5FF0">
                        <w:rPr>
                          <w:rFonts w:ascii="Times New Roman" w:hAnsi="Times New Roman"/>
                        </w:rPr>
                        <w:t xml:space="preserve">. Putting an end to the practice </w:t>
                      </w:r>
                      <w:r>
                        <w:rPr>
                          <w:rFonts w:ascii="Times New Roman" w:hAnsi="Times New Roman"/>
                        </w:rPr>
                        <w:t>will</w:t>
                      </w:r>
                      <w:r w:rsidRPr="008F5FF0">
                        <w:rPr>
                          <w:rFonts w:ascii="Times New Roman" w:hAnsi="Times New Roman"/>
                        </w:rPr>
                        <w:t xml:space="preserve"> increase women’s educational attainment and, with it, their potential earnings. Estimates show that ending child marriage could generate more than $500 billion in benefits annually.</w:t>
                      </w:r>
                    </w:p>
                    <w:p w14:paraId="2EADAF66" w14:textId="77777777" w:rsidR="002E5195" w:rsidRPr="008F5FF0" w:rsidRDefault="002E5195" w:rsidP="00442953">
                      <w:pPr>
                        <w:spacing w:after="0" w:line="240" w:lineRule="auto"/>
                        <w:jc w:val="both"/>
                        <w:rPr>
                          <w:rFonts w:ascii="Times New Roman" w:hAnsi="Times New Roman"/>
                        </w:rPr>
                      </w:pPr>
                    </w:p>
                    <w:p w14:paraId="2BABF860" w14:textId="77777777" w:rsidR="002E5195" w:rsidRPr="008F5FF0" w:rsidRDefault="002E5195" w:rsidP="00442953">
                      <w:pPr>
                        <w:spacing w:after="0" w:line="240" w:lineRule="auto"/>
                        <w:jc w:val="both"/>
                        <w:rPr>
                          <w:rFonts w:ascii="Times New Roman" w:hAnsi="Times New Roman"/>
                          <w:b/>
                        </w:rPr>
                      </w:pPr>
                      <w:r w:rsidRPr="008F5FF0">
                        <w:rPr>
                          <w:rFonts w:ascii="Times New Roman" w:hAnsi="Times New Roman"/>
                          <w:b/>
                        </w:rPr>
                        <w:t xml:space="preserve">4. Conditional cash transfers, </w:t>
                      </w:r>
                      <w:proofErr w:type="spellStart"/>
                      <w:r w:rsidRPr="008F5FF0">
                        <w:rPr>
                          <w:rFonts w:ascii="Times New Roman" w:hAnsi="Times New Roman"/>
                          <w:b/>
                        </w:rPr>
                        <w:t>stipents</w:t>
                      </w:r>
                      <w:proofErr w:type="spellEnd"/>
                      <w:r w:rsidRPr="008F5FF0">
                        <w:rPr>
                          <w:rFonts w:ascii="Times New Roman" w:hAnsi="Times New Roman"/>
                          <w:b/>
                        </w:rPr>
                        <w:t>, or scholarships</w:t>
                      </w:r>
                    </w:p>
                    <w:p w14:paraId="7F643AEF" w14:textId="726C532B" w:rsidR="002E5195" w:rsidRPr="008F5FF0" w:rsidRDefault="002E5195" w:rsidP="00442953">
                      <w:pPr>
                        <w:spacing w:after="0" w:line="240" w:lineRule="auto"/>
                        <w:jc w:val="both"/>
                        <w:rPr>
                          <w:rFonts w:ascii="Times New Roman" w:hAnsi="Times New Roman"/>
                        </w:rPr>
                      </w:pPr>
                      <w:r w:rsidRPr="008F5FF0">
                        <w:rPr>
                          <w:rFonts w:ascii="Times New Roman" w:hAnsi="Times New Roman"/>
                        </w:rPr>
                        <w:t xml:space="preserve">Studies have shown that providing conditional cash transfers, i.e., payments made to households that are conditional on their children’s school attendance, as well as </w:t>
                      </w:r>
                      <w:proofErr w:type="spellStart"/>
                      <w:r w:rsidRPr="008F5FF0">
                        <w:rPr>
                          <w:rFonts w:ascii="Times New Roman" w:hAnsi="Times New Roman"/>
                        </w:rPr>
                        <w:t>stipents</w:t>
                      </w:r>
                      <w:proofErr w:type="spellEnd"/>
                      <w:r w:rsidRPr="008F5FF0">
                        <w:rPr>
                          <w:rFonts w:ascii="Times New Roman" w:hAnsi="Times New Roman"/>
                        </w:rPr>
                        <w:t xml:space="preserve"> or scholarships, can effectively reduce dropout</w:t>
                      </w:r>
                      <w:r>
                        <w:rPr>
                          <w:rFonts w:ascii="Times New Roman" w:hAnsi="Times New Roman"/>
                        </w:rPr>
                        <w:t>s</w:t>
                      </w:r>
                      <w:r>
                        <w:rPr>
                          <w:rFonts w:ascii="Times New Roman" w:hAnsi="Times New Roman"/>
                          <w:noProof/>
                          <w:lang w:val="en-US"/>
                        </w:rPr>
                        <w:t xml:space="preserve"> </w:t>
                      </w:r>
                      <w:r w:rsidRPr="00F845CA">
                        <w:rPr>
                          <w:rFonts w:ascii="Times New Roman" w:hAnsi="Times New Roman"/>
                          <w:noProof/>
                          <w:lang w:val="en-US"/>
                        </w:rPr>
                        <w:t xml:space="preserve">(Mo, </w:t>
                      </w:r>
                      <w:r>
                        <w:rPr>
                          <w:rFonts w:ascii="Times New Roman" w:hAnsi="Times New Roman"/>
                          <w:noProof/>
                          <w:lang w:val="en-US"/>
                        </w:rPr>
                        <w:t>et al.</w:t>
                      </w:r>
                      <w:r w:rsidRPr="00F845CA">
                        <w:rPr>
                          <w:rFonts w:ascii="Times New Roman" w:hAnsi="Times New Roman"/>
                          <w:noProof/>
                          <w:lang w:val="en-US"/>
                        </w:rPr>
                        <w:t>, 2013)</w:t>
                      </w:r>
                      <w:r>
                        <w:rPr>
                          <w:rFonts w:ascii="Times New Roman" w:hAnsi="Times New Roman"/>
                        </w:rPr>
                        <w:t>. For children from poor</w:t>
                      </w:r>
                      <w:r w:rsidRPr="008F5FF0">
                        <w:rPr>
                          <w:rFonts w:ascii="Times New Roman" w:hAnsi="Times New Roman"/>
                        </w:rPr>
                        <w:t xml:space="preserve"> backgrounds, these significantly encourage transition from primary to secondary education, </w:t>
                      </w:r>
                      <w:r>
                        <w:rPr>
                          <w:rFonts w:ascii="Times New Roman" w:hAnsi="Times New Roman"/>
                        </w:rPr>
                        <w:t>given that the opportunity cost</w:t>
                      </w:r>
                      <w:r w:rsidRPr="008F5FF0">
                        <w:rPr>
                          <w:rFonts w:ascii="Times New Roman" w:hAnsi="Times New Roman"/>
                        </w:rPr>
                        <w:t xml:space="preserve"> of the students’ time </w:t>
                      </w:r>
                      <w:r>
                        <w:rPr>
                          <w:rFonts w:ascii="Times New Roman" w:hAnsi="Times New Roman"/>
                        </w:rPr>
                        <w:t xml:space="preserve">in school </w:t>
                      </w:r>
                      <w:r w:rsidRPr="008F5FF0">
                        <w:rPr>
                          <w:rFonts w:ascii="Times New Roman" w:hAnsi="Times New Roman"/>
                        </w:rPr>
                        <w:t xml:space="preserve">are </w:t>
                      </w:r>
                      <w:r>
                        <w:rPr>
                          <w:rFonts w:ascii="Times New Roman" w:hAnsi="Times New Roman"/>
                        </w:rPr>
                        <w:t xml:space="preserve">usually </w:t>
                      </w:r>
                      <w:r w:rsidRPr="008F5FF0">
                        <w:rPr>
                          <w:rFonts w:ascii="Times New Roman" w:hAnsi="Times New Roman"/>
                        </w:rPr>
                        <w:t xml:space="preserve">higher </w:t>
                      </w:r>
                      <w:r>
                        <w:rPr>
                          <w:rFonts w:ascii="Times New Roman" w:hAnsi="Times New Roman"/>
                        </w:rPr>
                        <w:t xml:space="preserve">because </w:t>
                      </w:r>
                      <w:r w:rsidRPr="008F5FF0">
                        <w:rPr>
                          <w:rFonts w:ascii="Times New Roman" w:hAnsi="Times New Roman"/>
                        </w:rPr>
                        <w:t xml:space="preserve">they are physically bigger and </w:t>
                      </w:r>
                      <w:r>
                        <w:rPr>
                          <w:rFonts w:ascii="Times New Roman" w:hAnsi="Times New Roman"/>
                        </w:rPr>
                        <w:t xml:space="preserve">seen </w:t>
                      </w:r>
                      <w:r w:rsidRPr="008F5FF0">
                        <w:rPr>
                          <w:rFonts w:ascii="Times New Roman" w:hAnsi="Times New Roman"/>
                        </w:rPr>
                        <w:t>more</w:t>
                      </w:r>
                      <w:r>
                        <w:rPr>
                          <w:rFonts w:ascii="Times New Roman" w:hAnsi="Times New Roman"/>
                        </w:rPr>
                        <w:t xml:space="preserve"> as</w:t>
                      </w:r>
                      <w:r w:rsidRPr="008F5FF0">
                        <w:rPr>
                          <w:rFonts w:ascii="Times New Roman" w:hAnsi="Times New Roman"/>
                        </w:rPr>
                        <w:t xml:space="preserve"> capable workers</w:t>
                      </w:r>
                      <w:r>
                        <w:rPr>
                          <w:rFonts w:ascii="Times New Roman" w:hAnsi="Times New Roman"/>
                        </w:rPr>
                        <w:t xml:space="preserve"> and/or wives</w:t>
                      </w:r>
                      <w:r w:rsidRPr="008F5FF0">
                        <w:rPr>
                          <w:rFonts w:ascii="Times New Roman" w:hAnsi="Times New Roman"/>
                        </w:rPr>
                        <w:t>, hence their parents or families would prefer them starting to help out in meeting household budgets</w:t>
                      </w:r>
                      <w:r>
                        <w:rPr>
                          <w:rFonts w:ascii="Times New Roman" w:hAnsi="Times New Roman"/>
                        </w:rPr>
                        <w:t xml:space="preserve"> and/or getting married to attract dowry.</w:t>
                      </w:r>
                    </w:p>
                    <w:p w14:paraId="3F8D52BD" w14:textId="77777777" w:rsidR="002E5195" w:rsidRDefault="002E5195" w:rsidP="00442953">
                      <w:pPr>
                        <w:spacing w:after="0" w:line="240" w:lineRule="auto"/>
                        <w:jc w:val="both"/>
                        <w:rPr>
                          <w:rFonts w:ascii="Times New Roman" w:hAnsi="Times New Roman"/>
                        </w:rPr>
                      </w:pPr>
                    </w:p>
                    <w:p w14:paraId="21253227" w14:textId="77777777" w:rsidR="002E5195" w:rsidRDefault="002E5195" w:rsidP="000151D5">
                      <w:pPr>
                        <w:spacing w:after="0" w:line="240" w:lineRule="auto"/>
                        <w:jc w:val="both"/>
                        <w:rPr>
                          <w:rFonts w:ascii="Times New Roman" w:hAnsi="Times New Roman"/>
                        </w:rPr>
                      </w:pPr>
                      <w:r>
                        <w:rPr>
                          <w:rFonts w:ascii="Times New Roman" w:hAnsi="Times New Roman"/>
                        </w:rPr>
                        <w:t xml:space="preserve">While it is fundamental not to discriminate against boys when designing interventions to foster access to education, positive discrimination in favour of girls is often inevitable given their </w:t>
                      </w:r>
                      <w:r w:rsidRPr="00442953">
                        <w:rPr>
                          <w:rFonts w:ascii="Times New Roman" w:hAnsi="Times New Roman"/>
                        </w:rPr>
                        <w:t>complex</w:t>
                      </w:r>
                      <w:r>
                        <w:rPr>
                          <w:rFonts w:ascii="Times New Roman" w:hAnsi="Times New Roman"/>
                        </w:rPr>
                        <w:t xml:space="preserve"> circumstances</w:t>
                      </w:r>
                      <w:r w:rsidRPr="00442953">
                        <w:rPr>
                          <w:rFonts w:ascii="Times New Roman" w:hAnsi="Times New Roman"/>
                        </w:rPr>
                        <w:t xml:space="preserve">. The onset of puberty </w:t>
                      </w:r>
                      <w:r>
                        <w:rPr>
                          <w:rFonts w:ascii="Times New Roman" w:hAnsi="Times New Roman"/>
                        </w:rPr>
                        <w:t>could</w:t>
                      </w:r>
                      <w:r w:rsidRPr="00442953">
                        <w:rPr>
                          <w:rFonts w:ascii="Times New Roman" w:hAnsi="Times New Roman"/>
                        </w:rPr>
                        <w:t xml:space="preserve"> have </w:t>
                      </w:r>
                      <w:r>
                        <w:rPr>
                          <w:rFonts w:ascii="Times New Roman" w:hAnsi="Times New Roman"/>
                        </w:rPr>
                        <w:t>baffling impacts on girls.</w:t>
                      </w:r>
                      <w:r w:rsidRPr="00442953">
                        <w:rPr>
                          <w:rFonts w:ascii="Times New Roman" w:hAnsi="Times New Roman"/>
                        </w:rPr>
                        <w:t xml:space="preserve"> For example, the onset of menstruation could </w:t>
                      </w:r>
                      <w:r>
                        <w:rPr>
                          <w:rFonts w:ascii="Times New Roman" w:hAnsi="Times New Roman"/>
                        </w:rPr>
                        <w:t>a</w:t>
                      </w:r>
                      <w:r w:rsidRPr="00442953">
                        <w:rPr>
                          <w:rFonts w:ascii="Times New Roman" w:hAnsi="Times New Roman"/>
                        </w:rPr>
                        <w:t xml:space="preserve">ffect their enrolment for both biological and cultural reasons, and parents may worry about their safety both when travelling to school and when in the school. At the time of adolescence, the option of early marriage and demands for care of siblings and other household chores impact the opportunity cost of sending female children to school. Differences may also exist in perceived returns </w:t>
                      </w:r>
                      <w:r>
                        <w:rPr>
                          <w:rFonts w:ascii="Times New Roman" w:hAnsi="Times New Roman"/>
                        </w:rPr>
                        <w:t>on</w:t>
                      </w:r>
                      <w:r w:rsidRPr="00442953">
                        <w:rPr>
                          <w:rFonts w:ascii="Times New Roman" w:hAnsi="Times New Roman"/>
                        </w:rPr>
                        <w:t xml:space="preserve"> educating girls versus boys. </w:t>
                      </w:r>
                    </w:p>
                    <w:p w14:paraId="00FD6EEE" w14:textId="77777777" w:rsidR="002E5195" w:rsidRDefault="002E5195" w:rsidP="000151D5">
                      <w:pPr>
                        <w:spacing w:after="0" w:line="240" w:lineRule="auto"/>
                        <w:jc w:val="both"/>
                        <w:rPr>
                          <w:rFonts w:ascii="Times New Roman" w:hAnsi="Times New Roman"/>
                        </w:rPr>
                      </w:pPr>
                    </w:p>
                    <w:p w14:paraId="719B35FC" w14:textId="2B01D963" w:rsidR="002E5195" w:rsidRPr="00442953" w:rsidRDefault="002E5195" w:rsidP="000151D5">
                      <w:pPr>
                        <w:spacing w:after="0" w:line="240" w:lineRule="auto"/>
                        <w:jc w:val="both"/>
                        <w:rPr>
                          <w:rFonts w:ascii="Times New Roman" w:hAnsi="Times New Roman"/>
                        </w:rPr>
                      </w:pPr>
                      <w:r w:rsidRPr="00442953">
                        <w:rPr>
                          <w:rFonts w:ascii="Times New Roman" w:hAnsi="Times New Roman"/>
                        </w:rPr>
                        <w:t xml:space="preserve">Furthermore, while most parents may have been to primary school, fewer have attended secondary and post-secondary school, and so, they are less </w:t>
                      </w:r>
                      <w:proofErr w:type="spellStart"/>
                      <w:r w:rsidRPr="00442953">
                        <w:rPr>
                          <w:rFonts w:ascii="Times New Roman" w:hAnsi="Times New Roman"/>
                        </w:rPr>
                        <w:t>farmiliar</w:t>
                      </w:r>
                      <w:proofErr w:type="spellEnd"/>
                      <w:r w:rsidRPr="00442953">
                        <w:rPr>
                          <w:rFonts w:ascii="Times New Roman" w:hAnsi="Times New Roman"/>
                        </w:rPr>
                        <w:t xml:space="preserve"> with post-primary education. Consequently, their information may be fragmentary and </w:t>
                      </w:r>
                      <w:r>
                        <w:rPr>
                          <w:rFonts w:ascii="Times New Roman" w:hAnsi="Times New Roman"/>
                        </w:rPr>
                        <w:t xml:space="preserve">in some cases, very inaccurate. This </w:t>
                      </w:r>
                      <w:r w:rsidRPr="00442953">
                        <w:rPr>
                          <w:rFonts w:ascii="Times New Roman" w:hAnsi="Times New Roman"/>
                        </w:rPr>
                        <w:t xml:space="preserve">is likely to increase the chances </w:t>
                      </w:r>
                      <w:r>
                        <w:rPr>
                          <w:rFonts w:ascii="Times New Roman" w:hAnsi="Times New Roman"/>
                        </w:rPr>
                        <w:t>of them making</w:t>
                      </w:r>
                      <w:r w:rsidRPr="00442953">
                        <w:rPr>
                          <w:rFonts w:ascii="Times New Roman" w:hAnsi="Times New Roman"/>
                        </w:rPr>
                        <w:t xml:space="preserve"> poor decisions with respect to their </w:t>
                      </w:r>
                      <w:r>
                        <w:rPr>
                          <w:rFonts w:ascii="Times New Roman" w:hAnsi="Times New Roman"/>
                        </w:rPr>
                        <w:t>girls’</w:t>
                      </w:r>
                      <w:r w:rsidRPr="00442953">
                        <w:rPr>
                          <w:rFonts w:ascii="Times New Roman" w:hAnsi="Times New Roman"/>
                        </w:rPr>
                        <w:t xml:space="preserve"> post-primary education.</w:t>
                      </w:r>
                    </w:p>
                    <w:p w14:paraId="0B024845" w14:textId="77777777" w:rsidR="002E5195" w:rsidRPr="00442953" w:rsidRDefault="002E5195" w:rsidP="00442953">
                      <w:pPr>
                        <w:spacing w:after="0" w:line="240" w:lineRule="auto"/>
                        <w:jc w:val="both"/>
                        <w:rPr>
                          <w:rFonts w:ascii="Times New Roman" w:hAnsi="Times New Roman"/>
                        </w:rPr>
                      </w:pPr>
                    </w:p>
                    <w:p w14:paraId="6344319E" w14:textId="77777777" w:rsidR="002E5195" w:rsidRPr="00594D2D" w:rsidRDefault="002E5195" w:rsidP="00594D2D">
                      <w:pPr>
                        <w:spacing w:after="0" w:line="240" w:lineRule="auto"/>
                        <w:jc w:val="both"/>
                        <w:rPr>
                          <w:rFonts w:ascii="Times New Roman" w:hAnsi="Times New Roman"/>
                        </w:rPr>
                      </w:pPr>
                    </w:p>
                    <w:p w14:paraId="0B8652E8" w14:textId="77777777" w:rsidR="002E5195" w:rsidRPr="0077363F" w:rsidRDefault="002E5195" w:rsidP="00594D2D">
                      <w:pPr>
                        <w:spacing w:after="0" w:line="240" w:lineRule="auto"/>
                        <w:jc w:val="both"/>
                        <w:rPr>
                          <w:rFonts w:ascii="Times New Roman" w:hAnsi="Times New Roman"/>
                        </w:rPr>
                      </w:pPr>
                    </w:p>
                    <w:p w14:paraId="3B2739ED" w14:textId="77777777" w:rsidR="002E5195" w:rsidRPr="0017157D" w:rsidRDefault="002E5195" w:rsidP="00594D2D">
                      <w:pPr>
                        <w:spacing w:after="0" w:line="240" w:lineRule="auto"/>
                        <w:jc w:val="both"/>
                        <w:rPr>
                          <w:rFonts w:ascii="Times New Roman" w:hAnsi="Times New Roman"/>
                        </w:rPr>
                      </w:pPr>
                    </w:p>
                  </w:txbxContent>
                </v:textbox>
                <w10:wrap type="square"/>
              </v:shape>
            </w:pict>
          </mc:Fallback>
        </mc:AlternateContent>
      </w:r>
      <w:r w:rsidR="00CE19A7">
        <w:rPr>
          <w:rFonts w:ascii="Times New Roman" w:hAnsi="Times New Roman"/>
          <w:noProof/>
          <w:sz w:val="24"/>
          <w:szCs w:val="24"/>
          <w:lang w:val="en-US"/>
        </w:rPr>
        <mc:AlternateContent>
          <mc:Choice Requires="wpg">
            <w:drawing>
              <wp:anchor distT="0" distB="0" distL="114300" distR="114300" simplePos="0" relativeHeight="252611583" behindDoc="0" locked="0" layoutInCell="1" allowOverlap="1" wp14:anchorId="50A4ECB4" wp14:editId="49ACEF64">
                <wp:simplePos x="0" y="0"/>
                <wp:positionH relativeFrom="margin">
                  <wp:posOffset>-1087120</wp:posOffset>
                </wp:positionH>
                <wp:positionV relativeFrom="paragraph">
                  <wp:posOffset>-114300</wp:posOffset>
                </wp:positionV>
                <wp:extent cx="7648575" cy="9258300"/>
                <wp:effectExtent l="0" t="0" r="0" b="12700"/>
                <wp:wrapThrough wrapText="bothSides">
                  <wp:wrapPolygon edited="0">
                    <wp:start x="0" y="0"/>
                    <wp:lineTo x="0" y="21570"/>
                    <wp:lineTo x="21519" y="21570"/>
                    <wp:lineTo x="2151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7648575" cy="9258300"/>
                          <a:chOff x="0" y="0"/>
                          <a:chExt cx="7648575" cy="9258300"/>
                        </a:xfrm>
                        <a:extLst>
                          <a:ext uri="{0CCBE362-F206-4b92-989A-16890622DB6E}">
                            <ma14:wrappingTextBoxFlag xmlns:ma14="http://schemas.microsoft.com/office/mac/drawingml/2011/main" val="1"/>
                          </a:ext>
                        </a:extLst>
                      </wpg:grpSpPr>
                      <wps:wsp>
                        <wps:cNvPr id="732" name="Text Box 732"/>
                        <wps:cNvSpPr txBox="1"/>
                        <wps:spPr>
                          <a:xfrm>
                            <a:off x="0" y="0"/>
                            <a:ext cx="7648575" cy="9258300"/>
                          </a:xfrm>
                          <a:prstGeom prst="rect">
                            <a:avLst/>
                          </a:prstGeom>
                          <a:solidFill>
                            <a:schemeClr val="tx2">
                              <a:lumMod val="25000"/>
                              <a:lumOff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91440" y="45720"/>
                            <a:ext cx="881380" cy="9026525"/>
                          </a:xfrm>
                          <a:prstGeom prst="rect">
                            <a:avLst/>
                          </a:prstGeom>
                          <a:noFill/>
                          <a:ln>
                            <a:noFill/>
                          </a:ln>
                          <a:effectLst/>
                          <a:extLst>
                            <a:ext uri="{C572A759-6A51-4108-AA02-DFA0A04FC94B}">
                              <ma14:wrappingTextBoxFlag xmlns:ma14="http://schemas.microsoft.com/office/mac/drawingml/2011/main"/>
                            </a:ext>
                          </a:extLst>
                        </wps:spPr>
                        <wps:txbx>
                          <w:txbxContent>
                            <w:p w14:paraId="0F193158" w14:textId="77777777" w:rsidR="002E5195" w:rsidRDefault="002E5195" w:rsidP="00594D2D">
                              <w:pPr>
                                <w:ind w:left="1560"/>
                              </w:pPr>
                              <w:r>
                                <w:rPr>
                                  <w:noProof/>
                                  <w:lang w:val="en-US"/>
                                </w:rPr>
                                <w:drawing>
                                  <wp:inline distT="0" distB="0" distL="0" distR="0" wp14:anchorId="5486C221" wp14:editId="50D24F91">
                                    <wp:extent cx="5266055" cy="8872855"/>
                                    <wp:effectExtent l="0" t="0" r="0" b="0"/>
                                    <wp:docPr id="7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45" style="position:absolute;left:0;text-align:left;margin-left:-85.55pt;margin-top:-8.95pt;width:602.25pt;height:729pt;z-index:252611583;mso-position-horizontal-relative:margin" coordsize="7648575,9258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" mv:complextextbox="1">
                <v:shape id="Text Box 732" o:spid="_x0000_s1046" type="#_x0000_t202" style="position:absolute;width:7648575;height:925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8loHxQAA&#10;ANwAAAAPAAAAZHJzL2Rvd25yZXYueG1sRI9BSwMxFITvgv8hPKEXabN2wZa1aSkLQnsQtNWDt0fy&#10;3F3cvCx5abv990YQPA4z8w2z2oy+V2eK0gU28DArQBHb4DpuDLwfn6dLUJKQHfaBycCVBDbr25sV&#10;Vi5c+I3Oh9SoDGGp0ECb0lBpLbYljzILA3H2vkL0mLKMjXYRLxnuez0vikftseO80OJAdUv2+3Dy&#10;Bj7pdRT5KE7l9qW+r0tr4/4oxkzuxu0TqERj+g//tXfOwKKcw++ZfAT0+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WgfFAAAA3AAAAA8AAAAAAAAAAAAAAAAAlwIAAGRycy9k&#10;b3ducmV2LnhtbFBLBQYAAAAABAAEAPUAAACJAwAAAAA=&#10;" mv:complextextbox="1" fillcolor="#a0c6f0 [831]" stroked="f"/>
                <v:shape id="Text Box 7" o:spid="_x0000_s1047" type="#_x0000_t202" style="position:absolute;left:91440;top:45720;width:881380;height:9026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w:p w14:paraId="0F193158" w14:textId="77777777" w:rsidR="002E5195" w:rsidRDefault="002E5195" w:rsidP="00594D2D">
                        <w:pPr>
                          <w:ind w:left="1560"/>
                        </w:pPr>
                        <w:r>
                          <w:rPr>
                            <w:noProof/>
                            <w:lang w:val="en-US"/>
                          </w:rPr>
                          <w:drawing>
                            <wp:inline distT="0" distB="0" distL="0" distR="0" wp14:anchorId="5486C221" wp14:editId="50D24F91">
                              <wp:extent cx="5266055" cy="8872855"/>
                              <wp:effectExtent l="0" t="0" r="0" b="0"/>
                              <wp:docPr id="7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v:textbox>
                </v:shape>
                <w10:wrap type="through" anchorx="margin"/>
              </v:group>
            </w:pict>
          </mc:Fallback>
        </mc:AlternateContent>
      </w:r>
    </w:p>
    <w:p w14:paraId="7A90C702" w14:textId="297E0652" w:rsidR="002907AA" w:rsidRPr="002907AA" w:rsidRDefault="005B11F9" w:rsidP="002907AA">
      <w:pPr>
        <w:spacing w:after="0" w:line="360" w:lineRule="auto"/>
        <w:jc w:val="both"/>
        <w:rPr>
          <w:rFonts w:ascii="Times New Roman" w:hAnsi="Times New Roman"/>
          <w:sz w:val="12"/>
          <w:szCs w:val="12"/>
        </w:rPr>
      </w:pPr>
      <w:r>
        <w:rPr>
          <w:noProof/>
          <w:lang w:val="en-US"/>
        </w:rPr>
        <w:lastRenderedPageBreak/>
        <mc:AlternateContent>
          <mc:Choice Requires="wps">
            <w:drawing>
              <wp:anchor distT="0" distB="0" distL="114300" distR="114300" simplePos="0" relativeHeight="252633088" behindDoc="0" locked="0" layoutInCell="1" allowOverlap="1" wp14:anchorId="2002CF82" wp14:editId="1522E6A1">
                <wp:simplePos x="0" y="0"/>
                <wp:positionH relativeFrom="margin">
                  <wp:posOffset>-1087120</wp:posOffset>
                </wp:positionH>
                <wp:positionV relativeFrom="paragraph">
                  <wp:posOffset>-114300</wp:posOffset>
                </wp:positionV>
                <wp:extent cx="7648575" cy="2514600"/>
                <wp:effectExtent l="0" t="0" r="0" b="0"/>
                <wp:wrapThrough wrapText="bothSides">
                  <wp:wrapPolygon edited="0">
                    <wp:start x="0" y="0"/>
                    <wp:lineTo x="0" y="21382"/>
                    <wp:lineTo x="21519" y="21382"/>
                    <wp:lineTo x="21519" y="0"/>
                    <wp:lineTo x="0" y="0"/>
                  </wp:wrapPolygon>
                </wp:wrapThrough>
                <wp:docPr id="1797" name="Text Box 1797"/>
                <wp:cNvGraphicFramePr/>
                <a:graphic xmlns:a="http://schemas.openxmlformats.org/drawingml/2006/main">
                  <a:graphicData uri="http://schemas.microsoft.com/office/word/2010/wordprocessingShape">
                    <wps:wsp>
                      <wps:cNvSpPr txBox="1"/>
                      <wps:spPr>
                        <a:xfrm>
                          <a:off x="0" y="0"/>
                          <a:ext cx="7648575" cy="2514600"/>
                        </a:xfrm>
                        <a:prstGeom prst="rect">
                          <a:avLst/>
                        </a:prstGeom>
                        <a:solidFill>
                          <a:schemeClr val="tx2">
                            <a:lumMod val="25000"/>
                            <a:lumOff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BA8449" w14:textId="77777777" w:rsidR="002E5195" w:rsidRDefault="002E5195" w:rsidP="0077363F">
                            <w:pPr>
                              <w:ind w:left="1560"/>
                            </w:pPr>
                            <w:r>
                              <w:rPr>
                                <w:noProof/>
                                <w:lang w:val="en-US"/>
                              </w:rPr>
                              <w:drawing>
                                <wp:inline distT="0" distB="0" distL="0" distR="0" wp14:anchorId="1DDA7588" wp14:editId="60DB9462">
                                  <wp:extent cx="5266055" cy="8872855"/>
                                  <wp:effectExtent l="0" t="0" r="0" b="0"/>
                                  <wp:docPr id="7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97" o:spid="_x0000_s1048" type="#_x0000_t202" style="position:absolute;left:0;text-align:left;margin-left:-85.55pt;margin-top:-8.95pt;width:602.25pt;height:198pt;z-index:25263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" mv:complextextbox="1" fillcolor="#a0c6f0 [831]" stroked="f">
                <v:textbox>
                  <w:txbxContent>
                    <w:p w14:paraId="4BBA8449" w14:textId="77777777" w:rsidR="002E5195" w:rsidRDefault="002E5195" w:rsidP="0077363F">
                      <w:pPr>
                        <w:ind w:left="1560"/>
                      </w:pPr>
                      <w:r>
                        <w:rPr>
                          <w:noProof/>
                          <w:lang w:val="en-US"/>
                        </w:rPr>
                        <w:drawing>
                          <wp:inline distT="0" distB="0" distL="0" distR="0" wp14:anchorId="1DDA7588" wp14:editId="60DB9462">
                            <wp:extent cx="5266055" cy="8872855"/>
                            <wp:effectExtent l="0" t="0" r="0" b="0"/>
                            <wp:docPr id="7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v:textbox>
                <w10:wrap type="through" anchorx="margin"/>
              </v:shape>
            </w:pict>
          </mc:Fallback>
        </mc:AlternateContent>
      </w:r>
      <w:r>
        <w:rPr>
          <w:noProof/>
          <w:lang w:val="en-US"/>
        </w:rPr>
        <mc:AlternateContent>
          <mc:Choice Requires="wps">
            <w:drawing>
              <wp:anchor distT="0" distB="0" distL="114300" distR="114300" simplePos="0" relativeHeight="252635136" behindDoc="0" locked="0" layoutInCell="1" allowOverlap="1" wp14:anchorId="6D2BF54E" wp14:editId="75A32AF7">
                <wp:simplePos x="0" y="0"/>
                <wp:positionH relativeFrom="column">
                  <wp:posOffset>-139700</wp:posOffset>
                </wp:positionH>
                <wp:positionV relativeFrom="paragraph">
                  <wp:posOffset>-114300</wp:posOffset>
                </wp:positionV>
                <wp:extent cx="5657850" cy="2514600"/>
                <wp:effectExtent l="0" t="0" r="0" b="0"/>
                <wp:wrapSquare wrapText="bothSides"/>
                <wp:docPr id="1802" name="Text Box 1802"/>
                <wp:cNvGraphicFramePr/>
                <a:graphic xmlns:a="http://schemas.openxmlformats.org/drawingml/2006/main">
                  <a:graphicData uri="http://schemas.microsoft.com/office/word/2010/wordprocessingShape">
                    <wps:wsp>
                      <wps:cNvSpPr txBox="1"/>
                      <wps:spPr>
                        <a:xfrm>
                          <a:off x="0" y="0"/>
                          <a:ext cx="565785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AD8131" w14:textId="730B1456" w:rsidR="002E5195" w:rsidRPr="00442953" w:rsidRDefault="002E5195" w:rsidP="00A74098">
                            <w:pPr>
                              <w:spacing w:after="0" w:line="240" w:lineRule="auto"/>
                              <w:jc w:val="both"/>
                              <w:rPr>
                                <w:rFonts w:ascii="Times New Roman" w:hAnsi="Times New Roman"/>
                                <w:b/>
                              </w:rPr>
                            </w:pPr>
                            <w:r w:rsidRPr="00442953">
                              <w:rPr>
                                <w:rFonts w:ascii="Times New Roman" w:hAnsi="Times New Roman"/>
                                <w:b/>
                              </w:rPr>
                              <w:t xml:space="preserve">5. </w:t>
                            </w:r>
                            <w:proofErr w:type="spellStart"/>
                            <w:r w:rsidRPr="00442953">
                              <w:rPr>
                                <w:rFonts w:ascii="Times New Roman" w:hAnsi="Times New Roman"/>
                                <w:b/>
                              </w:rPr>
                              <w:t>Brac</w:t>
                            </w:r>
                            <w:proofErr w:type="spellEnd"/>
                            <w:r w:rsidRPr="00442953">
                              <w:rPr>
                                <w:rFonts w:ascii="Times New Roman" w:hAnsi="Times New Roman"/>
                                <w:b/>
                              </w:rPr>
                              <w:t xml:space="preserve"> ultra-poor graduation program</w:t>
                            </w:r>
                          </w:p>
                          <w:p w14:paraId="01B2F6AA" w14:textId="48397747" w:rsidR="002E5195" w:rsidRPr="00442953" w:rsidRDefault="002E5195" w:rsidP="00A74098">
                            <w:pPr>
                              <w:spacing w:after="0" w:line="240" w:lineRule="auto"/>
                              <w:jc w:val="both"/>
                              <w:rPr>
                                <w:rFonts w:ascii="Times New Roman" w:hAnsi="Times New Roman"/>
                              </w:rPr>
                            </w:pPr>
                            <w:r w:rsidRPr="00442953">
                              <w:rPr>
                                <w:rFonts w:ascii="Times New Roman" w:hAnsi="Times New Roman"/>
                              </w:rPr>
                              <w:t xml:space="preserve">People living in ultra-poverty are confronted by many interconnected and cyclical problems. They have little or no land or productive assets and, simultaneously struggle to cope with food shortages, poor health, social stigma, and lack of basic services </w:t>
                            </w:r>
                            <w:r>
                              <w:rPr>
                                <w:rFonts w:ascii="Times New Roman" w:hAnsi="Times New Roman"/>
                              </w:rPr>
                              <w:t>like</w:t>
                            </w:r>
                            <w:r w:rsidRPr="00442953">
                              <w:rPr>
                                <w:rFonts w:ascii="Times New Roman" w:hAnsi="Times New Roman"/>
                              </w:rPr>
                              <w:t xml:space="preserve"> clean water and sanitation. They are also mostly excluded from social services and healthcare, generally live in remote areas disconnected from markets, and are often unable to work due to prolonged illnesses or disability in the family. These realities surely weigh on the education of their children, especially girls. Unfortunately, conve</w:t>
                            </w:r>
                            <w:r>
                              <w:rPr>
                                <w:rFonts w:ascii="Times New Roman" w:hAnsi="Times New Roman"/>
                              </w:rPr>
                              <w:t>ntional development programs</w:t>
                            </w:r>
                            <w:r w:rsidRPr="00442953">
                              <w:rPr>
                                <w:rFonts w:ascii="Times New Roman" w:hAnsi="Times New Roman"/>
                              </w:rPr>
                              <w:t xml:space="preserve"> have not been a</w:t>
                            </w:r>
                            <w:r>
                              <w:rPr>
                                <w:rFonts w:ascii="Times New Roman" w:hAnsi="Times New Roman"/>
                              </w:rPr>
                              <w:t xml:space="preserve">ble to cope with these complex and </w:t>
                            </w:r>
                            <w:r w:rsidRPr="00442953">
                              <w:rPr>
                                <w:rFonts w:ascii="Times New Roman" w:hAnsi="Times New Roman"/>
                              </w:rPr>
                              <w:t xml:space="preserve">interrelated needs. To address this, the </w:t>
                            </w:r>
                            <w:proofErr w:type="spellStart"/>
                            <w:r>
                              <w:rPr>
                                <w:rFonts w:ascii="Times New Roman" w:hAnsi="Times New Roman"/>
                              </w:rPr>
                              <w:t>Brac</w:t>
                            </w:r>
                            <w:proofErr w:type="spellEnd"/>
                            <w:r>
                              <w:rPr>
                                <w:rFonts w:ascii="Times New Roman" w:hAnsi="Times New Roman"/>
                              </w:rPr>
                              <w:t xml:space="preserve"> </w:t>
                            </w:r>
                            <w:r w:rsidRPr="00442953">
                              <w:rPr>
                                <w:rFonts w:ascii="Times New Roman" w:hAnsi="Times New Roman"/>
                              </w:rPr>
                              <w:t>Graduation Approach (</w:t>
                            </w:r>
                            <w:r>
                              <w:rPr>
                                <w:rFonts w:ascii="Times New Roman" w:hAnsi="Times New Roman"/>
                              </w:rPr>
                              <w:t>B</w:t>
                            </w:r>
                            <w:r w:rsidRPr="00442953">
                              <w:rPr>
                                <w:rFonts w:ascii="Times New Roman" w:hAnsi="Times New Roman"/>
                              </w:rPr>
                              <w:t>GA), which is a globally recognized model for innovative and holistic solution to ultra-poverty, was pioneered.</w:t>
                            </w:r>
                          </w:p>
                          <w:p w14:paraId="4A99469F" w14:textId="77777777" w:rsidR="002E5195" w:rsidRPr="00442953" w:rsidRDefault="002E5195" w:rsidP="00A74098">
                            <w:pPr>
                              <w:spacing w:after="0" w:line="240" w:lineRule="auto"/>
                              <w:jc w:val="both"/>
                              <w:rPr>
                                <w:rFonts w:ascii="Times New Roman" w:hAnsi="Times New Roman"/>
                              </w:rPr>
                            </w:pPr>
                          </w:p>
                          <w:p w14:paraId="75370F62" w14:textId="2DA7BBDF" w:rsidR="002E5195" w:rsidRPr="00442953" w:rsidRDefault="002E5195" w:rsidP="00A74098">
                            <w:pPr>
                              <w:spacing w:after="0" w:line="240" w:lineRule="auto"/>
                              <w:jc w:val="both"/>
                              <w:rPr>
                                <w:rFonts w:ascii="Times New Roman" w:hAnsi="Times New Roman"/>
                              </w:rPr>
                            </w:pPr>
                            <w:r>
                              <w:rPr>
                                <w:rFonts w:ascii="Times New Roman" w:hAnsi="Times New Roman"/>
                              </w:rPr>
                              <w:t>B</w:t>
                            </w:r>
                            <w:r w:rsidRPr="00442953">
                              <w:rPr>
                                <w:rFonts w:ascii="Times New Roman" w:hAnsi="Times New Roman"/>
                              </w:rPr>
                              <w:t>GA is a comprehensive, time-bound, integrated</w:t>
                            </w:r>
                            <w:r>
                              <w:rPr>
                                <w:rFonts w:ascii="Times New Roman" w:hAnsi="Times New Roman"/>
                              </w:rPr>
                              <w:t>,</w:t>
                            </w:r>
                            <w:r w:rsidRPr="00442953">
                              <w:rPr>
                                <w:rFonts w:ascii="Times New Roman" w:hAnsi="Times New Roman"/>
                              </w:rPr>
                              <w:t xml:space="preserve"> and sequenced set of interventions that seek to enable extreme and ultra-poor households achieve livelihoods and socioeconomic resilience, in order to progress along a</w:t>
                            </w:r>
                            <w:r>
                              <w:rPr>
                                <w:rFonts w:ascii="Times New Roman" w:hAnsi="Times New Roman"/>
                              </w:rPr>
                              <w:t>n informed</w:t>
                            </w:r>
                            <w:r w:rsidRPr="00442953">
                              <w:rPr>
                                <w:rFonts w:ascii="Times New Roman" w:hAnsi="Times New Roman"/>
                              </w:rPr>
                              <w:t xml:space="preserve"> pathway out of extreme poverty. The approach entails livelihoods promotion, social protection, financial inclusion, and social empowerment.</w:t>
                            </w:r>
                          </w:p>
                          <w:p w14:paraId="5C5CA99F" w14:textId="4690361C" w:rsidR="002E5195" w:rsidRPr="00063664" w:rsidRDefault="002E5195" w:rsidP="00956455">
                            <w:pPr>
                              <w:pStyle w:val="ListParagraph"/>
                              <w:spacing w:after="0" w:line="240" w:lineRule="auto"/>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2" o:spid="_x0000_s1049" type="#_x0000_t202" style="position:absolute;left:0;text-align:left;margin-left:-10.95pt;margin-top:-8.95pt;width:445.5pt;height:198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" filled="f" stroked="f">
                <v:textbox>
                  <w:txbxContent>
                    <w:p w14:paraId="49AD8131" w14:textId="730B1456" w:rsidR="002E5195" w:rsidRPr="00442953" w:rsidRDefault="002E5195" w:rsidP="00A74098">
                      <w:pPr>
                        <w:spacing w:after="0" w:line="240" w:lineRule="auto"/>
                        <w:jc w:val="both"/>
                        <w:rPr>
                          <w:rFonts w:ascii="Times New Roman" w:hAnsi="Times New Roman"/>
                          <w:b/>
                        </w:rPr>
                      </w:pPr>
                      <w:r w:rsidRPr="00442953">
                        <w:rPr>
                          <w:rFonts w:ascii="Times New Roman" w:hAnsi="Times New Roman"/>
                          <w:b/>
                        </w:rPr>
                        <w:t xml:space="preserve">5. </w:t>
                      </w:r>
                      <w:proofErr w:type="spellStart"/>
                      <w:r w:rsidRPr="00442953">
                        <w:rPr>
                          <w:rFonts w:ascii="Times New Roman" w:hAnsi="Times New Roman"/>
                          <w:b/>
                        </w:rPr>
                        <w:t>Brac</w:t>
                      </w:r>
                      <w:proofErr w:type="spellEnd"/>
                      <w:r w:rsidRPr="00442953">
                        <w:rPr>
                          <w:rFonts w:ascii="Times New Roman" w:hAnsi="Times New Roman"/>
                          <w:b/>
                        </w:rPr>
                        <w:t xml:space="preserve"> ultra-poor graduation program</w:t>
                      </w:r>
                    </w:p>
                    <w:p w14:paraId="01B2F6AA" w14:textId="48397747" w:rsidR="002E5195" w:rsidRPr="00442953" w:rsidRDefault="002E5195" w:rsidP="00A74098">
                      <w:pPr>
                        <w:spacing w:after="0" w:line="240" w:lineRule="auto"/>
                        <w:jc w:val="both"/>
                        <w:rPr>
                          <w:rFonts w:ascii="Times New Roman" w:hAnsi="Times New Roman"/>
                        </w:rPr>
                      </w:pPr>
                      <w:r w:rsidRPr="00442953">
                        <w:rPr>
                          <w:rFonts w:ascii="Times New Roman" w:hAnsi="Times New Roman"/>
                        </w:rPr>
                        <w:t xml:space="preserve">People living in ultra-poverty are confronted by many interconnected and cyclical problems. They have little or no land or productive assets and, simultaneously struggle to cope with food shortages, poor health, social stigma, and lack of basic services </w:t>
                      </w:r>
                      <w:r>
                        <w:rPr>
                          <w:rFonts w:ascii="Times New Roman" w:hAnsi="Times New Roman"/>
                        </w:rPr>
                        <w:t>like</w:t>
                      </w:r>
                      <w:r w:rsidRPr="00442953">
                        <w:rPr>
                          <w:rFonts w:ascii="Times New Roman" w:hAnsi="Times New Roman"/>
                        </w:rPr>
                        <w:t xml:space="preserve"> clean water and sanitation. They are also mostly excluded from social services and healthcare, generally live in remote areas disconnected from markets, and are often unable to work due to prolonged illnesses or disability in the family. These realities surely weigh on the education of their children, especially girls. Unfortunately, conve</w:t>
                      </w:r>
                      <w:r>
                        <w:rPr>
                          <w:rFonts w:ascii="Times New Roman" w:hAnsi="Times New Roman"/>
                        </w:rPr>
                        <w:t>ntional development programs</w:t>
                      </w:r>
                      <w:r w:rsidRPr="00442953">
                        <w:rPr>
                          <w:rFonts w:ascii="Times New Roman" w:hAnsi="Times New Roman"/>
                        </w:rPr>
                        <w:t xml:space="preserve"> have not been a</w:t>
                      </w:r>
                      <w:r>
                        <w:rPr>
                          <w:rFonts w:ascii="Times New Roman" w:hAnsi="Times New Roman"/>
                        </w:rPr>
                        <w:t xml:space="preserve">ble to cope with these complex and </w:t>
                      </w:r>
                      <w:r w:rsidRPr="00442953">
                        <w:rPr>
                          <w:rFonts w:ascii="Times New Roman" w:hAnsi="Times New Roman"/>
                        </w:rPr>
                        <w:t xml:space="preserve">interrelated needs. To address this, the </w:t>
                      </w:r>
                      <w:proofErr w:type="spellStart"/>
                      <w:r>
                        <w:rPr>
                          <w:rFonts w:ascii="Times New Roman" w:hAnsi="Times New Roman"/>
                        </w:rPr>
                        <w:t>Brac</w:t>
                      </w:r>
                      <w:proofErr w:type="spellEnd"/>
                      <w:r>
                        <w:rPr>
                          <w:rFonts w:ascii="Times New Roman" w:hAnsi="Times New Roman"/>
                        </w:rPr>
                        <w:t xml:space="preserve"> </w:t>
                      </w:r>
                      <w:r w:rsidRPr="00442953">
                        <w:rPr>
                          <w:rFonts w:ascii="Times New Roman" w:hAnsi="Times New Roman"/>
                        </w:rPr>
                        <w:t>Graduation Approach (</w:t>
                      </w:r>
                      <w:r>
                        <w:rPr>
                          <w:rFonts w:ascii="Times New Roman" w:hAnsi="Times New Roman"/>
                        </w:rPr>
                        <w:t>B</w:t>
                      </w:r>
                      <w:r w:rsidRPr="00442953">
                        <w:rPr>
                          <w:rFonts w:ascii="Times New Roman" w:hAnsi="Times New Roman"/>
                        </w:rPr>
                        <w:t>GA), which is a globally recognized model for innovative and holistic solution to ultra-poverty, was pioneered.</w:t>
                      </w:r>
                    </w:p>
                    <w:p w14:paraId="4A99469F" w14:textId="77777777" w:rsidR="002E5195" w:rsidRPr="00442953" w:rsidRDefault="002E5195" w:rsidP="00A74098">
                      <w:pPr>
                        <w:spacing w:after="0" w:line="240" w:lineRule="auto"/>
                        <w:jc w:val="both"/>
                        <w:rPr>
                          <w:rFonts w:ascii="Times New Roman" w:hAnsi="Times New Roman"/>
                        </w:rPr>
                      </w:pPr>
                    </w:p>
                    <w:p w14:paraId="75370F62" w14:textId="2DA7BBDF" w:rsidR="002E5195" w:rsidRPr="00442953" w:rsidRDefault="002E5195" w:rsidP="00A74098">
                      <w:pPr>
                        <w:spacing w:after="0" w:line="240" w:lineRule="auto"/>
                        <w:jc w:val="both"/>
                        <w:rPr>
                          <w:rFonts w:ascii="Times New Roman" w:hAnsi="Times New Roman"/>
                        </w:rPr>
                      </w:pPr>
                      <w:r>
                        <w:rPr>
                          <w:rFonts w:ascii="Times New Roman" w:hAnsi="Times New Roman"/>
                        </w:rPr>
                        <w:t>B</w:t>
                      </w:r>
                      <w:r w:rsidRPr="00442953">
                        <w:rPr>
                          <w:rFonts w:ascii="Times New Roman" w:hAnsi="Times New Roman"/>
                        </w:rPr>
                        <w:t>GA is a comprehensive, time-bound, integrated</w:t>
                      </w:r>
                      <w:r>
                        <w:rPr>
                          <w:rFonts w:ascii="Times New Roman" w:hAnsi="Times New Roman"/>
                        </w:rPr>
                        <w:t>,</w:t>
                      </w:r>
                      <w:r w:rsidRPr="00442953">
                        <w:rPr>
                          <w:rFonts w:ascii="Times New Roman" w:hAnsi="Times New Roman"/>
                        </w:rPr>
                        <w:t xml:space="preserve"> and sequenced set of interventions that seek to enable extreme and ultra-poor households achieve livelihoods and socioeconomic resilience, in order to progress along a</w:t>
                      </w:r>
                      <w:r>
                        <w:rPr>
                          <w:rFonts w:ascii="Times New Roman" w:hAnsi="Times New Roman"/>
                        </w:rPr>
                        <w:t>n informed</w:t>
                      </w:r>
                      <w:r w:rsidRPr="00442953">
                        <w:rPr>
                          <w:rFonts w:ascii="Times New Roman" w:hAnsi="Times New Roman"/>
                        </w:rPr>
                        <w:t xml:space="preserve"> pathway out of extreme poverty. The approach entails livelihoods promotion, social protection, financial inclusion, and social empowerment.</w:t>
                      </w:r>
                    </w:p>
                    <w:p w14:paraId="5C5CA99F" w14:textId="4690361C" w:rsidR="002E5195" w:rsidRPr="00063664" w:rsidRDefault="002E5195" w:rsidP="00956455">
                      <w:pPr>
                        <w:pStyle w:val="ListParagraph"/>
                        <w:spacing w:after="0" w:line="240" w:lineRule="auto"/>
                        <w:jc w:val="both"/>
                        <w:rPr>
                          <w:rFonts w:ascii="Times New Roman" w:hAnsi="Times New Roman"/>
                        </w:rPr>
                      </w:pPr>
                    </w:p>
                  </w:txbxContent>
                </v:textbox>
                <w10:wrap type="square"/>
              </v:shape>
            </w:pict>
          </mc:Fallback>
        </mc:AlternateContent>
      </w:r>
    </w:p>
    <w:p w14:paraId="3C0BDA34" w14:textId="38681890" w:rsidR="002907AA" w:rsidRDefault="002907AA" w:rsidP="002907AA">
      <w:pPr>
        <w:spacing w:after="0" w:line="360" w:lineRule="auto"/>
        <w:jc w:val="both"/>
        <w:rPr>
          <w:rFonts w:ascii="Times New Roman" w:hAnsi="Times New Roman"/>
        </w:rPr>
      </w:pPr>
      <w:r>
        <w:rPr>
          <w:rFonts w:ascii="Times New Roman" w:hAnsi="Times New Roman"/>
        </w:rPr>
        <w:t>1.2.2 Economic Empowerment</w:t>
      </w:r>
    </w:p>
    <w:p w14:paraId="75803390" w14:textId="77777777" w:rsidR="008F72C3" w:rsidRDefault="00304C7F" w:rsidP="002907AA">
      <w:pPr>
        <w:spacing w:after="0" w:line="360" w:lineRule="auto"/>
        <w:jc w:val="both"/>
        <w:rPr>
          <w:rFonts w:ascii="Times New Roman" w:hAnsi="Times New Roman"/>
        </w:rPr>
      </w:pPr>
      <w:r>
        <w:rPr>
          <w:rFonts w:ascii="Times New Roman" w:hAnsi="Times New Roman"/>
        </w:rPr>
        <w:t xml:space="preserve">Children often value and seek to excel in education upon seeing how education has helped their parents/guardians and older siblings. </w:t>
      </w:r>
      <w:r w:rsidR="00920F14">
        <w:rPr>
          <w:rFonts w:ascii="Times New Roman" w:hAnsi="Times New Roman"/>
        </w:rPr>
        <w:t xml:space="preserve">A study by Aga Khan University </w:t>
      </w:r>
      <w:r w:rsidR="005D4862">
        <w:rPr>
          <w:rFonts w:ascii="Times New Roman" w:hAnsi="Times New Roman"/>
        </w:rPr>
        <w:t>on the education dividend among young people in Kenya established that 78% had attained post-primary education, 39% had post-secondary education, and only 22% had primary education as the highest level of education</w:t>
      </w:r>
      <w:sdt>
        <w:sdtPr>
          <w:rPr>
            <w:rFonts w:ascii="Times New Roman" w:hAnsi="Times New Roman"/>
          </w:rPr>
          <w:id w:val="703293994"/>
          <w:citation/>
        </w:sdtPr>
        <w:sdtEndPr/>
        <w:sdtContent>
          <w:r w:rsidR="005D4862">
            <w:rPr>
              <w:rFonts w:ascii="Times New Roman" w:hAnsi="Times New Roman"/>
            </w:rPr>
            <w:fldChar w:fldCharType="begin"/>
          </w:r>
          <w:r w:rsidR="005D4862">
            <w:rPr>
              <w:rFonts w:ascii="Times New Roman" w:hAnsi="Times New Roman"/>
              <w:lang w:val="en-US"/>
            </w:rPr>
            <w:instrText xml:space="preserve"> CITATION Aga16 \l 1033 </w:instrText>
          </w:r>
          <w:r w:rsidR="005D4862">
            <w:rPr>
              <w:rFonts w:ascii="Times New Roman" w:hAnsi="Times New Roman"/>
            </w:rPr>
            <w:fldChar w:fldCharType="separate"/>
          </w:r>
          <w:r w:rsidR="00F845CA">
            <w:rPr>
              <w:rFonts w:ascii="Times New Roman" w:hAnsi="Times New Roman"/>
              <w:noProof/>
              <w:lang w:val="en-US"/>
            </w:rPr>
            <w:t xml:space="preserve"> </w:t>
          </w:r>
          <w:r w:rsidR="00F845CA" w:rsidRPr="00F845CA">
            <w:rPr>
              <w:rFonts w:ascii="Times New Roman" w:hAnsi="Times New Roman"/>
              <w:noProof/>
              <w:lang w:val="en-US"/>
            </w:rPr>
            <w:t>(Aga Khan University, 2016)</w:t>
          </w:r>
          <w:r w:rsidR="005D4862">
            <w:rPr>
              <w:rFonts w:ascii="Times New Roman" w:hAnsi="Times New Roman"/>
            </w:rPr>
            <w:fldChar w:fldCharType="end"/>
          </w:r>
        </w:sdtContent>
      </w:sdt>
      <w:r w:rsidR="005D4862">
        <w:rPr>
          <w:rFonts w:ascii="Times New Roman" w:hAnsi="Times New Roman"/>
        </w:rPr>
        <w:t xml:space="preserve">. </w:t>
      </w:r>
    </w:p>
    <w:p w14:paraId="08B319D9" w14:textId="77777777" w:rsidR="008F72C3" w:rsidRPr="008F72C3" w:rsidRDefault="008F72C3" w:rsidP="002907AA">
      <w:pPr>
        <w:spacing w:after="0" w:line="360" w:lineRule="auto"/>
        <w:jc w:val="both"/>
        <w:rPr>
          <w:rFonts w:ascii="Times New Roman" w:hAnsi="Times New Roman"/>
          <w:sz w:val="12"/>
          <w:szCs w:val="12"/>
        </w:rPr>
      </w:pPr>
    </w:p>
    <w:p w14:paraId="2F3470E5" w14:textId="20AB8DB5" w:rsidR="003167B2" w:rsidRDefault="005D4862" w:rsidP="002907AA">
      <w:pPr>
        <w:spacing w:after="0" w:line="360" w:lineRule="auto"/>
        <w:jc w:val="both"/>
        <w:rPr>
          <w:rFonts w:ascii="Times New Roman" w:hAnsi="Times New Roman"/>
        </w:rPr>
      </w:pPr>
      <w:r>
        <w:rPr>
          <w:rFonts w:ascii="Times New Roman" w:hAnsi="Times New Roman"/>
        </w:rPr>
        <w:t xml:space="preserve">With young people constituting 80% of Kenya’s population, the findings on the country’s education dividend means that the country has the best-educated generation. Yet, unemployment remains Kenya’s leading economic policy challenge, with unemployment among young people estimated to be double the 12.7% national level unemployment. </w:t>
      </w:r>
      <w:r w:rsidR="00304C7F">
        <w:rPr>
          <w:rFonts w:ascii="Times New Roman" w:hAnsi="Times New Roman"/>
        </w:rPr>
        <w:t>When</w:t>
      </w:r>
      <w:r w:rsidR="003167B2">
        <w:rPr>
          <w:rFonts w:ascii="Times New Roman" w:hAnsi="Times New Roman"/>
        </w:rPr>
        <w:t xml:space="preserve"> parents/guardians and older siblings who pursued education and excelled are unemployed or economically unproductive, it triggers autocatalytic cycles that discourage hard work by children in school.</w:t>
      </w:r>
      <w:r w:rsidR="008F72C3">
        <w:rPr>
          <w:rFonts w:ascii="Times New Roman" w:hAnsi="Times New Roman"/>
        </w:rPr>
        <w:t xml:space="preserve"> This could be cured through ruthless support for youth entrepreneurship.</w:t>
      </w:r>
    </w:p>
    <w:p w14:paraId="3CC30535" w14:textId="77777777" w:rsidR="008F72C3" w:rsidRPr="008F72C3" w:rsidRDefault="008F72C3" w:rsidP="002907AA">
      <w:pPr>
        <w:spacing w:after="0" w:line="360" w:lineRule="auto"/>
        <w:jc w:val="both"/>
        <w:rPr>
          <w:rFonts w:ascii="Times New Roman" w:hAnsi="Times New Roman"/>
          <w:sz w:val="12"/>
          <w:szCs w:val="12"/>
        </w:rPr>
      </w:pPr>
    </w:p>
    <w:p w14:paraId="492AEE03" w14:textId="6608162F" w:rsidR="00920F14" w:rsidRDefault="00B37653" w:rsidP="00B37653">
      <w:pPr>
        <w:spacing w:after="0" w:line="360" w:lineRule="auto"/>
        <w:jc w:val="both"/>
        <w:rPr>
          <w:rFonts w:ascii="Times New Roman" w:hAnsi="Times New Roman"/>
        </w:rPr>
      </w:pPr>
      <w:r>
        <w:rPr>
          <w:noProof/>
          <w:lang w:val="en-US"/>
        </w:rPr>
        <mc:AlternateContent>
          <mc:Choice Requires="wps">
            <w:drawing>
              <wp:anchor distT="0" distB="0" distL="114300" distR="114300" simplePos="0" relativeHeight="252727296" behindDoc="0" locked="0" layoutInCell="1" allowOverlap="1" wp14:anchorId="29808C10" wp14:editId="7B3800EF">
                <wp:simplePos x="0" y="0"/>
                <wp:positionH relativeFrom="column">
                  <wp:posOffset>-69850</wp:posOffset>
                </wp:positionH>
                <wp:positionV relativeFrom="paragraph">
                  <wp:posOffset>1159510</wp:posOffset>
                </wp:positionV>
                <wp:extent cx="5657850" cy="2057400"/>
                <wp:effectExtent l="0" t="0" r="0" b="0"/>
                <wp:wrapSquare wrapText="bothSides"/>
                <wp:docPr id="1099" name="Text Box 1099"/>
                <wp:cNvGraphicFramePr/>
                <a:graphic xmlns:a="http://schemas.openxmlformats.org/drawingml/2006/main">
                  <a:graphicData uri="http://schemas.microsoft.com/office/word/2010/wordprocessingShape">
                    <wps:wsp>
                      <wps:cNvSpPr txBox="1"/>
                      <wps:spPr>
                        <a:xfrm>
                          <a:off x="0" y="0"/>
                          <a:ext cx="565785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DCB0F" w14:textId="6DC3C9C0" w:rsidR="002E5195" w:rsidRPr="006C6460" w:rsidRDefault="002E5195" w:rsidP="00B37653">
                            <w:pPr>
                              <w:spacing w:after="0" w:line="240" w:lineRule="auto"/>
                              <w:jc w:val="both"/>
                              <w:rPr>
                                <w:rFonts w:ascii="Times New Roman" w:hAnsi="Times New Roman"/>
                                <w:b/>
                                <w:color w:val="FF0000"/>
                              </w:rPr>
                            </w:pPr>
                            <w:r w:rsidRPr="006C6460">
                              <w:rPr>
                                <w:rFonts w:ascii="Times New Roman" w:hAnsi="Times New Roman"/>
                                <w:b/>
                                <w:color w:val="FF0000"/>
                              </w:rPr>
                              <w:t>KEY ISSUE</w:t>
                            </w:r>
                          </w:p>
                          <w:p w14:paraId="433D2519" w14:textId="77777777" w:rsidR="002E5195" w:rsidRDefault="002E5195" w:rsidP="00B37653">
                            <w:pPr>
                              <w:spacing w:after="0" w:line="240" w:lineRule="auto"/>
                              <w:jc w:val="both"/>
                              <w:rPr>
                                <w:rFonts w:ascii="Times New Roman" w:hAnsi="Times New Roman"/>
                              </w:rPr>
                            </w:pPr>
                            <w:r>
                              <w:rPr>
                                <w:rFonts w:ascii="Times New Roman" w:hAnsi="Times New Roman"/>
                                <w:b/>
                              </w:rPr>
                              <w:t>Employment:</w:t>
                            </w:r>
                            <w:r>
                              <w:rPr>
                                <w:rFonts w:ascii="Times New Roman" w:hAnsi="Times New Roman"/>
                              </w:rPr>
                              <w:t xml:space="preserve"> Aga Khan University (2016) established that, overall, unemployment among youth in Kenya to be 55%. It was highest among women (62%), and even higher among rural women (68%). Employment rates were lowest among those without post-secondary education (15%). By comparison, 32% of those with post-secondary education were unemployed. 1 in 2 graduates were unemployed and, only 1 in 5 youth with university degrees were in self-employment. Youth aged between 18 and 25 were twice more likely to be unemployed compared to their counterparts aged 26 to 35 years.</w:t>
                            </w:r>
                          </w:p>
                          <w:p w14:paraId="7028FF44" w14:textId="77777777" w:rsidR="002E5195" w:rsidRDefault="002E5195" w:rsidP="00B37653">
                            <w:pPr>
                              <w:spacing w:after="0" w:line="240" w:lineRule="auto"/>
                              <w:jc w:val="both"/>
                              <w:rPr>
                                <w:rFonts w:ascii="Times New Roman" w:hAnsi="Times New Roman"/>
                              </w:rPr>
                            </w:pPr>
                          </w:p>
                          <w:p w14:paraId="2E88DB4B" w14:textId="25C359C5" w:rsidR="002E5195" w:rsidRDefault="002E5195" w:rsidP="00B37653">
                            <w:pPr>
                              <w:spacing w:after="0" w:line="240" w:lineRule="auto"/>
                              <w:jc w:val="both"/>
                              <w:rPr>
                                <w:rFonts w:ascii="Times New Roman" w:hAnsi="Times New Roman"/>
                              </w:rPr>
                            </w:pPr>
                            <w:r>
                              <w:rPr>
                                <w:rFonts w:ascii="Times New Roman" w:hAnsi="Times New Roman"/>
                              </w:rPr>
                              <w:t>A recent analysis by</w:t>
                            </w:r>
                            <w:r>
                              <w:rPr>
                                <w:rFonts w:ascii="Times New Roman" w:hAnsi="Times New Roman"/>
                                <w:noProof/>
                                <w:lang w:val="en-US"/>
                              </w:rPr>
                              <w:t xml:space="preserve"> The </w:t>
                            </w:r>
                            <w:r w:rsidRPr="007902C2">
                              <w:rPr>
                                <w:rFonts w:ascii="Times New Roman" w:hAnsi="Times New Roman"/>
                                <w:noProof/>
                                <w:lang w:val="en-US"/>
                              </w:rPr>
                              <w:t>World Bank</w:t>
                            </w:r>
                            <w:r>
                              <w:rPr>
                                <w:rFonts w:ascii="Times New Roman" w:hAnsi="Times New Roman"/>
                                <w:noProof/>
                                <w:lang w:val="en-US"/>
                              </w:rPr>
                              <w:t xml:space="preserve"> (</w:t>
                            </w:r>
                            <w:r w:rsidRPr="007902C2">
                              <w:rPr>
                                <w:rFonts w:ascii="Times New Roman" w:hAnsi="Times New Roman"/>
                                <w:noProof/>
                                <w:lang w:val="en-US"/>
                              </w:rPr>
                              <w:t>2016)</w:t>
                            </w:r>
                            <w:r>
                              <w:rPr>
                                <w:rFonts w:ascii="Times New Roman" w:hAnsi="Times New Roman"/>
                                <w:noProof/>
                                <w:lang w:val="en-US"/>
                              </w:rPr>
                              <w:t xml:space="preserve"> established that almost all youth aspire for entrepreneurship, but lack access to start up financing; managerial and entreneurial skills; exposure and networks for starting and growing business; access to apprenticeships; etc.</w:t>
                            </w:r>
                          </w:p>
                          <w:p w14:paraId="54A900BE" w14:textId="1BC503A1" w:rsidR="002E5195" w:rsidRPr="00B37653" w:rsidRDefault="002E5195" w:rsidP="00B37653">
                            <w:pPr>
                              <w:spacing w:after="0" w:line="240" w:lineRule="auto"/>
                              <w:jc w:val="both"/>
                              <w:rPr>
                                <w:rFonts w:ascii="Times New Roman" w:hAnsi="Times New Roman"/>
                              </w:rPr>
                            </w:pPr>
                            <w:r>
                              <w:rPr>
                                <w:rFonts w:ascii="Times New Roman" w:hAnsi="Times New Roman"/>
                              </w:rPr>
                              <w:t xml:space="preserve"> </w:t>
                            </w:r>
                          </w:p>
                          <w:p w14:paraId="728E6691" w14:textId="77777777" w:rsidR="002E5195" w:rsidRPr="00442953" w:rsidRDefault="002E5195" w:rsidP="00B37653">
                            <w:pPr>
                              <w:spacing w:after="0" w:line="240" w:lineRule="auto"/>
                              <w:jc w:val="both"/>
                              <w:rPr>
                                <w:rFonts w:ascii="Times New Roman" w:hAnsi="Times New Roman"/>
                              </w:rPr>
                            </w:pPr>
                          </w:p>
                          <w:p w14:paraId="48FA8EB6" w14:textId="77777777" w:rsidR="002E5195" w:rsidRPr="00063664" w:rsidRDefault="002E5195" w:rsidP="00B37653">
                            <w:pPr>
                              <w:pStyle w:val="ListParagraph"/>
                              <w:spacing w:after="0" w:line="240" w:lineRule="auto"/>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9" o:spid="_x0000_s1050" type="#_x0000_t202" style="position:absolute;left:0;text-align:left;margin-left:-5.45pt;margin-top:91.3pt;width:445.5pt;height:16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cNUCAAAd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" filled="f" stroked="f">
                <v:textbox>
                  <w:txbxContent>
                    <w:p w14:paraId="0EDDCB0F" w14:textId="6DC3C9C0" w:rsidR="002E5195" w:rsidRPr="006C6460" w:rsidRDefault="002E5195" w:rsidP="00B37653">
                      <w:pPr>
                        <w:spacing w:after="0" w:line="240" w:lineRule="auto"/>
                        <w:jc w:val="both"/>
                        <w:rPr>
                          <w:rFonts w:ascii="Times New Roman" w:hAnsi="Times New Roman"/>
                          <w:b/>
                          <w:color w:val="FF0000"/>
                        </w:rPr>
                      </w:pPr>
                      <w:r w:rsidRPr="006C6460">
                        <w:rPr>
                          <w:rFonts w:ascii="Times New Roman" w:hAnsi="Times New Roman"/>
                          <w:b/>
                          <w:color w:val="FF0000"/>
                        </w:rPr>
                        <w:t>KEY ISSUE</w:t>
                      </w:r>
                    </w:p>
                    <w:p w14:paraId="433D2519" w14:textId="77777777" w:rsidR="002E5195" w:rsidRDefault="002E5195" w:rsidP="00B37653">
                      <w:pPr>
                        <w:spacing w:after="0" w:line="240" w:lineRule="auto"/>
                        <w:jc w:val="both"/>
                        <w:rPr>
                          <w:rFonts w:ascii="Times New Roman" w:hAnsi="Times New Roman"/>
                        </w:rPr>
                      </w:pPr>
                      <w:r>
                        <w:rPr>
                          <w:rFonts w:ascii="Times New Roman" w:hAnsi="Times New Roman"/>
                          <w:b/>
                        </w:rPr>
                        <w:t>Employment:</w:t>
                      </w:r>
                      <w:r>
                        <w:rPr>
                          <w:rFonts w:ascii="Times New Roman" w:hAnsi="Times New Roman"/>
                        </w:rPr>
                        <w:t xml:space="preserve"> Aga Khan University (2016) established that, overall, unemployment among youth in Kenya to be 55%. It was highest among women (62%), and even higher among rural women (68%). Employment rates were lowest among those without post-secondary education (15%). By comparison, 32% of those with post-secondary education were unemployed. 1 in 2 graduates were unemployed and, only 1 in 5 youth with university degrees were in self-employment. Youth aged between 18 and 25 were twice more likely to be unemployed compared to their counterparts aged 26 to 35 years.</w:t>
                      </w:r>
                    </w:p>
                    <w:p w14:paraId="7028FF44" w14:textId="77777777" w:rsidR="002E5195" w:rsidRDefault="002E5195" w:rsidP="00B37653">
                      <w:pPr>
                        <w:spacing w:after="0" w:line="240" w:lineRule="auto"/>
                        <w:jc w:val="both"/>
                        <w:rPr>
                          <w:rFonts w:ascii="Times New Roman" w:hAnsi="Times New Roman"/>
                        </w:rPr>
                      </w:pPr>
                    </w:p>
                    <w:p w14:paraId="2E88DB4B" w14:textId="25C359C5" w:rsidR="002E5195" w:rsidRDefault="002E5195" w:rsidP="00B37653">
                      <w:pPr>
                        <w:spacing w:after="0" w:line="240" w:lineRule="auto"/>
                        <w:jc w:val="both"/>
                        <w:rPr>
                          <w:rFonts w:ascii="Times New Roman" w:hAnsi="Times New Roman"/>
                        </w:rPr>
                      </w:pPr>
                      <w:r>
                        <w:rPr>
                          <w:rFonts w:ascii="Times New Roman" w:hAnsi="Times New Roman"/>
                        </w:rPr>
                        <w:t>A recent analysis by</w:t>
                      </w:r>
                      <w:r>
                        <w:rPr>
                          <w:rFonts w:ascii="Times New Roman" w:hAnsi="Times New Roman"/>
                          <w:noProof/>
                          <w:lang w:val="en-US"/>
                        </w:rPr>
                        <w:t xml:space="preserve"> The </w:t>
                      </w:r>
                      <w:r w:rsidRPr="007902C2">
                        <w:rPr>
                          <w:rFonts w:ascii="Times New Roman" w:hAnsi="Times New Roman"/>
                          <w:noProof/>
                          <w:lang w:val="en-US"/>
                        </w:rPr>
                        <w:t>World Bank</w:t>
                      </w:r>
                      <w:r>
                        <w:rPr>
                          <w:rFonts w:ascii="Times New Roman" w:hAnsi="Times New Roman"/>
                          <w:noProof/>
                          <w:lang w:val="en-US"/>
                        </w:rPr>
                        <w:t xml:space="preserve"> (</w:t>
                      </w:r>
                      <w:r w:rsidRPr="007902C2">
                        <w:rPr>
                          <w:rFonts w:ascii="Times New Roman" w:hAnsi="Times New Roman"/>
                          <w:noProof/>
                          <w:lang w:val="en-US"/>
                        </w:rPr>
                        <w:t>2016)</w:t>
                      </w:r>
                      <w:r>
                        <w:rPr>
                          <w:rFonts w:ascii="Times New Roman" w:hAnsi="Times New Roman"/>
                          <w:noProof/>
                          <w:lang w:val="en-US"/>
                        </w:rPr>
                        <w:t xml:space="preserve"> established that almost all youth aspire for entrepreneurship, but lack access to start up financing; managerial and entreneurial skills; exposure and networks for starting and growing business; access to apprenticeships; etc.</w:t>
                      </w:r>
                    </w:p>
                    <w:p w14:paraId="54A900BE" w14:textId="1BC503A1" w:rsidR="002E5195" w:rsidRPr="00B37653" w:rsidRDefault="002E5195" w:rsidP="00B37653">
                      <w:pPr>
                        <w:spacing w:after="0" w:line="240" w:lineRule="auto"/>
                        <w:jc w:val="both"/>
                        <w:rPr>
                          <w:rFonts w:ascii="Times New Roman" w:hAnsi="Times New Roman"/>
                        </w:rPr>
                      </w:pPr>
                      <w:r>
                        <w:rPr>
                          <w:rFonts w:ascii="Times New Roman" w:hAnsi="Times New Roman"/>
                        </w:rPr>
                        <w:t xml:space="preserve"> </w:t>
                      </w:r>
                    </w:p>
                    <w:p w14:paraId="728E6691" w14:textId="77777777" w:rsidR="002E5195" w:rsidRPr="00442953" w:rsidRDefault="002E5195" w:rsidP="00B37653">
                      <w:pPr>
                        <w:spacing w:after="0" w:line="240" w:lineRule="auto"/>
                        <w:jc w:val="both"/>
                        <w:rPr>
                          <w:rFonts w:ascii="Times New Roman" w:hAnsi="Times New Roman"/>
                        </w:rPr>
                      </w:pPr>
                    </w:p>
                    <w:p w14:paraId="48FA8EB6" w14:textId="77777777" w:rsidR="002E5195" w:rsidRPr="00063664" w:rsidRDefault="002E5195" w:rsidP="00B37653">
                      <w:pPr>
                        <w:pStyle w:val="ListParagraph"/>
                        <w:spacing w:after="0" w:line="240" w:lineRule="auto"/>
                        <w:jc w:val="both"/>
                        <w:rPr>
                          <w:rFonts w:ascii="Times New Roman" w:hAnsi="Times New Roman"/>
                        </w:rPr>
                      </w:pPr>
                    </w:p>
                  </w:txbxContent>
                </v:textbox>
                <w10:wrap type="square"/>
              </v:shape>
            </w:pict>
          </mc:Fallback>
        </mc:AlternateContent>
      </w:r>
      <w:r w:rsidR="008F72C3">
        <w:rPr>
          <w:noProof/>
          <w:lang w:val="en-US"/>
        </w:rPr>
        <mc:AlternateContent>
          <mc:Choice Requires="wps">
            <w:drawing>
              <wp:anchor distT="0" distB="0" distL="114300" distR="114300" simplePos="0" relativeHeight="252725248" behindDoc="0" locked="0" layoutInCell="1" allowOverlap="1" wp14:anchorId="43DF1063" wp14:editId="2A77FD17">
                <wp:simplePos x="0" y="0"/>
                <wp:positionH relativeFrom="margin">
                  <wp:posOffset>-1087120</wp:posOffset>
                </wp:positionH>
                <wp:positionV relativeFrom="paragraph">
                  <wp:posOffset>1159510</wp:posOffset>
                </wp:positionV>
                <wp:extent cx="7648575" cy="2057400"/>
                <wp:effectExtent l="0" t="0" r="0" b="0"/>
                <wp:wrapThrough wrapText="bothSides">
                  <wp:wrapPolygon edited="0">
                    <wp:start x="0" y="0"/>
                    <wp:lineTo x="0" y="21333"/>
                    <wp:lineTo x="21519" y="21333"/>
                    <wp:lineTo x="21519" y="0"/>
                    <wp:lineTo x="0" y="0"/>
                  </wp:wrapPolygon>
                </wp:wrapThrough>
                <wp:docPr id="1096" name="Text Box 1096"/>
                <wp:cNvGraphicFramePr/>
                <a:graphic xmlns:a="http://schemas.openxmlformats.org/drawingml/2006/main">
                  <a:graphicData uri="http://schemas.microsoft.com/office/word/2010/wordprocessingShape">
                    <wps:wsp>
                      <wps:cNvSpPr txBox="1"/>
                      <wps:spPr>
                        <a:xfrm>
                          <a:off x="0" y="0"/>
                          <a:ext cx="7648575" cy="2057400"/>
                        </a:xfrm>
                        <a:prstGeom prst="rect">
                          <a:avLst/>
                        </a:prstGeom>
                        <a:solidFill>
                          <a:schemeClr val="tx2">
                            <a:lumMod val="25000"/>
                            <a:lumOff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BD375F" w14:textId="77777777" w:rsidR="002E5195" w:rsidRDefault="002E5195" w:rsidP="008F72C3">
                            <w:pPr>
                              <w:ind w:left="1560"/>
                            </w:pPr>
                            <w:r>
                              <w:rPr>
                                <w:noProof/>
                                <w:lang w:val="en-US"/>
                              </w:rPr>
                              <w:drawing>
                                <wp:inline distT="0" distB="0" distL="0" distR="0" wp14:anchorId="6901E152" wp14:editId="082DEE45">
                                  <wp:extent cx="5266055" cy="8872855"/>
                                  <wp:effectExtent l="0" t="0" r="0" b="0"/>
                                  <wp:docPr id="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96" o:spid="_x0000_s1051" type="#_x0000_t202" style="position:absolute;left:0;text-align:left;margin-left:-85.55pt;margin-top:91.3pt;width:602.25pt;height:162pt;z-index:252725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" mv:complextextbox="1" fillcolor="#a0c6f0 [831]" stroked="f">
                <v:textbox>
                  <w:txbxContent>
                    <w:p w14:paraId="0FBD375F" w14:textId="77777777" w:rsidR="002E5195" w:rsidRDefault="002E5195" w:rsidP="008F72C3">
                      <w:pPr>
                        <w:ind w:left="1560"/>
                      </w:pPr>
                      <w:r>
                        <w:rPr>
                          <w:noProof/>
                          <w:lang w:val="en-US"/>
                        </w:rPr>
                        <w:drawing>
                          <wp:inline distT="0" distB="0" distL="0" distR="0" wp14:anchorId="6901E152" wp14:editId="082DEE45">
                            <wp:extent cx="5266055" cy="8872855"/>
                            <wp:effectExtent l="0" t="0" r="0" b="0"/>
                            <wp:docPr id="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v:textbox>
                <w10:wrap type="through" anchorx="margin"/>
              </v:shape>
            </w:pict>
          </mc:Fallback>
        </mc:AlternateContent>
      </w:r>
      <w:r w:rsidR="008F72C3">
        <w:rPr>
          <w:rFonts w:ascii="Times New Roman" w:hAnsi="Times New Roman"/>
        </w:rPr>
        <w:t>Aga Khan University (2016</w:t>
      </w:r>
      <w:r>
        <w:rPr>
          <w:rFonts w:ascii="Times New Roman" w:hAnsi="Times New Roman"/>
        </w:rPr>
        <w:t xml:space="preserve">) established that Kenyan youths </w:t>
      </w:r>
      <w:r w:rsidR="008F72C3">
        <w:rPr>
          <w:rFonts w:ascii="Times New Roman" w:hAnsi="Times New Roman"/>
        </w:rPr>
        <w:t xml:space="preserve">are </w:t>
      </w:r>
      <w:proofErr w:type="spellStart"/>
      <w:r w:rsidR="008F72C3">
        <w:rPr>
          <w:rFonts w:ascii="Times New Roman" w:hAnsi="Times New Roman"/>
        </w:rPr>
        <w:t>entreprenueral</w:t>
      </w:r>
      <w:proofErr w:type="spellEnd"/>
      <w:r w:rsidR="008F72C3">
        <w:rPr>
          <w:rFonts w:ascii="Times New Roman" w:hAnsi="Times New Roman"/>
        </w:rPr>
        <w:t xml:space="preserve">: the majority would like to start their own business, rather than pursue careers in law, teaching, medicine, or engineering. Few (11%) want to become farmers, </w:t>
      </w:r>
      <w:r>
        <w:rPr>
          <w:rFonts w:ascii="Times New Roman" w:hAnsi="Times New Roman"/>
        </w:rPr>
        <w:t>implying</w:t>
      </w:r>
      <w:r w:rsidR="008F72C3">
        <w:rPr>
          <w:rFonts w:ascii="Times New Roman" w:hAnsi="Times New Roman"/>
        </w:rPr>
        <w:t xml:space="preserve"> that the country’s urbanization is likely to continue apace – </w:t>
      </w:r>
      <w:r>
        <w:rPr>
          <w:rFonts w:ascii="Times New Roman" w:hAnsi="Times New Roman"/>
        </w:rPr>
        <w:t>escalating</w:t>
      </w:r>
      <w:r w:rsidR="008F72C3">
        <w:rPr>
          <w:rFonts w:ascii="Times New Roman" w:hAnsi="Times New Roman"/>
        </w:rPr>
        <w:t xml:space="preserve"> demand and competition for farm employment.</w:t>
      </w:r>
    </w:p>
    <w:p w14:paraId="27C3AB76" w14:textId="3CC50F10" w:rsidR="007902C2" w:rsidRDefault="007902C2" w:rsidP="007902C2">
      <w:pPr>
        <w:spacing w:after="0" w:line="360" w:lineRule="auto"/>
        <w:jc w:val="both"/>
        <w:rPr>
          <w:rFonts w:ascii="Times New Roman" w:hAnsi="Times New Roman"/>
        </w:rPr>
      </w:pPr>
      <w:r>
        <w:rPr>
          <w:rFonts w:ascii="Times New Roman" w:hAnsi="Times New Roman"/>
        </w:rPr>
        <w:lastRenderedPageBreak/>
        <w:t>1.2.3 Community-Based Climate Action</w:t>
      </w:r>
    </w:p>
    <w:p w14:paraId="70854598" w14:textId="74EDDACF" w:rsidR="00D16BA1" w:rsidRDefault="00D16BA1" w:rsidP="004C633D">
      <w:pPr>
        <w:spacing w:after="0" w:line="360" w:lineRule="auto"/>
        <w:jc w:val="both"/>
        <w:rPr>
          <w:rFonts w:ascii="Times New Roman" w:hAnsi="Times New Roman"/>
        </w:rPr>
      </w:pPr>
      <w:r>
        <w:rPr>
          <w:rFonts w:ascii="Times New Roman" w:hAnsi="Times New Roman"/>
        </w:rPr>
        <w:t>The Intergovernmental Panel on Climate Change’s latest report states clearly that climate change is already having discernable impacts that are disproportionately affecting poor communities – especially those in poor countries</w:t>
      </w:r>
      <w:sdt>
        <w:sdtPr>
          <w:rPr>
            <w:rFonts w:ascii="Times New Roman" w:hAnsi="Times New Roman"/>
          </w:rPr>
          <w:id w:val="-156844699"/>
          <w:citation/>
        </w:sdtPr>
        <w:sdtEndPr/>
        <w:sdtContent>
          <w:r w:rsidR="00BE0D8A">
            <w:rPr>
              <w:rFonts w:ascii="Times New Roman" w:hAnsi="Times New Roman"/>
            </w:rPr>
            <w:fldChar w:fldCharType="begin"/>
          </w:r>
          <w:r w:rsidR="00BE0D8A">
            <w:rPr>
              <w:rFonts w:ascii="Times New Roman" w:hAnsi="Times New Roman"/>
              <w:lang w:val="en-US"/>
            </w:rPr>
            <w:instrText xml:space="preserve"> CITATION Sal07 \l 1033 </w:instrText>
          </w:r>
          <w:r w:rsidR="00BE0D8A">
            <w:rPr>
              <w:rFonts w:ascii="Times New Roman" w:hAnsi="Times New Roman"/>
            </w:rPr>
            <w:fldChar w:fldCharType="separate"/>
          </w:r>
          <w:r w:rsidR="00BE0D8A">
            <w:rPr>
              <w:rFonts w:ascii="Times New Roman" w:hAnsi="Times New Roman"/>
              <w:noProof/>
              <w:lang w:val="en-US"/>
            </w:rPr>
            <w:t xml:space="preserve"> </w:t>
          </w:r>
          <w:r w:rsidR="00BE0D8A" w:rsidRPr="00BE0D8A">
            <w:rPr>
              <w:rFonts w:ascii="Times New Roman" w:hAnsi="Times New Roman"/>
              <w:noProof/>
              <w:lang w:val="en-US"/>
            </w:rPr>
            <w:t>(Saleemul &amp; Hannah, 2007)</w:t>
          </w:r>
          <w:r w:rsidR="00BE0D8A">
            <w:rPr>
              <w:rFonts w:ascii="Times New Roman" w:hAnsi="Times New Roman"/>
            </w:rPr>
            <w:fldChar w:fldCharType="end"/>
          </w:r>
        </w:sdtContent>
      </w:sdt>
      <w:r>
        <w:rPr>
          <w:rFonts w:ascii="Times New Roman" w:hAnsi="Times New Roman"/>
        </w:rPr>
        <w:t>. These impacts are set to intensify; yet poor communities are unable to cope with current climate (and other) shocks, let alone any future risks related to climate change. It is therefore important that these communities are helped to adapt as well as effectively participate in climate change mitigation efforts through community-based climate actions.</w:t>
      </w:r>
    </w:p>
    <w:p w14:paraId="43CBDB91" w14:textId="77777777" w:rsidR="00D16BA1" w:rsidRDefault="00D16BA1" w:rsidP="004C633D">
      <w:pPr>
        <w:spacing w:after="0" w:line="360" w:lineRule="auto"/>
        <w:jc w:val="both"/>
        <w:rPr>
          <w:rFonts w:ascii="Times New Roman" w:hAnsi="Times New Roman"/>
        </w:rPr>
      </w:pPr>
    </w:p>
    <w:p w14:paraId="10D2EBD8" w14:textId="06FE807F" w:rsidR="003167B2" w:rsidRDefault="00D16BA1" w:rsidP="004C633D">
      <w:pPr>
        <w:spacing w:after="0" w:line="360" w:lineRule="auto"/>
        <w:jc w:val="both"/>
        <w:rPr>
          <w:rFonts w:ascii="Times New Roman" w:hAnsi="Times New Roman"/>
        </w:rPr>
      </w:pPr>
      <w:r>
        <w:rPr>
          <w:noProof/>
          <w:lang w:val="en-US"/>
        </w:rPr>
        <mc:AlternateContent>
          <mc:Choice Requires="wps">
            <w:drawing>
              <wp:anchor distT="0" distB="0" distL="114300" distR="114300" simplePos="0" relativeHeight="252731392" behindDoc="0" locked="0" layoutInCell="1" allowOverlap="1" wp14:anchorId="1B00E5FD" wp14:editId="73A96C27">
                <wp:simplePos x="0" y="0"/>
                <wp:positionH relativeFrom="column">
                  <wp:posOffset>-139700</wp:posOffset>
                </wp:positionH>
                <wp:positionV relativeFrom="paragraph">
                  <wp:posOffset>2860675</wp:posOffset>
                </wp:positionV>
                <wp:extent cx="5657850" cy="4114800"/>
                <wp:effectExtent l="0" t="0" r="0" b="0"/>
                <wp:wrapSquare wrapText="bothSides"/>
                <wp:docPr id="1102" name="Text Box 1102"/>
                <wp:cNvGraphicFramePr/>
                <a:graphic xmlns:a="http://schemas.openxmlformats.org/drawingml/2006/main">
                  <a:graphicData uri="http://schemas.microsoft.com/office/word/2010/wordprocessingShape">
                    <wps:wsp>
                      <wps:cNvSpPr txBox="1"/>
                      <wps:spPr>
                        <a:xfrm>
                          <a:off x="0" y="0"/>
                          <a:ext cx="5657850" cy="411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3B92A" w14:textId="0BEB3CCA" w:rsidR="002E5195" w:rsidRDefault="002E5195" w:rsidP="00D16BA1">
                            <w:pPr>
                              <w:spacing w:after="0" w:line="240" w:lineRule="auto"/>
                              <w:jc w:val="both"/>
                              <w:rPr>
                                <w:rFonts w:ascii="Times New Roman" w:hAnsi="Times New Roman"/>
                                <w:b/>
                                <w:color w:val="FF0000"/>
                              </w:rPr>
                            </w:pPr>
                            <w:r w:rsidRPr="006C6460">
                              <w:rPr>
                                <w:rFonts w:ascii="Times New Roman" w:hAnsi="Times New Roman"/>
                                <w:b/>
                                <w:color w:val="FF0000"/>
                              </w:rPr>
                              <w:t>KEY ISSUE</w:t>
                            </w:r>
                            <w:r>
                              <w:rPr>
                                <w:rFonts w:ascii="Times New Roman" w:hAnsi="Times New Roman"/>
                                <w:b/>
                                <w:color w:val="FF0000"/>
                              </w:rPr>
                              <w:t>S</w:t>
                            </w:r>
                          </w:p>
                          <w:p w14:paraId="192F30D3" w14:textId="77777777" w:rsidR="002E5195" w:rsidRPr="006C6460" w:rsidRDefault="002E5195" w:rsidP="00D16BA1">
                            <w:pPr>
                              <w:spacing w:after="0" w:line="240" w:lineRule="auto"/>
                              <w:jc w:val="both"/>
                              <w:rPr>
                                <w:rFonts w:ascii="Times New Roman" w:hAnsi="Times New Roman"/>
                                <w:b/>
                                <w:color w:val="FF0000"/>
                              </w:rPr>
                            </w:pPr>
                          </w:p>
                          <w:p w14:paraId="3A033D53" w14:textId="34CD9110" w:rsidR="002E5195" w:rsidRDefault="002E5195" w:rsidP="00D16BA1">
                            <w:pPr>
                              <w:spacing w:after="0" w:line="240" w:lineRule="auto"/>
                              <w:jc w:val="both"/>
                              <w:rPr>
                                <w:rFonts w:ascii="Times New Roman" w:hAnsi="Times New Roman"/>
                              </w:rPr>
                            </w:pPr>
                            <w:r>
                              <w:rPr>
                                <w:rFonts w:ascii="Times New Roman" w:hAnsi="Times New Roman"/>
                                <w:b/>
                              </w:rPr>
                              <w:t>Vulnerability of poor communities:</w:t>
                            </w:r>
                            <w:r>
                              <w:rPr>
                                <w:rFonts w:ascii="Times New Roman" w:hAnsi="Times New Roman"/>
                              </w:rPr>
                              <w:t xml:space="preserve"> Poor communities in poor countries are the most vulnerable to climate change and are already feeling its impacts, but have contributed least to the problem.</w:t>
                            </w:r>
                          </w:p>
                          <w:p w14:paraId="4D42E562" w14:textId="77777777" w:rsidR="002E5195" w:rsidRDefault="002E5195" w:rsidP="00D16BA1">
                            <w:pPr>
                              <w:spacing w:after="0" w:line="240" w:lineRule="auto"/>
                              <w:jc w:val="both"/>
                              <w:rPr>
                                <w:rFonts w:ascii="Times New Roman" w:hAnsi="Times New Roman"/>
                              </w:rPr>
                            </w:pPr>
                          </w:p>
                          <w:p w14:paraId="1A66C0E3" w14:textId="3F3AB6A5" w:rsidR="002E5195" w:rsidRDefault="002E5195" w:rsidP="00D16BA1">
                            <w:pPr>
                              <w:spacing w:after="0" w:line="240" w:lineRule="auto"/>
                              <w:jc w:val="both"/>
                              <w:rPr>
                                <w:rFonts w:ascii="Times New Roman" w:hAnsi="Times New Roman"/>
                              </w:rPr>
                            </w:pPr>
                            <w:r>
                              <w:rPr>
                                <w:rFonts w:ascii="Times New Roman" w:hAnsi="Times New Roman"/>
                                <w:b/>
                              </w:rPr>
                              <w:t xml:space="preserve">Poor communities to adapt and mitigate: </w:t>
                            </w:r>
                            <w:r>
                              <w:rPr>
                                <w:rFonts w:ascii="Times New Roman" w:hAnsi="Times New Roman"/>
                              </w:rPr>
                              <w:t>Helping poor communities adapt to, and participate in mitigation efforts against, climate change is vital, but identifying steps to take and ensuring that this is a major challenge.</w:t>
                            </w:r>
                          </w:p>
                          <w:p w14:paraId="2DD9D316" w14:textId="77777777" w:rsidR="002E5195" w:rsidRDefault="002E5195" w:rsidP="00D16BA1">
                            <w:pPr>
                              <w:spacing w:after="0" w:line="240" w:lineRule="auto"/>
                              <w:jc w:val="both"/>
                              <w:rPr>
                                <w:rFonts w:ascii="Times New Roman" w:hAnsi="Times New Roman"/>
                              </w:rPr>
                            </w:pPr>
                          </w:p>
                          <w:p w14:paraId="1883C6C4" w14:textId="4A7DB66D" w:rsidR="002E5195" w:rsidRDefault="002E5195" w:rsidP="00D16BA1">
                            <w:pPr>
                              <w:spacing w:after="0" w:line="240" w:lineRule="auto"/>
                              <w:jc w:val="both"/>
                              <w:rPr>
                                <w:rFonts w:ascii="Times New Roman" w:hAnsi="Times New Roman"/>
                              </w:rPr>
                            </w:pPr>
                            <w:r>
                              <w:rPr>
                                <w:rFonts w:ascii="Times New Roman" w:hAnsi="Times New Roman"/>
                                <w:b/>
                              </w:rPr>
                              <w:t xml:space="preserve">Community-based climate action: </w:t>
                            </w:r>
                            <w:r>
                              <w:rPr>
                                <w:rFonts w:ascii="Times New Roman" w:hAnsi="Times New Roman"/>
                              </w:rPr>
                              <w:t>Community-based climate action is an approach for helping communities adapt to, and participate in mitigation efforts against, climate change.</w:t>
                            </w:r>
                          </w:p>
                          <w:p w14:paraId="26A63199" w14:textId="77777777" w:rsidR="002E5195" w:rsidRDefault="002E5195" w:rsidP="00D16BA1">
                            <w:pPr>
                              <w:spacing w:after="0" w:line="240" w:lineRule="auto"/>
                              <w:jc w:val="both"/>
                              <w:rPr>
                                <w:rFonts w:ascii="Times New Roman" w:hAnsi="Times New Roman"/>
                              </w:rPr>
                            </w:pPr>
                          </w:p>
                          <w:p w14:paraId="50C98EBA" w14:textId="0005D01B" w:rsidR="002E5195" w:rsidRDefault="002E5195" w:rsidP="00D16BA1">
                            <w:pPr>
                              <w:spacing w:after="0" w:line="240" w:lineRule="auto"/>
                              <w:jc w:val="both"/>
                              <w:rPr>
                                <w:rFonts w:ascii="Times New Roman" w:hAnsi="Times New Roman"/>
                              </w:rPr>
                            </w:pPr>
                            <w:r>
                              <w:rPr>
                                <w:rFonts w:ascii="Times New Roman" w:hAnsi="Times New Roman"/>
                                <w:b/>
                              </w:rPr>
                              <w:t>Outsiders:</w:t>
                            </w:r>
                            <w:r>
                              <w:rPr>
                                <w:rFonts w:ascii="Times New Roman" w:hAnsi="Times New Roman"/>
                              </w:rPr>
                              <w:t xml:space="preserve"> To do any good, community outsiders must first gain the trust of the communities they want to help. Normally, this would mean spending some adequate time with the community. But if trusted local intermediaries like NGOs, community groups, etc. are available, it is best to start dialogue with them before moving to the communities themselves.</w:t>
                            </w:r>
                          </w:p>
                          <w:p w14:paraId="1B5DFED4" w14:textId="77777777" w:rsidR="002E5195" w:rsidRDefault="002E5195" w:rsidP="00D16BA1">
                            <w:pPr>
                              <w:spacing w:after="0" w:line="240" w:lineRule="auto"/>
                              <w:jc w:val="both"/>
                              <w:rPr>
                                <w:rFonts w:ascii="Times New Roman" w:hAnsi="Times New Roman"/>
                              </w:rPr>
                            </w:pPr>
                          </w:p>
                          <w:p w14:paraId="7A0D3B0D" w14:textId="4574C72D" w:rsidR="002E5195" w:rsidRPr="00182E9C" w:rsidRDefault="002E5195" w:rsidP="00D16BA1">
                            <w:pPr>
                              <w:spacing w:after="0" w:line="240" w:lineRule="auto"/>
                              <w:jc w:val="both"/>
                              <w:rPr>
                                <w:rFonts w:ascii="Times New Roman" w:hAnsi="Times New Roman"/>
                              </w:rPr>
                            </w:pPr>
                            <w:r>
                              <w:rPr>
                                <w:rFonts w:ascii="Times New Roman" w:hAnsi="Times New Roman"/>
                                <w:b/>
                              </w:rPr>
                              <w:t>Esoteric and Confusing:</w:t>
                            </w:r>
                            <w:r>
                              <w:rPr>
                                <w:rFonts w:ascii="Times New Roman" w:hAnsi="Times New Roman"/>
                              </w:rPr>
                              <w:t xml:space="preserve"> Climate change is an esoteric and initially confusing concept to many. Communication about it must use a community’s own language and terms they can understand. This means not only translating scientific texts into local languages, but also giving up on the written word altogether and using traditional means of communication, such as art and theatre, or modern methods like videos.</w:t>
                            </w:r>
                          </w:p>
                          <w:p w14:paraId="2954746B" w14:textId="77777777" w:rsidR="002E5195" w:rsidRDefault="002E5195" w:rsidP="00D16BA1">
                            <w:pPr>
                              <w:spacing w:after="0" w:line="240" w:lineRule="auto"/>
                              <w:jc w:val="both"/>
                              <w:rPr>
                                <w:rFonts w:ascii="Times New Roman" w:hAnsi="Times New Roman"/>
                              </w:rPr>
                            </w:pPr>
                          </w:p>
                          <w:p w14:paraId="12C4383B" w14:textId="77777777" w:rsidR="002E5195" w:rsidRPr="00B37653" w:rsidRDefault="002E5195" w:rsidP="00D16BA1">
                            <w:pPr>
                              <w:spacing w:after="0" w:line="240" w:lineRule="auto"/>
                              <w:jc w:val="both"/>
                              <w:rPr>
                                <w:rFonts w:ascii="Times New Roman" w:hAnsi="Times New Roman"/>
                              </w:rPr>
                            </w:pPr>
                            <w:r>
                              <w:rPr>
                                <w:rFonts w:ascii="Times New Roman" w:hAnsi="Times New Roman"/>
                              </w:rPr>
                              <w:t xml:space="preserve"> </w:t>
                            </w:r>
                          </w:p>
                          <w:p w14:paraId="0CADDE6B" w14:textId="77777777" w:rsidR="002E5195" w:rsidRPr="00442953" w:rsidRDefault="002E5195" w:rsidP="00D16BA1">
                            <w:pPr>
                              <w:spacing w:after="0" w:line="240" w:lineRule="auto"/>
                              <w:jc w:val="both"/>
                              <w:rPr>
                                <w:rFonts w:ascii="Times New Roman" w:hAnsi="Times New Roman"/>
                              </w:rPr>
                            </w:pPr>
                          </w:p>
                          <w:p w14:paraId="053A5E14" w14:textId="77777777" w:rsidR="002E5195" w:rsidRPr="00063664" w:rsidRDefault="002E5195" w:rsidP="00D16BA1">
                            <w:pPr>
                              <w:pStyle w:val="ListParagraph"/>
                              <w:spacing w:after="0" w:line="240" w:lineRule="auto"/>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2" o:spid="_x0000_s1052" type="#_x0000_t202" style="position:absolute;left:0;text-align:left;margin-left:-10.95pt;margin-top:225.25pt;width:445.5pt;height:324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WHNQCAAAd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" filled="f" stroked="f">
                <v:textbox>
                  <w:txbxContent>
                    <w:p w14:paraId="0EA3B92A" w14:textId="0BEB3CCA" w:rsidR="002E5195" w:rsidRDefault="002E5195" w:rsidP="00D16BA1">
                      <w:pPr>
                        <w:spacing w:after="0" w:line="240" w:lineRule="auto"/>
                        <w:jc w:val="both"/>
                        <w:rPr>
                          <w:rFonts w:ascii="Times New Roman" w:hAnsi="Times New Roman"/>
                          <w:b/>
                          <w:color w:val="FF0000"/>
                        </w:rPr>
                      </w:pPr>
                      <w:r w:rsidRPr="006C6460">
                        <w:rPr>
                          <w:rFonts w:ascii="Times New Roman" w:hAnsi="Times New Roman"/>
                          <w:b/>
                          <w:color w:val="FF0000"/>
                        </w:rPr>
                        <w:t>KEY ISSUE</w:t>
                      </w:r>
                      <w:r>
                        <w:rPr>
                          <w:rFonts w:ascii="Times New Roman" w:hAnsi="Times New Roman"/>
                          <w:b/>
                          <w:color w:val="FF0000"/>
                        </w:rPr>
                        <w:t>S</w:t>
                      </w:r>
                    </w:p>
                    <w:p w14:paraId="192F30D3" w14:textId="77777777" w:rsidR="002E5195" w:rsidRPr="006C6460" w:rsidRDefault="002E5195" w:rsidP="00D16BA1">
                      <w:pPr>
                        <w:spacing w:after="0" w:line="240" w:lineRule="auto"/>
                        <w:jc w:val="both"/>
                        <w:rPr>
                          <w:rFonts w:ascii="Times New Roman" w:hAnsi="Times New Roman"/>
                          <w:b/>
                          <w:color w:val="FF0000"/>
                        </w:rPr>
                      </w:pPr>
                    </w:p>
                    <w:p w14:paraId="3A033D53" w14:textId="34CD9110" w:rsidR="002E5195" w:rsidRDefault="002E5195" w:rsidP="00D16BA1">
                      <w:pPr>
                        <w:spacing w:after="0" w:line="240" w:lineRule="auto"/>
                        <w:jc w:val="both"/>
                        <w:rPr>
                          <w:rFonts w:ascii="Times New Roman" w:hAnsi="Times New Roman"/>
                        </w:rPr>
                      </w:pPr>
                      <w:r>
                        <w:rPr>
                          <w:rFonts w:ascii="Times New Roman" w:hAnsi="Times New Roman"/>
                          <w:b/>
                        </w:rPr>
                        <w:t>Vulnerability of poor communities:</w:t>
                      </w:r>
                      <w:r>
                        <w:rPr>
                          <w:rFonts w:ascii="Times New Roman" w:hAnsi="Times New Roman"/>
                        </w:rPr>
                        <w:t xml:space="preserve"> Poor communities in poor countries are the most vulnerable to climate change and are already feeling its impacts, but have contributed least to the problem.</w:t>
                      </w:r>
                    </w:p>
                    <w:p w14:paraId="4D42E562" w14:textId="77777777" w:rsidR="002E5195" w:rsidRDefault="002E5195" w:rsidP="00D16BA1">
                      <w:pPr>
                        <w:spacing w:after="0" w:line="240" w:lineRule="auto"/>
                        <w:jc w:val="both"/>
                        <w:rPr>
                          <w:rFonts w:ascii="Times New Roman" w:hAnsi="Times New Roman"/>
                        </w:rPr>
                      </w:pPr>
                    </w:p>
                    <w:p w14:paraId="1A66C0E3" w14:textId="3F3AB6A5" w:rsidR="002E5195" w:rsidRDefault="002E5195" w:rsidP="00D16BA1">
                      <w:pPr>
                        <w:spacing w:after="0" w:line="240" w:lineRule="auto"/>
                        <w:jc w:val="both"/>
                        <w:rPr>
                          <w:rFonts w:ascii="Times New Roman" w:hAnsi="Times New Roman"/>
                        </w:rPr>
                      </w:pPr>
                      <w:r>
                        <w:rPr>
                          <w:rFonts w:ascii="Times New Roman" w:hAnsi="Times New Roman"/>
                          <w:b/>
                        </w:rPr>
                        <w:t xml:space="preserve">Poor communities to adapt and mitigate: </w:t>
                      </w:r>
                      <w:r>
                        <w:rPr>
                          <w:rFonts w:ascii="Times New Roman" w:hAnsi="Times New Roman"/>
                        </w:rPr>
                        <w:t>Helping poor communities adapt to, and participate in mitigation efforts against, climate change is vital, but identifying steps to take and ensuring that this is a major challenge.</w:t>
                      </w:r>
                    </w:p>
                    <w:p w14:paraId="2DD9D316" w14:textId="77777777" w:rsidR="002E5195" w:rsidRDefault="002E5195" w:rsidP="00D16BA1">
                      <w:pPr>
                        <w:spacing w:after="0" w:line="240" w:lineRule="auto"/>
                        <w:jc w:val="both"/>
                        <w:rPr>
                          <w:rFonts w:ascii="Times New Roman" w:hAnsi="Times New Roman"/>
                        </w:rPr>
                      </w:pPr>
                    </w:p>
                    <w:p w14:paraId="1883C6C4" w14:textId="4A7DB66D" w:rsidR="002E5195" w:rsidRDefault="002E5195" w:rsidP="00D16BA1">
                      <w:pPr>
                        <w:spacing w:after="0" w:line="240" w:lineRule="auto"/>
                        <w:jc w:val="both"/>
                        <w:rPr>
                          <w:rFonts w:ascii="Times New Roman" w:hAnsi="Times New Roman"/>
                        </w:rPr>
                      </w:pPr>
                      <w:r>
                        <w:rPr>
                          <w:rFonts w:ascii="Times New Roman" w:hAnsi="Times New Roman"/>
                          <w:b/>
                        </w:rPr>
                        <w:t xml:space="preserve">Community-based climate action: </w:t>
                      </w:r>
                      <w:r>
                        <w:rPr>
                          <w:rFonts w:ascii="Times New Roman" w:hAnsi="Times New Roman"/>
                        </w:rPr>
                        <w:t>Community-based climate action is an approach for helping communities adapt to, and participate in mitigation efforts against, climate change.</w:t>
                      </w:r>
                    </w:p>
                    <w:p w14:paraId="26A63199" w14:textId="77777777" w:rsidR="002E5195" w:rsidRDefault="002E5195" w:rsidP="00D16BA1">
                      <w:pPr>
                        <w:spacing w:after="0" w:line="240" w:lineRule="auto"/>
                        <w:jc w:val="both"/>
                        <w:rPr>
                          <w:rFonts w:ascii="Times New Roman" w:hAnsi="Times New Roman"/>
                        </w:rPr>
                      </w:pPr>
                    </w:p>
                    <w:p w14:paraId="50C98EBA" w14:textId="0005D01B" w:rsidR="002E5195" w:rsidRDefault="002E5195" w:rsidP="00D16BA1">
                      <w:pPr>
                        <w:spacing w:after="0" w:line="240" w:lineRule="auto"/>
                        <w:jc w:val="both"/>
                        <w:rPr>
                          <w:rFonts w:ascii="Times New Roman" w:hAnsi="Times New Roman"/>
                        </w:rPr>
                      </w:pPr>
                      <w:r>
                        <w:rPr>
                          <w:rFonts w:ascii="Times New Roman" w:hAnsi="Times New Roman"/>
                          <w:b/>
                        </w:rPr>
                        <w:t>Outsiders:</w:t>
                      </w:r>
                      <w:r>
                        <w:rPr>
                          <w:rFonts w:ascii="Times New Roman" w:hAnsi="Times New Roman"/>
                        </w:rPr>
                        <w:t xml:space="preserve"> To do any good, community outsiders must first gain the trust of the communities they want to help. Normally, this would mean spending some adequate time with the community. But if trusted local intermediaries like NGOs, community groups, etc. are available, it is best to start dialogue with them before moving to the communities themselves.</w:t>
                      </w:r>
                    </w:p>
                    <w:p w14:paraId="1B5DFED4" w14:textId="77777777" w:rsidR="002E5195" w:rsidRDefault="002E5195" w:rsidP="00D16BA1">
                      <w:pPr>
                        <w:spacing w:after="0" w:line="240" w:lineRule="auto"/>
                        <w:jc w:val="both"/>
                        <w:rPr>
                          <w:rFonts w:ascii="Times New Roman" w:hAnsi="Times New Roman"/>
                        </w:rPr>
                      </w:pPr>
                    </w:p>
                    <w:p w14:paraId="7A0D3B0D" w14:textId="4574C72D" w:rsidR="002E5195" w:rsidRPr="00182E9C" w:rsidRDefault="002E5195" w:rsidP="00D16BA1">
                      <w:pPr>
                        <w:spacing w:after="0" w:line="240" w:lineRule="auto"/>
                        <w:jc w:val="both"/>
                        <w:rPr>
                          <w:rFonts w:ascii="Times New Roman" w:hAnsi="Times New Roman"/>
                        </w:rPr>
                      </w:pPr>
                      <w:r>
                        <w:rPr>
                          <w:rFonts w:ascii="Times New Roman" w:hAnsi="Times New Roman"/>
                          <w:b/>
                        </w:rPr>
                        <w:t>Esoteric and Confusing:</w:t>
                      </w:r>
                      <w:r>
                        <w:rPr>
                          <w:rFonts w:ascii="Times New Roman" w:hAnsi="Times New Roman"/>
                        </w:rPr>
                        <w:t xml:space="preserve"> Climate change is an esoteric and initially confusing concept to many. Communication about it must use a community’s own language and terms they can understand. This means not only translating scientific texts into local languages, but also giving up on the written word altogether and using traditional means of communication, such as art and theatre, or modern methods like videos.</w:t>
                      </w:r>
                    </w:p>
                    <w:p w14:paraId="2954746B" w14:textId="77777777" w:rsidR="002E5195" w:rsidRDefault="002E5195" w:rsidP="00D16BA1">
                      <w:pPr>
                        <w:spacing w:after="0" w:line="240" w:lineRule="auto"/>
                        <w:jc w:val="both"/>
                        <w:rPr>
                          <w:rFonts w:ascii="Times New Roman" w:hAnsi="Times New Roman"/>
                        </w:rPr>
                      </w:pPr>
                    </w:p>
                    <w:p w14:paraId="12C4383B" w14:textId="77777777" w:rsidR="002E5195" w:rsidRPr="00B37653" w:rsidRDefault="002E5195" w:rsidP="00D16BA1">
                      <w:pPr>
                        <w:spacing w:after="0" w:line="240" w:lineRule="auto"/>
                        <w:jc w:val="both"/>
                        <w:rPr>
                          <w:rFonts w:ascii="Times New Roman" w:hAnsi="Times New Roman"/>
                        </w:rPr>
                      </w:pPr>
                      <w:r>
                        <w:rPr>
                          <w:rFonts w:ascii="Times New Roman" w:hAnsi="Times New Roman"/>
                        </w:rPr>
                        <w:t xml:space="preserve"> </w:t>
                      </w:r>
                    </w:p>
                    <w:p w14:paraId="0CADDE6B" w14:textId="77777777" w:rsidR="002E5195" w:rsidRPr="00442953" w:rsidRDefault="002E5195" w:rsidP="00D16BA1">
                      <w:pPr>
                        <w:spacing w:after="0" w:line="240" w:lineRule="auto"/>
                        <w:jc w:val="both"/>
                        <w:rPr>
                          <w:rFonts w:ascii="Times New Roman" w:hAnsi="Times New Roman"/>
                        </w:rPr>
                      </w:pPr>
                    </w:p>
                    <w:p w14:paraId="053A5E14" w14:textId="77777777" w:rsidR="002E5195" w:rsidRPr="00063664" w:rsidRDefault="002E5195" w:rsidP="00D16BA1">
                      <w:pPr>
                        <w:pStyle w:val="ListParagraph"/>
                        <w:spacing w:after="0" w:line="240" w:lineRule="auto"/>
                        <w:jc w:val="both"/>
                        <w:rPr>
                          <w:rFonts w:ascii="Times New Roman" w:hAnsi="Times New Roman"/>
                        </w:rPr>
                      </w:pPr>
                    </w:p>
                  </w:txbxContent>
                </v:textbox>
                <w10:wrap type="square"/>
              </v:shape>
            </w:pict>
          </mc:Fallback>
        </mc:AlternateContent>
      </w:r>
      <w:r>
        <w:rPr>
          <w:noProof/>
          <w:lang w:val="en-US"/>
        </w:rPr>
        <mc:AlternateContent>
          <mc:Choice Requires="wps">
            <w:drawing>
              <wp:anchor distT="0" distB="0" distL="114300" distR="114300" simplePos="0" relativeHeight="252729344" behindDoc="0" locked="0" layoutInCell="1" allowOverlap="1" wp14:anchorId="4E9EFE18" wp14:editId="072C9E83">
                <wp:simplePos x="0" y="0"/>
                <wp:positionH relativeFrom="margin">
                  <wp:posOffset>-1087120</wp:posOffset>
                </wp:positionH>
                <wp:positionV relativeFrom="paragraph">
                  <wp:posOffset>2746375</wp:posOffset>
                </wp:positionV>
                <wp:extent cx="7648575" cy="4229100"/>
                <wp:effectExtent l="0" t="0" r="0" b="12700"/>
                <wp:wrapThrough wrapText="bothSides">
                  <wp:wrapPolygon edited="0">
                    <wp:start x="0" y="0"/>
                    <wp:lineTo x="0" y="21535"/>
                    <wp:lineTo x="21519" y="21535"/>
                    <wp:lineTo x="21519" y="0"/>
                    <wp:lineTo x="0" y="0"/>
                  </wp:wrapPolygon>
                </wp:wrapThrough>
                <wp:docPr id="1100" name="Text Box 1100"/>
                <wp:cNvGraphicFramePr/>
                <a:graphic xmlns:a="http://schemas.openxmlformats.org/drawingml/2006/main">
                  <a:graphicData uri="http://schemas.microsoft.com/office/word/2010/wordprocessingShape">
                    <wps:wsp>
                      <wps:cNvSpPr txBox="1"/>
                      <wps:spPr>
                        <a:xfrm>
                          <a:off x="0" y="0"/>
                          <a:ext cx="7648575" cy="4229100"/>
                        </a:xfrm>
                        <a:prstGeom prst="rect">
                          <a:avLst/>
                        </a:prstGeom>
                        <a:solidFill>
                          <a:schemeClr val="tx2">
                            <a:lumMod val="25000"/>
                            <a:lumOff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7EE09B" w14:textId="77777777" w:rsidR="002E5195" w:rsidRDefault="002E5195" w:rsidP="00D16BA1">
                            <w:pPr>
                              <w:ind w:left="1560"/>
                            </w:pPr>
                            <w:r>
                              <w:rPr>
                                <w:noProof/>
                                <w:lang w:val="en-US"/>
                              </w:rPr>
                              <w:drawing>
                                <wp:inline distT="0" distB="0" distL="0" distR="0" wp14:anchorId="3F7B55BA" wp14:editId="79949BFB">
                                  <wp:extent cx="5266055" cy="8872855"/>
                                  <wp:effectExtent l="0" t="0" r="0" b="0"/>
                                  <wp:docPr id="7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0" o:spid="_x0000_s1053" type="#_x0000_t202" style="position:absolute;left:0;text-align:left;margin-left:-85.55pt;margin-top:216.25pt;width:602.25pt;height:333pt;z-index:252729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" mv:complextextbox="1" fillcolor="#a0c6f0 [831]" stroked="f">
                <v:textbox>
                  <w:txbxContent>
                    <w:p w14:paraId="157EE09B" w14:textId="77777777" w:rsidR="002E5195" w:rsidRDefault="002E5195" w:rsidP="00D16BA1">
                      <w:pPr>
                        <w:ind w:left="1560"/>
                      </w:pPr>
                      <w:r>
                        <w:rPr>
                          <w:noProof/>
                          <w:lang w:val="en-US"/>
                        </w:rPr>
                        <w:drawing>
                          <wp:inline distT="0" distB="0" distL="0" distR="0" wp14:anchorId="3F7B55BA" wp14:editId="79949BFB">
                            <wp:extent cx="5266055" cy="8872855"/>
                            <wp:effectExtent l="0" t="0" r="0" b="0"/>
                            <wp:docPr id="7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872855"/>
                                    </a:xfrm>
                                    <a:prstGeom prst="rect">
                                      <a:avLst/>
                                    </a:prstGeom>
                                    <a:noFill/>
                                    <a:ln>
                                      <a:noFill/>
                                    </a:ln>
                                  </pic:spPr>
                                </pic:pic>
                              </a:graphicData>
                            </a:graphic>
                          </wp:inline>
                        </w:drawing>
                      </w:r>
                    </w:p>
                  </w:txbxContent>
                </v:textbox>
                <w10:wrap type="through" anchorx="margin"/>
              </v:shape>
            </w:pict>
          </mc:Fallback>
        </mc:AlternateContent>
      </w:r>
      <w:r w:rsidR="004C633D">
        <w:rPr>
          <w:rFonts w:ascii="Times New Roman" w:hAnsi="Times New Roman"/>
        </w:rPr>
        <w:t xml:space="preserve">Community-based climate action is an approach to climate change that aims to bring to the fore people that are vulnerable to climate change in the design and implementation of climate change mitigation and adaptation measures. The most obvious forms of community-based climate action include simple, but accessible, technologies like substituting firewood and charcoal with bio-briquettes for cooking and heating purposes, storing freshwater during flooding, afforestation, raising the level of houses that are near water masses, etc. It can also include more </w:t>
      </w:r>
      <w:proofErr w:type="spellStart"/>
      <w:r w:rsidR="004C633D">
        <w:rPr>
          <w:rFonts w:ascii="Times New Roman" w:hAnsi="Times New Roman"/>
        </w:rPr>
        <w:t>comple</w:t>
      </w:r>
      <w:proofErr w:type="spellEnd"/>
      <w:r w:rsidR="004C633D">
        <w:rPr>
          <w:rFonts w:ascii="Times New Roman" w:hAnsi="Times New Roman"/>
        </w:rPr>
        <w:t xml:space="preserve"> forms of social and economic resilience, such as increasing access to a wider range of livelihoods or reducing the vulnerability of social groups that are exposed to climate risks. Community-based climate action offers useful lessons for broader transformation to socially inclusive forms of climate change policy and organization, rather than in infrastructure and technology alone.</w:t>
      </w:r>
    </w:p>
    <w:p w14:paraId="63170332" w14:textId="16F1FDAE" w:rsidR="002907AA" w:rsidRPr="00F845CA" w:rsidRDefault="00F845CA" w:rsidP="00F845CA">
      <w:pPr>
        <w:pStyle w:val="ListParagraph"/>
        <w:spacing w:after="0" w:line="360" w:lineRule="auto"/>
        <w:ind w:left="426"/>
        <w:jc w:val="both"/>
        <w:rPr>
          <w:rFonts w:ascii="Times New Roman" w:hAnsi="Times New Roman"/>
          <w:b/>
        </w:rPr>
      </w:pPr>
      <w:r>
        <w:rPr>
          <w:noProof/>
          <w:lang w:val="en-US"/>
        </w:rPr>
        <w:lastRenderedPageBreak/>
        <mc:AlternateContent>
          <mc:Choice Requires="wps">
            <w:drawing>
              <wp:anchor distT="0" distB="0" distL="114300" distR="114300" simplePos="0" relativeHeight="252733440" behindDoc="0" locked="0" layoutInCell="1" allowOverlap="1" wp14:anchorId="15F49033" wp14:editId="684BC3C7">
                <wp:simplePos x="0" y="0"/>
                <wp:positionH relativeFrom="column">
                  <wp:posOffset>-139700</wp:posOffset>
                </wp:positionH>
                <wp:positionV relativeFrom="paragraph">
                  <wp:posOffset>0</wp:posOffset>
                </wp:positionV>
                <wp:extent cx="5238750" cy="9029700"/>
                <wp:effectExtent l="0" t="0" r="0" b="12700"/>
                <wp:wrapNone/>
                <wp:docPr id="1804" name="Text Box 1804"/>
                <wp:cNvGraphicFramePr/>
                <a:graphic xmlns:a="http://schemas.openxmlformats.org/drawingml/2006/main">
                  <a:graphicData uri="http://schemas.microsoft.com/office/word/2010/wordprocessingShape">
                    <wps:wsp>
                      <wps:cNvSpPr txBox="1"/>
                      <wps:spPr>
                        <a:xfrm>
                          <a:off x="0" y="0"/>
                          <a:ext cx="5238750" cy="9029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7C2FB" w14:textId="77777777" w:rsidR="002E5195" w:rsidRPr="0077363F" w:rsidRDefault="002E5195" w:rsidP="00F845CA">
                            <w:pPr>
                              <w:spacing w:after="0" w:line="240" w:lineRule="auto"/>
                              <w:jc w:val="both"/>
                              <w:rPr>
                                <w:rFonts w:ascii="Times New Roman" w:hAnsi="Times New Roman"/>
                              </w:rPr>
                            </w:pPr>
                          </w:p>
                          <w:p w14:paraId="66DB722D" w14:textId="77777777" w:rsidR="002E5195" w:rsidRDefault="002E5195" w:rsidP="00F845CA">
                            <w:pPr>
                              <w:spacing w:after="0" w:line="240" w:lineRule="auto"/>
                              <w:jc w:val="both"/>
                              <w:rPr>
                                <w:rFonts w:ascii="Times New Roman" w:hAnsi="Times New Roman"/>
                                <w:b/>
                                <w:color w:val="E2751D" w:themeColor="accent3"/>
                              </w:rPr>
                            </w:pPr>
                          </w:p>
                          <w:p w14:paraId="0BB814C6" w14:textId="77777777" w:rsidR="002E5195" w:rsidRDefault="002E5195" w:rsidP="00F845CA">
                            <w:pPr>
                              <w:spacing w:after="0" w:line="240" w:lineRule="auto"/>
                              <w:jc w:val="both"/>
                              <w:rPr>
                                <w:rFonts w:ascii="Times New Roman" w:hAnsi="Times New Roman"/>
                                <w:b/>
                                <w:color w:val="E2751D" w:themeColor="accent3"/>
                              </w:rPr>
                            </w:pPr>
                          </w:p>
                          <w:p w14:paraId="48F24972" w14:textId="405A3CAE" w:rsidR="002E5195" w:rsidRDefault="002E5195" w:rsidP="00F845CA">
                            <w:pPr>
                              <w:spacing w:after="0" w:line="240" w:lineRule="auto"/>
                              <w:jc w:val="both"/>
                              <w:rPr>
                                <w:rFonts w:ascii="Times New Roman" w:hAnsi="Times New Roman"/>
                                <w:b/>
                                <w:color w:val="E2751D" w:themeColor="accent3"/>
                              </w:rPr>
                            </w:pPr>
                            <w:r>
                              <w:rPr>
                                <w:rFonts w:ascii="Times New Roman" w:hAnsi="Times New Roman"/>
                                <w:b/>
                                <w:noProof/>
                                <w:color w:val="E2751D" w:themeColor="accent3"/>
                                <w:lang w:val="en-US"/>
                              </w:rPr>
                              <w:drawing>
                                <wp:inline distT="0" distB="0" distL="0" distR="0" wp14:anchorId="0FA5FAC1" wp14:editId="0A5F6821">
                                  <wp:extent cx="5055086" cy="3243580"/>
                                  <wp:effectExtent l="0" t="0" r="0" b="762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5870" cy="3244083"/>
                                          </a:xfrm>
                                          <a:prstGeom prst="rect">
                                            <a:avLst/>
                                          </a:prstGeom>
                                          <a:noFill/>
                                          <a:ln>
                                            <a:noFill/>
                                          </a:ln>
                                        </pic:spPr>
                                      </pic:pic>
                                    </a:graphicData>
                                  </a:graphic>
                                </wp:inline>
                              </w:drawing>
                            </w:r>
                          </w:p>
                          <w:p w14:paraId="11F878D4" w14:textId="77777777" w:rsidR="002E5195" w:rsidRDefault="002E5195" w:rsidP="00F845CA">
                            <w:pPr>
                              <w:spacing w:after="0" w:line="240" w:lineRule="auto"/>
                              <w:jc w:val="both"/>
                              <w:rPr>
                                <w:rFonts w:ascii="Times New Roman" w:hAnsi="Times New Roman"/>
                                <w:b/>
                                <w:color w:val="E2751D" w:themeColor="accent3"/>
                              </w:rPr>
                            </w:pPr>
                          </w:p>
                          <w:p w14:paraId="2B300554" w14:textId="77777777" w:rsidR="002E5195" w:rsidRDefault="002E5195" w:rsidP="00F845CA">
                            <w:pPr>
                              <w:spacing w:after="0" w:line="240" w:lineRule="auto"/>
                              <w:jc w:val="both"/>
                              <w:rPr>
                                <w:rFonts w:ascii="Times New Roman" w:hAnsi="Times New Roman"/>
                                <w:b/>
                                <w:color w:val="FFFFFF" w:themeColor="background1"/>
                              </w:rPr>
                            </w:pPr>
                            <w:r w:rsidRPr="00442953">
                              <w:rPr>
                                <w:rFonts w:ascii="Times New Roman" w:hAnsi="Times New Roman"/>
                                <w:b/>
                                <w:color w:val="E2751D" w:themeColor="accent3"/>
                              </w:rPr>
                              <w:t>THE POINT</w:t>
                            </w:r>
                          </w:p>
                          <w:p w14:paraId="6C4941CD" w14:textId="77777777" w:rsidR="002E5195" w:rsidRDefault="002E5195" w:rsidP="00F845CA">
                            <w:pPr>
                              <w:spacing w:after="0" w:line="240" w:lineRule="auto"/>
                              <w:jc w:val="both"/>
                              <w:rPr>
                                <w:rFonts w:ascii="Times New Roman" w:hAnsi="Times New Roman"/>
                                <w:b/>
                                <w:color w:val="FFFFFF" w:themeColor="background1"/>
                              </w:rPr>
                            </w:pPr>
                          </w:p>
                          <w:p w14:paraId="3C139ACD" w14:textId="263105A9" w:rsidR="002E5195" w:rsidRDefault="002E5195" w:rsidP="00F845CA">
                            <w:pPr>
                              <w:spacing w:after="0" w:line="240" w:lineRule="auto"/>
                              <w:jc w:val="both"/>
                              <w:rPr>
                                <w:rFonts w:ascii="Times New Roman" w:hAnsi="Times New Roman"/>
                                <w:color w:val="FFFFFF" w:themeColor="background1"/>
                              </w:rPr>
                            </w:pPr>
                            <w:r w:rsidRPr="00442953">
                              <w:rPr>
                                <w:rFonts w:ascii="Times New Roman" w:hAnsi="Times New Roman"/>
                                <w:color w:val="FFFFFF" w:themeColor="background1"/>
                              </w:rPr>
                              <w:t xml:space="preserve">Poverty stands out as a major barrier to the sustainable </w:t>
                            </w:r>
                            <w:r>
                              <w:rPr>
                                <w:rFonts w:ascii="Times New Roman" w:hAnsi="Times New Roman"/>
                                <w:color w:val="FFFFFF" w:themeColor="background1"/>
                              </w:rPr>
                              <w:t>development of many African communities. In conformity with its vision “</w:t>
                            </w:r>
                            <w:r>
                              <w:rPr>
                                <w:rFonts w:ascii="Times New Roman" w:hAnsi="Times New Roman"/>
                                <w:i/>
                                <w:color w:val="FFFFFF" w:themeColor="background1"/>
                              </w:rPr>
                              <w:t>African communities better able to innovate and implement robust solutions to hunger, poverty, and disease and, are critically conscious of environmental health,</w:t>
                            </w:r>
                            <w:r>
                              <w:rPr>
                                <w:rFonts w:ascii="Times New Roman" w:hAnsi="Times New Roman"/>
                                <w:color w:val="FFFFFF" w:themeColor="background1"/>
                              </w:rPr>
                              <w:t xml:space="preserve">” APC has made a strategic decision to ruthlessly focus on </w:t>
                            </w:r>
                            <w:r>
                              <w:rPr>
                                <w:rFonts w:ascii="Times New Roman" w:hAnsi="Times New Roman"/>
                                <w:b/>
                                <w:color w:val="FFFFFF" w:themeColor="background1"/>
                              </w:rPr>
                              <w:t>education</w:t>
                            </w:r>
                            <w:r>
                              <w:rPr>
                                <w:rFonts w:ascii="Times New Roman" w:hAnsi="Times New Roman"/>
                                <w:color w:val="FFFFFF" w:themeColor="background1"/>
                              </w:rPr>
                              <w:t xml:space="preserve">, economic </w:t>
                            </w:r>
                            <w:r>
                              <w:rPr>
                                <w:rFonts w:ascii="Times New Roman" w:hAnsi="Times New Roman"/>
                                <w:b/>
                                <w:color w:val="FFFFFF" w:themeColor="background1"/>
                              </w:rPr>
                              <w:t>empowerment</w:t>
                            </w:r>
                            <w:r>
                              <w:rPr>
                                <w:rFonts w:ascii="Times New Roman" w:hAnsi="Times New Roman"/>
                                <w:color w:val="FFFFFF" w:themeColor="background1"/>
                              </w:rPr>
                              <w:t xml:space="preserve">, and community </w:t>
                            </w:r>
                            <w:r>
                              <w:rPr>
                                <w:rFonts w:ascii="Times New Roman" w:hAnsi="Times New Roman"/>
                                <w:b/>
                                <w:color w:val="FFFFFF" w:themeColor="background1"/>
                              </w:rPr>
                              <w:t>climate action</w:t>
                            </w:r>
                            <w:r>
                              <w:rPr>
                                <w:rFonts w:ascii="Times New Roman" w:hAnsi="Times New Roman"/>
                                <w:color w:val="FFFFFF" w:themeColor="background1"/>
                              </w:rPr>
                              <w:t xml:space="preserve"> so as to enhance its impact for the communities in which the organisation works. This targeting of investment in fewer thematic areas is expected to lead to greater impact.</w:t>
                            </w:r>
                          </w:p>
                          <w:p w14:paraId="7AC8CD14" w14:textId="77777777" w:rsidR="002E5195" w:rsidRDefault="002E5195" w:rsidP="00F845CA">
                            <w:pPr>
                              <w:spacing w:after="0" w:line="240" w:lineRule="auto"/>
                              <w:jc w:val="both"/>
                              <w:rPr>
                                <w:rFonts w:ascii="Times New Roman" w:hAnsi="Times New Roman"/>
                                <w:color w:val="FFFFFF" w:themeColor="background1"/>
                              </w:rPr>
                            </w:pPr>
                          </w:p>
                          <w:p w14:paraId="516E50F4" w14:textId="483E62E6" w:rsidR="002E5195" w:rsidRDefault="002E5195" w:rsidP="00F845CA">
                            <w:p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APC has also made a strategic decision to take full advantage of the entrepreneurial opportunities in the wood sector, particularly bio-briquetting enterprise and value chains, to ensure that they </w:t>
                            </w:r>
                            <w:proofErr w:type="spellStart"/>
                            <w:r>
                              <w:rPr>
                                <w:rFonts w:ascii="Times New Roman" w:hAnsi="Times New Roman"/>
                                <w:color w:val="FFFFFF" w:themeColor="background1"/>
                              </w:rPr>
                              <w:t>autocatalytically</w:t>
                            </w:r>
                            <w:proofErr w:type="spellEnd"/>
                            <w:r>
                              <w:rPr>
                                <w:rFonts w:ascii="Times New Roman" w:hAnsi="Times New Roman"/>
                                <w:color w:val="FFFFFF" w:themeColor="background1"/>
                              </w:rPr>
                              <w:t xml:space="preserve"> leverage delivery of action and outcomes in the core areas/pillars of </w:t>
                            </w:r>
                            <w:r>
                              <w:rPr>
                                <w:rFonts w:ascii="Times New Roman" w:hAnsi="Times New Roman"/>
                                <w:b/>
                                <w:color w:val="FFFFFF" w:themeColor="background1"/>
                              </w:rPr>
                              <w:t>education, economic empowerment, and community climate action</w:t>
                            </w:r>
                            <w:r>
                              <w:rPr>
                                <w:rFonts w:ascii="Times New Roman" w:hAnsi="Times New Roman"/>
                                <w:color w:val="FFFFFF" w:themeColor="background1"/>
                              </w:rPr>
                              <w:t>.</w:t>
                            </w:r>
                          </w:p>
                          <w:p w14:paraId="102487AC" w14:textId="77777777" w:rsidR="002E5195" w:rsidRDefault="002E5195" w:rsidP="00F845CA">
                            <w:pPr>
                              <w:spacing w:after="0" w:line="240" w:lineRule="auto"/>
                              <w:jc w:val="both"/>
                              <w:rPr>
                                <w:rFonts w:ascii="Times New Roman" w:hAnsi="Times New Roman"/>
                                <w:color w:val="FFFFFF" w:themeColor="background1"/>
                              </w:rPr>
                            </w:pPr>
                          </w:p>
                          <w:p w14:paraId="64757B98" w14:textId="77777777" w:rsidR="002E5195" w:rsidRDefault="002E5195" w:rsidP="00F845CA">
                            <w:pPr>
                              <w:spacing w:after="0" w:line="240" w:lineRule="auto"/>
                              <w:jc w:val="both"/>
                              <w:rPr>
                                <w:rFonts w:ascii="Times New Roman" w:hAnsi="Times New Roman"/>
                                <w:color w:val="FFFFFF" w:themeColor="background1"/>
                              </w:rPr>
                            </w:pPr>
                            <w:r>
                              <w:rPr>
                                <w:rFonts w:ascii="Times New Roman" w:hAnsi="Times New Roman"/>
                                <w:color w:val="FFFFFF" w:themeColor="background1"/>
                              </w:rPr>
                              <w:t>The organisational will therefore seek to:</w:t>
                            </w:r>
                          </w:p>
                          <w:p w14:paraId="0A135335" w14:textId="77777777" w:rsidR="002E5195" w:rsidRDefault="002E5195" w:rsidP="00F845CA">
                            <w:pPr>
                              <w:spacing w:after="0" w:line="240" w:lineRule="auto"/>
                              <w:jc w:val="both"/>
                              <w:rPr>
                                <w:rFonts w:ascii="Times New Roman" w:hAnsi="Times New Roman"/>
                                <w:color w:val="FFFFFF" w:themeColor="background1"/>
                              </w:rPr>
                            </w:pPr>
                          </w:p>
                          <w:p w14:paraId="226BDBB1" w14:textId="77777777" w:rsidR="002E5195" w:rsidRDefault="002E5195" w:rsidP="00F845CA">
                            <w:pPr>
                              <w:pStyle w:val="ListParagraph"/>
                              <w:numPr>
                                <w:ilvl w:val="0"/>
                                <w:numId w:val="38"/>
                              </w:num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Contribute to ensuring </w:t>
                            </w:r>
                            <w:proofErr w:type="spellStart"/>
                            <w:r>
                              <w:rPr>
                                <w:rFonts w:ascii="Times New Roman" w:hAnsi="Times New Roman"/>
                                <w:color w:val="FFFFFF" w:themeColor="background1"/>
                              </w:rPr>
                              <w:t>invlusive</w:t>
                            </w:r>
                            <w:proofErr w:type="spellEnd"/>
                            <w:r>
                              <w:rPr>
                                <w:rFonts w:ascii="Times New Roman" w:hAnsi="Times New Roman"/>
                                <w:color w:val="FFFFFF" w:themeColor="background1"/>
                              </w:rPr>
                              <w:t xml:space="preserve"> and equitable quality ECD, primary, and secondary education for Kenyans;</w:t>
                            </w:r>
                          </w:p>
                          <w:p w14:paraId="1ED7DB10" w14:textId="77777777" w:rsidR="002E5195" w:rsidRDefault="002E5195" w:rsidP="00F845CA">
                            <w:pPr>
                              <w:pStyle w:val="ListParagraph"/>
                              <w:numPr>
                                <w:ilvl w:val="0"/>
                                <w:numId w:val="38"/>
                              </w:numPr>
                              <w:spacing w:after="0" w:line="240" w:lineRule="auto"/>
                              <w:jc w:val="both"/>
                              <w:rPr>
                                <w:rFonts w:ascii="Times New Roman" w:hAnsi="Times New Roman"/>
                                <w:color w:val="FFFFFF" w:themeColor="background1"/>
                              </w:rPr>
                            </w:pPr>
                            <w:r>
                              <w:rPr>
                                <w:rFonts w:ascii="Times New Roman" w:hAnsi="Times New Roman"/>
                                <w:color w:val="FFFFFF" w:themeColor="background1"/>
                              </w:rPr>
                              <w:t>Contribute to ensuring full and productive employment and decent work for young Kenyans; and</w:t>
                            </w:r>
                          </w:p>
                          <w:p w14:paraId="59FBAC68" w14:textId="77777777" w:rsidR="002E5195" w:rsidRDefault="002E5195" w:rsidP="00F845CA">
                            <w:pPr>
                              <w:pStyle w:val="ListParagraph"/>
                              <w:numPr>
                                <w:ilvl w:val="0"/>
                                <w:numId w:val="38"/>
                              </w:numPr>
                              <w:spacing w:after="0" w:line="240" w:lineRule="auto"/>
                              <w:jc w:val="both"/>
                              <w:rPr>
                                <w:rFonts w:ascii="Times New Roman" w:hAnsi="Times New Roman"/>
                                <w:color w:val="FFFFFF" w:themeColor="background1"/>
                              </w:rPr>
                            </w:pPr>
                            <w:r>
                              <w:rPr>
                                <w:rFonts w:ascii="Times New Roman" w:hAnsi="Times New Roman"/>
                                <w:color w:val="FFFFFF" w:themeColor="background1"/>
                              </w:rPr>
                              <w:t>Contribute to ensuring environmental stewardship through informed climate action.</w:t>
                            </w:r>
                          </w:p>
                          <w:p w14:paraId="1213CAE5" w14:textId="77777777" w:rsidR="002E5195" w:rsidRPr="00776CA7" w:rsidRDefault="002E5195" w:rsidP="00776CA7">
                            <w:pPr>
                              <w:spacing w:after="0" w:line="240" w:lineRule="auto"/>
                              <w:jc w:val="both"/>
                              <w:rPr>
                                <w:rFonts w:ascii="Times New Roman" w:hAnsi="Times New Roman"/>
                                <w:color w:val="FFFFFF" w:themeColor="background1"/>
                                <w:sz w:val="12"/>
                                <w:szCs w:val="12"/>
                              </w:rPr>
                            </w:pPr>
                          </w:p>
                          <w:p w14:paraId="310D62EB" w14:textId="137B4F98" w:rsidR="002E5195" w:rsidRPr="00776CA7" w:rsidRDefault="002E5195" w:rsidP="00776CA7">
                            <w:p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The design and implementation of supporting strategic thrusts will be underpinned by the fact that the wood energy sub-sector is complex and has varied constraining realities. Adoption of Emergent Practice, as opposed to Good or Best Practice, derived from sensible processes of </w:t>
                            </w:r>
                            <w:r>
                              <w:rPr>
                                <w:rFonts w:ascii="Times New Roman" w:hAnsi="Times New Roman"/>
                                <w:b/>
                                <w:color w:val="FFFFFF" w:themeColor="background1"/>
                              </w:rPr>
                              <w:t>probing, sensing, and responding</w:t>
                            </w:r>
                            <w:r>
                              <w:rPr>
                                <w:rFonts w:ascii="Times New Roman" w:hAnsi="Times New Roman"/>
                                <w:color w:val="FFFFFF" w:themeColor="background1"/>
                              </w:rPr>
                              <w:t xml:space="preserve"> (see the section on Approach) will be fostered.</w:t>
                            </w:r>
                          </w:p>
                          <w:p w14:paraId="27120972" w14:textId="77777777" w:rsidR="002E5195" w:rsidRDefault="002E5195" w:rsidP="00F845CA">
                            <w:pPr>
                              <w:spacing w:after="0" w:line="240" w:lineRule="auto"/>
                              <w:jc w:val="both"/>
                              <w:rPr>
                                <w:rFonts w:ascii="Times New Roman" w:hAnsi="Times New Roman"/>
                              </w:rPr>
                            </w:pPr>
                          </w:p>
                          <w:p w14:paraId="1C64FFDA" w14:textId="77777777" w:rsidR="002E5195" w:rsidRPr="0017157D" w:rsidRDefault="002E5195" w:rsidP="00F845CA">
                            <w:pPr>
                              <w:spacing w:after="0" w:line="240" w:lineRule="auto"/>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4" o:spid="_x0000_s1054" type="#_x0000_t202" style="position:absolute;left:0;text-align:left;margin-left:-10.95pt;margin-top:0;width:412.5pt;height:711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" filled="f" stroked="f">
                <v:textbox>
                  <w:txbxContent>
                    <w:p w14:paraId="59E7C2FB" w14:textId="77777777" w:rsidR="002E5195" w:rsidRPr="0077363F" w:rsidRDefault="002E5195" w:rsidP="00F845CA">
                      <w:pPr>
                        <w:spacing w:after="0" w:line="240" w:lineRule="auto"/>
                        <w:jc w:val="both"/>
                        <w:rPr>
                          <w:rFonts w:ascii="Times New Roman" w:hAnsi="Times New Roman"/>
                        </w:rPr>
                      </w:pPr>
                    </w:p>
                    <w:p w14:paraId="66DB722D" w14:textId="77777777" w:rsidR="002E5195" w:rsidRDefault="002E5195" w:rsidP="00F845CA">
                      <w:pPr>
                        <w:spacing w:after="0" w:line="240" w:lineRule="auto"/>
                        <w:jc w:val="both"/>
                        <w:rPr>
                          <w:rFonts w:ascii="Times New Roman" w:hAnsi="Times New Roman"/>
                          <w:b/>
                          <w:color w:val="E2751D" w:themeColor="accent3"/>
                        </w:rPr>
                      </w:pPr>
                    </w:p>
                    <w:p w14:paraId="0BB814C6" w14:textId="77777777" w:rsidR="002E5195" w:rsidRDefault="002E5195" w:rsidP="00F845CA">
                      <w:pPr>
                        <w:spacing w:after="0" w:line="240" w:lineRule="auto"/>
                        <w:jc w:val="both"/>
                        <w:rPr>
                          <w:rFonts w:ascii="Times New Roman" w:hAnsi="Times New Roman"/>
                          <w:b/>
                          <w:color w:val="E2751D" w:themeColor="accent3"/>
                        </w:rPr>
                      </w:pPr>
                    </w:p>
                    <w:p w14:paraId="48F24972" w14:textId="405A3CAE" w:rsidR="002E5195" w:rsidRDefault="002E5195" w:rsidP="00F845CA">
                      <w:pPr>
                        <w:spacing w:after="0" w:line="240" w:lineRule="auto"/>
                        <w:jc w:val="both"/>
                        <w:rPr>
                          <w:rFonts w:ascii="Times New Roman" w:hAnsi="Times New Roman"/>
                          <w:b/>
                          <w:color w:val="E2751D" w:themeColor="accent3"/>
                        </w:rPr>
                      </w:pPr>
                      <w:r>
                        <w:rPr>
                          <w:rFonts w:ascii="Times New Roman" w:hAnsi="Times New Roman"/>
                          <w:b/>
                          <w:noProof/>
                          <w:color w:val="E2751D" w:themeColor="accent3"/>
                          <w:lang w:val="en-US"/>
                        </w:rPr>
                        <w:drawing>
                          <wp:inline distT="0" distB="0" distL="0" distR="0" wp14:anchorId="0FA5FAC1" wp14:editId="0A5F6821">
                            <wp:extent cx="5055086" cy="3243580"/>
                            <wp:effectExtent l="0" t="0" r="0" b="762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5870" cy="3244083"/>
                                    </a:xfrm>
                                    <a:prstGeom prst="rect">
                                      <a:avLst/>
                                    </a:prstGeom>
                                    <a:noFill/>
                                    <a:ln>
                                      <a:noFill/>
                                    </a:ln>
                                  </pic:spPr>
                                </pic:pic>
                              </a:graphicData>
                            </a:graphic>
                          </wp:inline>
                        </w:drawing>
                      </w:r>
                    </w:p>
                    <w:p w14:paraId="11F878D4" w14:textId="77777777" w:rsidR="002E5195" w:rsidRDefault="002E5195" w:rsidP="00F845CA">
                      <w:pPr>
                        <w:spacing w:after="0" w:line="240" w:lineRule="auto"/>
                        <w:jc w:val="both"/>
                        <w:rPr>
                          <w:rFonts w:ascii="Times New Roman" w:hAnsi="Times New Roman"/>
                          <w:b/>
                          <w:color w:val="E2751D" w:themeColor="accent3"/>
                        </w:rPr>
                      </w:pPr>
                    </w:p>
                    <w:p w14:paraId="2B300554" w14:textId="77777777" w:rsidR="002E5195" w:rsidRDefault="002E5195" w:rsidP="00F845CA">
                      <w:pPr>
                        <w:spacing w:after="0" w:line="240" w:lineRule="auto"/>
                        <w:jc w:val="both"/>
                        <w:rPr>
                          <w:rFonts w:ascii="Times New Roman" w:hAnsi="Times New Roman"/>
                          <w:b/>
                          <w:color w:val="FFFFFF" w:themeColor="background1"/>
                        </w:rPr>
                      </w:pPr>
                      <w:r w:rsidRPr="00442953">
                        <w:rPr>
                          <w:rFonts w:ascii="Times New Roman" w:hAnsi="Times New Roman"/>
                          <w:b/>
                          <w:color w:val="E2751D" w:themeColor="accent3"/>
                        </w:rPr>
                        <w:t>THE POINT</w:t>
                      </w:r>
                    </w:p>
                    <w:p w14:paraId="6C4941CD" w14:textId="77777777" w:rsidR="002E5195" w:rsidRDefault="002E5195" w:rsidP="00F845CA">
                      <w:pPr>
                        <w:spacing w:after="0" w:line="240" w:lineRule="auto"/>
                        <w:jc w:val="both"/>
                        <w:rPr>
                          <w:rFonts w:ascii="Times New Roman" w:hAnsi="Times New Roman"/>
                          <w:b/>
                          <w:color w:val="FFFFFF" w:themeColor="background1"/>
                        </w:rPr>
                      </w:pPr>
                    </w:p>
                    <w:p w14:paraId="3C139ACD" w14:textId="263105A9" w:rsidR="002E5195" w:rsidRDefault="002E5195" w:rsidP="00F845CA">
                      <w:pPr>
                        <w:spacing w:after="0" w:line="240" w:lineRule="auto"/>
                        <w:jc w:val="both"/>
                        <w:rPr>
                          <w:rFonts w:ascii="Times New Roman" w:hAnsi="Times New Roman"/>
                          <w:color w:val="FFFFFF" w:themeColor="background1"/>
                        </w:rPr>
                      </w:pPr>
                      <w:r w:rsidRPr="00442953">
                        <w:rPr>
                          <w:rFonts w:ascii="Times New Roman" w:hAnsi="Times New Roman"/>
                          <w:color w:val="FFFFFF" w:themeColor="background1"/>
                        </w:rPr>
                        <w:t xml:space="preserve">Poverty stands out as a major barrier to the sustainable </w:t>
                      </w:r>
                      <w:r>
                        <w:rPr>
                          <w:rFonts w:ascii="Times New Roman" w:hAnsi="Times New Roman"/>
                          <w:color w:val="FFFFFF" w:themeColor="background1"/>
                        </w:rPr>
                        <w:t>development of many African communities. In conformity with its vision “</w:t>
                      </w:r>
                      <w:r>
                        <w:rPr>
                          <w:rFonts w:ascii="Times New Roman" w:hAnsi="Times New Roman"/>
                          <w:i/>
                          <w:color w:val="FFFFFF" w:themeColor="background1"/>
                        </w:rPr>
                        <w:t>African communities better able to innovate and implement robust solutions to hunger, poverty, and disease and, are critically conscious of environmental health,</w:t>
                      </w:r>
                      <w:r>
                        <w:rPr>
                          <w:rFonts w:ascii="Times New Roman" w:hAnsi="Times New Roman"/>
                          <w:color w:val="FFFFFF" w:themeColor="background1"/>
                        </w:rPr>
                        <w:t xml:space="preserve">” APC has made a strategic decision to ruthlessly focus on </w:t>
                      </w:r>
                      <w:r>
                        <w:rPr>
                          <w:rFonts w:ascii="Times New Roman" w:hAnsi="Times New Roman"/>
                          <w:b/>
                          <w:color w:val="FFFFFF" w:themeColor="background1"/>
                        </w:rPr>
                        <w:t>education</w:t>
                      </w:r>
                      <w:r>
                        <w:rPr>
                          <w:rFonts w:ascii="Times New Roman" w:hAnsi="Times New Roman"/>
                          <w:color w:val="FFFFFF" w:themeColor="background1"/>
                        </w:rPr>
                        <w:t xml:space="preserve">, economic </w:t>
                      </w:r>
                      <w:r>
                        <w:rPr>
                          <w:rFonts w:ascii="Times New Roman" w:hAnsi="Times New Roman"/>
                          <w:b/>
                          <w:color w:val="FFFFFF" w:themeColor="background1"/>
                        </w:rPr>
                        <w:t>empowerment</w:t>
                      </w:r>
                      <w:r>
                        <w:rPr>
                          <w:rFonts w:ascii="Times New Roman" w:hAnsi="Times New Roman"/>
                          <w:color w:val="FFFFFF" w:themeColor="background1"/>
                        </w:rPr>
                        <w:t xml:space="preserve">, and community </w:t>
                      </w:r>
                      <w:r>
                        <w:rPr>
                          <w:rFonts w:ascii="Times New Roman" w:hAnsi="Times New Roman"/>
                          <w:b/>
                          <w:color w:val="FFFFFF" w:themeColor="background1"/>
                        </w:rPr>
                        <w:t>climate action</w:t>
                      </w:r>
                      <w:r>
                        <w:rPr>
                          <w:rFonts w:ascii="Times New Roman" w:hAnsi="Times New Roman"/>
                          <w:color w:val="FFFFFF" w:themeColor="background1"/>
                        </w:rPr>
                        <w:t xml:space="preserve"> so as to enhance its impact for the communities in which the organisation works. This targeting of investment in fewer thematic areas is expected to lead to greater impact.</w:t>
                      </w:r>
                    </w:p>
                    <w:p w14:paraId="7AC8CD14" w14:textId="77777777" w:rsidR="002E5195" w:rsidRDefault="002E5195" w:rsidP="00F845CA">
                      <w:pPr>
                        <w:spacing w:after="0" w:line="240" w:lineRule="auto"/>
                        <w:jc w:val="both"/>
                        <w:rPr>
                          <w:rFonts w:ascii="Times New Roman" w:hAnsi="Times New Roman"/>
                          <w:color w:val="FFFFFF" w:themeColor="background1"/>
                        </w:rPr>
                      </w:pPr>
                    </w:p>
                    <w:p w14:paraId="516E50F4" w14:textId="483E62E6" w:rsidR="002E5195" w:rsidRDefault="002E5195" w:rsidP="00F845CA">
                      <w:p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APC has also made a strategic decision to take full advantage of the entrepreneurial opportunities in the wood sector, particularly bio-briquetting enterprise and value chains, to ensure that they </w:t>
                      </w:r>
                      <w:proofErr w:type="spellStart"/>
                      <w:r>
                        <w:rPr>
                          <w:rFonts w:ascii="Times New Roman" w:hAnsi="Times New Roman"/>
                          <w:color w:val="FFFFFF" w:themeColor="background1"/>
                        </w:rPr>
                        <w:t>autocatalytically</w:t>
                      </w:r>
                      <w:proofErr w:type="spellEnd"/>
                      <w:r>
                        <w:rPr>
                          <w:rFonts w:ascii="Times New Roman" w:hAnsi="Times New Roman"/>
                          <w:color w:val="FFFFFF" w:themeColor="background1"/>
                        </w:rPr>
                        <w:t xml:space="preserve"> leverage delivery of action and outcomes in the core areas/pillars of </w:t>
                      </w:r>
                      <w:r>
                        <w:rPr>
                          <w:rFonts w:ascii="Times New Roman" w:hAnsi="Times New Roman"/>
                          <w:b/>
                          <w:color w:val="FFFFFF" w:themeColor="background1"/>
                        </w:rPr>
                        <w:t>education, economic empowerment, and community climate action</w:t>
                      </w:r>
                      <w:r>
                        <w:rPr>
                          <w:rFonts w:ascii="Times New Roman" w:hAnsi="Times New Roman"/>
                          <w:color w:val="FFFFFF" w:themeColor="background1"/>
                        </w:rPr>
                        <w:t>.</w:t>
                      </w:r>
                    </w:p>
                    <w:p w14:paraId="102487AC" w14:textId="77777777" w:rsidR="002E5195" w:rsidRDefault="002E5195" w:rsidP="00F845CA">
                      <w:pPr>
                        <w:spacing w:after="0" w:line="240" w:lineRule="auto"/>
                        <w:jc w:val="both"/>
                        <w:rPr>
                          <w:rFonts w:ascii="Times New Roman" w:hAnsi="Times New Roman"/>
                          <w:color w:val="FFFFFF" w:themeColor="background1"/>
                        </w:rPr>
                      </w:pPr>
                    </w:p>
                    <w:p w14:paraId="64757B98" w14:textId="77777777" w:rsidR="002E5195" w:rsidRDefault="002E5195" w:rsidP="00F845CA">
                      <w:pPr>
                        <w:spacing w:after="0" w:line="240" w:lineRule="auto"/>
                        <w:jc w:val="both"/>
                        <w:rPr>
                          <w:rFonts w:ascii="Times New Roman" w:hAnsi="Times New Roman"/>
                          <w:color w:val="FFFFFF" w:themeColor="background1"/>
                        </w:rPr>
                      </w:pPr>
                      <w:r>
                        <w:rPr>
                          <w:rFonts w:ascii="Times New Roman" w:hAnsi="Times New Roman"/>
                          <w:color w:val="FFFFFF" w:themeColor="background1"/>
                        </w:rPr>
                        <w:t>The organisational will therefore seek to:</w:t>
                      </w:r>
                    </w:p>
                    <w:p w14:paraId="0A135335" w14:textId="77777777" w:rsidR="002E5195" w:rsidRDefault="002E5195" w:rsidP="00F845CA">
                      <w:pPr>
                        <w:spacing w:after="0" w:line="240" w:lineRule="auto"/>
                        <w:jc w:val="both"/>
                        <w:rPr>
                          <w:rFonts w:ascii="Times New Roman" w:hAnsi="Times New Roman"/>
                          <w:color w:val="FFFFFF" w:themeColor="background1"/>
                        </w:rPr>
                      </w:pPr>
                    </w:p>
                    <w:p w14:paraId="226BDBB1" w14:textId="77777777" w:rsidR="002E5195" w:rsidRDefault="002E5195" w:rsidP="00F845CA">
                      <w:pPr>
                        <w:pStyle w:val="ListParagraph"/>
                        <w:numPr>
                          <w:ilvl w:val="0"/>
                          <w:numId w:val="38"/>
                        </w:num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Contribute to ensuring </w:t>
                      </w:r>
                      <w:proofErr w:type="spellStart"/>
                      <w:r>
                        <w:rPr>
                          <w:rFonts w:ascii="Times New Roman" w:hAnsi="Times New Roman"/>
                          <w:color w:val="FFFFFF" w:themeColor="background1"/>
                        </w:rPr>
                        <w:t>invlusive</w:t>
                      </w:r>
                      <w:proofErr w:type="spellEnd"/>
                      <w:r>
                        <w:rPr>
                          <w:rFonts w:ascii="Times New Roman" w:hAnsi="Times New Roman"/>
                          <w:color w:val="FFFFFF" w:themeColor="background1"/>
                        </w:rPr>
                        <w:t xml:space="preserve"> and equitable quality ECD, primary, and secondary education for Kenyans;</w:t>
                      </w:r>
                    </w:p>
                    <w:p w14:paraId="1ED7DB10" w14:textId="77777777" w:rsidR="002E5195" w:rsidRDefault="002E5195" w:rsidP="00F845CA">
                      <w:pPr>
                        <w:pStyle w:val="ListParagraph"/>
                        <w:numPr>
                          <w:ilvl w:val="0"/>
                          <w:numId w:val="38"/>
                        </w:numPr>
                        <w:spacing w:after="0" w:line="240" w:lineRule="auto"/>
                        <w:jc w:val="both"/>
                        <w:rPr>
                          <w:rFonts w:ascii="Times New Roman" w:hAnsi="Times New Roman"/>
                          <w:color w:val="FFFFFF" w:themeColor="background1"/>
                        </w:rPr>
                      </w:pPr>
                      <w:r>
                        <w:rPr>
                          <w:rFonts w:ascii="Times New Roman" w:hAnsi="Times New Roman"/>
                          <w:color w:val="FFFFFF" w:themeColor="background1"/>
                        </w:rPr>
                        <w:t>Contribute to ensuring full and productive employment and decent work for young Kenyans; and</w:t>
                      </w:r>
                    </w:p>
                    <w:p w14:paraId="59FBAC68" w14:textId="77777777" w:rsidR="002E5195" w:rsidRDefault="002E5195" w:rsidP="00F845CA">
                      <w:pPr>
                        <w:pStyle w:val="ListParagraph"/>
                        <w:numPr>
                          <w:ilvl w:val="0"/>
                          <w:numId w:val="38"/>
                        </w:numPr>
                        <w:spacing w:after="0" w:line="240" w:lineRule="auto"/>
                        <w:jc w:val="both"/>
                        <w:rPr>
                          <w:rFonts w:ascii="Times New Roman" w:hAnsi="Times New Roman"/>
                          <w:color w:val="FFFFFF" w:themeColor="background1"/>
                        </w:rPr>
                      </w:pPr>
                      <w:r>
                        <w:rPr>
                          <w:rFonts w:ascii="Times New Roman" w:hAnsi="Times New Roman"/>
                          <w:color w:val="FFFFFF" w:themeColor="background1"/>
                        </w:rPr>
                        <w:t>Contribute to ensuring environmental stewardship through informed climate action.</w:t>
                      </w:r>
                    </w:p>
                    <w:p w14:paraId="1213CAE5" w14:textId="77777777" w:rsidR="002E5195" w:rsidRPr="00776CA7" w:rsidRDefault="002E5195" w:rsidP="00776CA7">
                      <w:pPr>
                        <w:spacing w:after="0" w:line="240" w:lineRule="auto"/>
                        <w:jc w:val="both"/>
                        <w:rPr>
                          <w:rFonts w:ascii="Times New Roman" w:hAnsi="Times New Roman"/>
                          <w:color w:val="FFFFFF" w:themeColor="background1"/>
                          <w:sz w:val="12"/>
                          <w:szCs w:val="12"/>
                        </w:rPr>
                      </w:pPr>
                    </w:p>
                    <w:p w14:paraId="310D62EB" w14:textId="137B4F98" w:rsidR="002E5195" w:rsidRPr="00776CA7" w:rsidRDefault="002E5195" w:rsidP="00776CA7">
                      <w:p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The design and implementation of supporting strategic thrusts will be underpinned by the fact that the wood energy sub-sector is complex and has varied constraining realities. Adoption of Emergent Practice, as opposed to Good or Best Practice, derived from sensible processes of </w:t>
                      </w:r>
                      <w:r>
                        <w:rPr>
                          <w:rFonts w:ascii="Times New Roman" w:hAnsi="Times New Roman"/>
                          <w:b/>
                          <w:color w:val="FFFFFF" w:themeColor="background1"/>
                        </w:rPr>
                        <w:t>probing, sensing, and responding</w:t>
                      </w:r>
                      <w:r>
                        <w:rPr>
                          <w:rFonts w:ascii="Times New Roman" w:hAnsi="Times New Roman"/>
                          <w:color w:val="FFFFFF" w:themeColor="background1"/>
                        </w:rPr>
                        <w:t xml:space="preserve"> (see the section on Approach) will be fostered.</w:t>
                      </w:r>
                    </w:p>
                    <w:p w14:paraId="27120972" w14:textId="77777777" w:rsidR="002E5195" w:rsidRDefault="002E5195" w:rsidP="00F845CA">
                      <w:pPr>
                        <w:spacing w:after="0" w:line="240" w:lineRule="auto"/>
                        <w:jc w:val="both"/>
                        <w:rPr>
                          <w:rFonts w:ascii="Times New Roman" w:hAnsi="Times New Roman"/>
                        </w:rPr>
                      </w:pPr>
                    </w:p>
                    <w:p w14:paraId="1C64FFDA" w14:textId="77777777" w:rsidR="002E5195" w:rsidRPr="0017157D" w:rsidRDefault="002E5195" w:rsidP="00F845CA">
                      <w:pPr>
                        <w:spacing w:after="0" w:line="240" w:lineRule="auto"/>
                        <w:jc w:val="both"/>
                        <w:rPr>
                          <w:rFonts w:ascii="Times New Roman" w:hAnsi="Times New Roman"/>
                        </w:rPr>
                      </w:pPr>
                    </w:p>
                  </w:txbxContent>
                </v:textbox>
              </v:shape>
            </w:pict>
          </mc:Fallback>
        </mc:AlternateContent>
      </w:r>
      <w:r w:rsidR="00D84370">
        <w:rPr>
          <w:rFonts w:ascii="Times New Roman" w:hAnsi="Times New Roman"/>
          <w:noProof/>
          <w:sz w:val="24"/>
          <w:szCs w:val="24"/>
          <w:lang w:val="en-US"/>
        </w:rPr>
        <mc:AlternateContent>
          <mc:Choice Requires="wps">
            <w:drawing>
              <wp:anchor distT="0" distB="0" distL="114300" distR="114300" simplePos="0" relativeHeight="252636160" behindDoc="0" locked="0" layoutInCell="1" allowOverlap="1" wp14:anchorId="0F59D077" wp14:editId="5D54FC7B">
                <wp:simplePos x="0" y="0"/>
                <wp:positionH relativeFrom="column">
                  <wp:posOffset>-1087120</wp:posOffset>
                </wp:positionH>
                <wp:positionV relativeFrom="paragraph">
                  <wp:posOffset>-114300</wp:posOffset>
                </wp:positionV>
                <wp:extent cx="7613650" cy="9258300"/>
                <wp:effectExtent l="0" t="0" r="6350" b="12700"/>
                <wp:wrapThrough wrapText="bothSides">
                  <wp:wrapPolygon edited="0">
                    <wp:start x="0" y="0"/>
                    <wp:lineTo x="0" y="21570"/>
                    <wp:lineTo x="21546" y="21570"/>
                    <wp:lineTo x="21546" y="0"/>
                    <wp:lineTo x="0" y="0"/>
                  </wp:wrapPolygon>
                </wp:wrapThrough>
                <wp:docPr id="1803" name="Text Box 1803"/>
                <wp:cNvGraphicFramePr/>
                <a:graphic xmlns:a="http://schemas.openxmlformats.org/drawingml/2006/main">
                  <a:graphicData uri="http://schemas.microsoft.com/office/word/2010/wordprocessingShape">
                    <wps:wsp>
                      <wps:cNvSpPr txBox="1"/>
                      <wps:spPr>
                        <a:xfrm>
                          <a:off x="0" y="0"/>
                          <a:ext cx="7613650" cy="9258300"/>
                        </a:xfrm>
                        <a:prstGeom prst="rect">
                          <a:avLst/>
                        </a:prstGeom>
                        <a:solidFill>
                          <a:schemeClr val="tx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B3B68B" w14:textId="77777777" w:rsidR="002E5195" w:rsidRDefault="002E5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03" o:spid="_x0000_s1055" type="#_x0000_t202" style="position:absolute;left:0;text-align:left;margin-left:-85.55pt;margin-top:-8.95pt;width:599.5pt;height:729pt;z-index:25263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" fillcolor="#09213b [3215]" stroked="f">
                <v:textbox>
                  <w:txbxContent>
                    <w:p w14:paraId="22B3B68B" w14:textId="77777777" w:rsidR="002E5195" w:rsidRDefault="002E5195"/>
                  </w:txbxContent>
                </v:textbox>
                <w10:wrap type="through"/>
              </v:shape>
            </w:pict>
          </mc:Fallback>
        </mc:AlternateContent>
      </w:r>
    </w:p>
    <w:p w14:paraId="0087CC00" w14:textId="77777777" w:rsidR="00594B93" w:rsidRPr="005B11F9" w:rsidRDefault="005B11F9" w:rsidP="008B267E">
      <w:pPr>
        <w:pStyle w:val="ListParagraph"/>
        <w:numPr>
          <w:ilvl w:val="0"/>
          <w:numId w:val="7"/>
        </w:numPr>
        <w:spacing w:after="0" w:line="360" w:lineRule="auto"/>
        <w:ind w:left="426" w:hanging="426"/>
        <w:jc w:val="both"/>
        <w:rPr>
          <w:rFonts w:ascii="Times New Roman" w:hAnsi="Times New Roman"/>
          <w:b/>
        </w:rPr>
      </w:pPr>
      <w:r>
        <w:rPr>
          <w:rFonts w:ascii="Times New Roman" w:hAnsi="Times New Roman"/>
          <w:b/>
        </w:rPr>
        <w:lastRenderedPageBreak/>
        <w:t>APPROACH</w:t>
      </w:r>
    </w:p>
    <w:p w14:paraId="73F10A93" w14:textId="662C1E3F" w:rsidR="00C47C63" w:rsidRDefault="005B11F9" w:rsidP="008B267E">
      <w:pPr>
        <w:spacing w:after="0" w:line="360" w:lineRule="auto"/>
        <w:jc w:val="both"/>
        <w:rPr>
          <w:rFonts w:ascii="Times New Roman" w:hAnsi="Times New Roman"/>
        </w:rPr>
      </w:pPr>
      <w:r>
        <w:rPr>
          <w:rFonts w:ascii="Times New Roman" w:hAnsi="Times New Roman"/>
        </w:rPr>
        <w:t xml:space="preserve">Given the complexity associated with the wood energy sub-sector in Kenya, </w:t>
      </w:r>
      <w:r w:rsidR="00E04E1F">
        <w:rPr>
          <w:rFonts w:ascii="Times New Roman" w:hAnsi="Times New Roman"/>
        </w:rPr>
        <w:t xml:space="preserve">Figure 1 illustrates key issues that underpin </w:t>
      </w:r>
      <w:r w:rsidR="00970E52">
        <w:rPr>
          <w:rFonts w:ascii="Times New Roman" w:hAnsi="Times New Roman"/>
        </w:rPr>
        <w:t xml:space="preserve">the design and implementation of strategic </w:t>
      </w:r>
      <w:proofErr w:type="spellStart"/>
      <w:r w:rsidR="00970E52">
        <w:rPr>
          <w:rFonts w:ascii="Times New Roman" w:hAnsi="Times New Roman"/>
        </w:rPr>
        <w:t>thursts</w:t>
      </w:r>
      <w:proofErr w:type="spellEnd"/>
      <w:r w:rsidR="00970E52">
        <w:rPr>
          <w:rFonts w:ascii="Times New Roman" w:hAnsi="Times New Roman"/>
        </w:rPr>
        <w:t xml:space="preserve"> under this</w:t>
      </w:r>
      <w:r w:rsidR="00E04E1F">
        <w:rPr>
          <w:rFonts w:ascii="Times New Roman" w:hAnsi="Times New Roman"/>
        </w:rPr>
        <w:t xml:space="preserve"> project.</w:t>
      </w:r>
      <w:r w:rsidR="00F845CA" w:rsidRPr="00F845CA">
        <w:rPr>
          <w:noProof/>
          <w:lang w:val="en-US"/>
        </w:rPr>
        <w:t xml:space="preserve"> </w:t>
      </w:r>
    </w:p>
    <w:p w14:paraId="68A79B4F" w14:textId="77777777" w:rsidR="006711E4" w:rsidRDefault="006711E4" w:rsidP="008B267E">
      <w:pPr>
        <w:spacing w:after="0" w:line="360" w:lineRule="auto"/>
        <w:jc w:val="both"/>
        <w:rPr>
          <w:rFonts w:ascii="Times New Roman" w:hAnsi="Times New Roman"/>
        </w:rPr>
      </w:pPr>
    </w:p>
    <w:p w14:paraId="44044C7C" w14:textId="383E489B" w:rsidR="00E04E1F" w:rsidRDefault="00E04E1F" w:rsidP="008B267E">
      <w:pPr>
        <w:spacing w:after="0" w:line="360" w:lineRule="auto"/>
        <w:jc w:val="both"/>
        <w:rPr>
          <w:rFonts w:ascii="Times New Roman" w:hAnsi="Times New Roman"/>
        </w:rPr>
      </w:pPr>
      <w:r>
        <w:rPr>
          <w:rFonts w:ascii="Book Antiqua" w:hAnsi="Book Antiqua" w:cs="Arial Hebrew"/>
          <w:noProof/>
          <w:lang w:val="en-US"/>
        </w:rPr>
        <mc:AlternateContent>
          <mc:Choice Requires="wpg">
            <w:drawing>
              <wp:anchor distT="0" distB="0" distL="114300" distR="114300" simplePos="0" relativeHeight="252723200" behindDoc="0" locked="0" layoutInCell="1" allowOverlap="1" wp14:anchorId="0EA602E7" wp14:editId="236989CA">
                <wp:simplePos x="0" y="0"/>
                <wp:positionH relativeFrom="column">
                  <wp:posOffset>-69850</wp:posOffset>
                </wp:positionH>
                <wp:positionV relativeFrom="paragraph">
                  <wp:posOffset>77470</wp:posOffset>
                </wp:positionV>
                <wp:extent cx="5455285" cy="7315200"/>
                <wp:effectExtent l="50800" t="152400" r="132715" b="0"/>
                <wp:wrapThrough wrapText="bothSides">
                  <wp:wrapPolygon edited="0">
                    <wp:start x="7643" y="-450"/>
                    <wp:lineTo x="7040" y="-300"/>
                    <wp:lineTo x="7040" y="2100"/>
                    <wp:lineTo x="5230" y="2100"/>
                    <wp:lineTo x="5230" y="3150"/>
                    <wp:lineTo x="402" y="3300"/>
                    <wp:lineTo x="402" y="4500"/>
                    <wp:lineTo x="-201" y="4500"/>
                    <wp:lineTo x="-201" y="7050"/>
                    <wp:lineTo x="4023" y="8100"/>
                    <wp:lineTo x="4526" y="8175"/>
                    <wp:lineTo x="5833" y="9300"/>
                    <wp:lineTo x="7040" y="10500"/>
                    <wp:lineTo x="7140" y="12675"/>
                    <wp:lineTo x="-201" y="12900"/>
                    <wp:lineTo x="-201" y="21525"/>
                    <wp:lineTo x="21723" y="21525"/>
                    <wp:lineTo x="21924" y="12975"/>
                    <wp:lineTo x="15287" y="12675"/>
                    <wp:lineTo x="15186" y="10500"/>
                    <wp:lineTo x="16494" y="9300"/>
                    <wp:lineTo x="17600" y="8175"/>
                    <wp:lineTo x="18103" y="8100"/>
                    <wp:lineTo x="22025" y="7050"/>
                    <wp:lineTo x="22025" y="4575"/>
                    <wp:lineTo x="17902" y="4500"/>
                    <wp:lineTo x="17902" y="3300"/>
                    <wp:lineTo x="17198" y="3300"/>
                    <wp:lineTo x="17198" y="2100"/>
                    <wp:lineTo x="15387" y="2025"/>
                    <wp:lineTo x="15287" y="450"/>
                    <wp:lineTo x="14583" y="-450"/>
                    <wp:lineTo x="7643" y="-450"/>
                  </wp:wrapPolygon>
                </wp:wrapThrough>
                <wp:docPr id="14001" name="Group 14001"/>
                <wp:cNvGraphicFramePr/>
                <a:graphic xmlns:a="http://schemas.openxmlformats.org/drawingml/2006/main">
                  <a:graphicData uri="http://schemas.microsoft.com/office/word/2010/wordprocessingGroup">
                    <wpg:wgp>
                      <wpg:cNvGrpSpPr/>
                      <wpg:grpSpPr>
                        <a:xfrm>
                          <a:off x="0" y="0"/>
                          <a:ext cx="5455285" cy="7315200"/>
                          <a:chOff x="0" y="-431029"/>
                          <a:chExt cx="5727700" cy="7807189"/>
                        </a:xfrm>
                      </wpg:grpSpPr>
                      <wpg:grpSp>
                        <wpg:cNvPr id="14002" name="Group 14002"/>
                        <wpg:cNvGrpSpPr/>
                        <wpg:grpSpPr>
                          <a:xfrm>
                            <a:off x="69850" y="-431029"/>
                            <a:ext cx="5657850" cy="4411980"/>
                            <a:chOff x="0" y="-431029"/>
                            <a:chExt cx="5657850" cy="4411980"/>
                          </a:xfrm>
                        </wpg:grpSpPr>
                        <wpg:graphicFrame>
                          <wpg:cNvPr id="14003" name="Diagram 14003"/>
                          <wpg:cNvFrPr/>
                          <wpg:xfrm>
                            <a:off x="0" y="-431029"/>
                            <a:ext cx="5657850" cy="441198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s:wsp>
                          <wps:cNvPr id="14004" name="Oval 14004"/>
                          <wps:cNvSpPr/>
                          <wps:spPr>
                            <a:xfrm>
                              <a:off x="2203629" y="1032819"/>
                              <a:ext cx="1466850" cy="1043939"/>
                            </a:xfrm>
                            <a:prstGeom prst="ellipse">
                              <a:avLst/>
                            </a:prstGeom>
                            <a:solidFill>
                              <a:schemeClr val="accent3">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13007E8" w14:textId="77777777" w:rsidR="002E5195" w:rsidRPr="00E04E1F" w:rsidRDefault="002E5195" w:rsidP="00E04E1F">
                                <w:pPr>
                                  <w:spacing w:after="0"/>
                                  <w:jc w:val="center"/>
                                  <w:rPr>
                                    <w:rFonts w:ascii="Book Antiqua" w:hAnsi="Book Antiqua" w:cs="Arial"/>
                                    <w:b/>
                                    <w:color w:val="FFFFFF" w:themeColor="background1"/>
                                  </w:rPr>
                                </w:pPr>
                                <w:r w:rsidRPr="00E04E1F">
                                  <w:rPr>
                                    <w:rFonts w:ascii="Book Antiqua" w:hAnsi="Book Antiqua" w:cs="Arial"/>
                                    <w:b/>
                                    <w:color w:val="FFFFFF" w:themeColor="background1"/>
                                  </w:rPr>
                                  <w:t>Managing Complexity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005" name="Picture 1400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4326477"/>
                            <a:ext cx="5727700" cy="304968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001" o:spid="_x0000_s1056" style="position:absolute;left:0;text-align:left;margin-left:-5.45pt;margin-top:6.1pt;width:429.55pt;height:8in;z-index:252723200;mso-width-relative:margin;mso-height-relative:margin" coordorigin=",-431029" coordsize="5727700,7807189" o:gfxdata="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">
                <v:group id="Group 14002" o:spid="_x0000_s1057" style="position:absolute;left:69850;top:-431029;width:5657850;height:4411980" coordorigin=",-431029" coordsize="5657850,4411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HYSOcUAAADe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4003" o:spid="_x0000_s1058" type="#_x0000_t75" style="position:absolute;left:-76251;top:-574161;width:6086790;height:503563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">
                    <v:imagedata r:id="rId21" o:title=""/>
                    <o:lock v:ext="edit" aspectratio="f"/>
                  </v:shape>
                  <v:oval id="Oval 14004" o:spid="_x0000_s1059" style="position:absolute;left:2203629;top:1032819;width:1466850;height:10439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2hyxxQAA&#10;AN4AAAAPAAAAZHJzL2Rvd25yZXYueG1sRE9Na8JAEL0X+h+WEbzprsXaGl1DEAs9eGlqod7G7JgE&#10;s7Mhu2rsr3cLhd7m8T5nmfa2ERfqfO1Yw2SsQBAXztRcath9vo1eQfiAbLBxTBpu5CFdPT4sMTHu&#10;yh90yUMpYgj7BDVUIbSJlL6oyKIfu5Y4ckfXWQwRdqU0HV5juG3kk1IzabHm2FBhS+uKilN+thoO&#10;t5/9xnzl27ntM/Yvz7s1f2+0Hg76bAEiUB/+xX/udxPnT5Wawu878Qa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aHLHFAAAA3gAAAA8AAAAAAAAAAAAAAAAAlwIAAGRycy9k&#10;b3ducmV2LnhtbFBLBQYAAAAABAAEAPUAAACJAwAAAAA=&#10;" fillcolor="#a95715 [2406]" stroked="f" strokeweight="2pt">
                    <v:stroke linestyle="thinThin"/>
                    <v:textbox>
                      <w:txbxContent>
                        <w:p w14:paraId="613007E8" w14:textId="77777777" w:rsidR="002E5195" w:rsidRPr="00E04E1F" w:rsidRDefault="002E5195" w:rsidP="00E04E1F">
                          <w:pPr>
                            <w:spacing w:after="0"/>
                            <w:jc w:val="center"/>
                            <w:rPr>
                              <w:rFonts w:ascii="Book Antiqua" w:hAnsi="Book Antiqua" w:cs="Arial"/>
                              <w:b/>
                              <w:color w:val="FFFFFF" w:themeColor="background1"/>
                            </w:rPr>
                          </w:pPr>
                          <w:r w:rsidRPr="00E04E1F">
                            <w:rPr>
                              <w:rFonts w:ascii="Book Antiqua" w:hAnsi="Book Antiqua" w:cs="Arial"/>
                              <w:b/>
                              <w:color w:val="FFFFFF" w:themeColor="background1"/>
                            </w:rPr>
                            <w:t>Managing Complexity</w:t>
                          </w:r>
                        </w:p>
                      </w:txbxContent>
                    </v:textbox>
                  </v:oval>
                </v:group>
                <v:shape id="Picture 14005" o:spid="_x0000_s1060" type="#_x0000_t75" style="position:absolute;top:4326477;width:5727700;height:30496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4&#10;tbHEAAAA3gAAAA8AAABkcnMvZG93bnJldi54bWxET01rAjEQvQv9D2EKvWlSqVJWs6KVQsFD0e2h&#10;x3Ezu1ncTJZN1G1/vSkIvc3jfc5yNbhWXKgPjWcNzxMFgrj0puFaw1fxPn4FESKywdYzafihAKv8&#10;YbTEzPgr7+lyiLVIIRwy1GBj7DIpQ2nJYZj4jjhxle8dxgT7WpoerynctXKq1Fw6bDg1WOzozVJ5&#10;Opydhv0mWPt55N25pF+3K763m0oVWj89DusFiEhD/Bff3R8mzX9RagZ/76QbZH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A4tbHEAAAA3gAAAA8AAAAAAAAAAAAAAAAAnAIA&#10;AGRycy9kb3ducmV2LnhtbFBLBQYAAAAABAAEAPcAAACNAwAAAAA=&#10;">
                  <v:imagedata r:id="rId22" o:title=""/>
                  <v:path arrowok="t"/>
                </v:shape>
                <w10:wrap type="through"/>
              </v:group>
            </w:pict>
          </mc:Fallback>
        </mc:AlternateContent>
      </w:r>
    </w:p>
    <w:p w14:paraId="0A7C64B4" w14:textId="64D10E77" w:rsidR="00E04E1F" w:rsidRDefault="00E04E1F" w:rsidP="008B267E">
      <w:pPr>
        <w:spacing w:after="0" w:line="360" w:lineRule="auto"/>
        <w:jc w:val="both"/>
        <w:rPr>
          <w:rFonts w:ascii="Times New Roman" w:hAnsi="Times New Roman"/>
        </w:rPr>
      </w:pPr>
    </w:p>
    <w:p w14:paraId="73F70B68" w14:textId="1E22CDCF" w:rsidR="00E04E1F" w:rsidRDefault="00E04E1F" w:rsidP="008B267E">
      <w:pPr>
        <w:spacing w:after="0" w:line="360" w:lineRule="auto"/>
        <w:jc w:val="both"/>
        <w:rPr>
          <w:rFonts w:ascii="Times New Roman" w:hAnsi="Times New Roman"/>
        </w:rPr>
      </w:pPr>
    </w:p>
    <w:p w14:paraId="4F58C45D" w14:textId="750681B1" w:rsidR="00883570" w:rsidRDefault="00883570" w:rsidP="00E04E1F">
      <w:pPr>
        <w:pStyle w:val="ListParagraph"/>
        <w:spacing w:after="0" w:line="360" w:lineRule="auto"/>
        <w:jc w:val="both"/>
        <w:rPr>
          <w:rFonts w:ascii="Times New Roman" w:hAnsi="Times New Roman"/>
        </w:rPr>
      </w:pPr>
    </w:p>
    <w:p w14:paraId="75FFFD15" w14:textId="77777777" w:rsidR="006711E4" w:rsidRDefault="006711E4" w:rsidP="00E04E1F">
      <w:pPr>
        <w:pStyle w:val="ListParagraph"/>
        <w:spacing w:after="0" w:line="360" w:lineRule="auto"/>
        <w:jc w:val="both"/>
        <w:rPr>
          <w:rFonts w:ascii="Times New Roman" w:hAnsi="Times New Roman"/>
        </w:rPr>
      </w:pPr>
    </w:p>
    <w:p w14:paraId="789CF8E9" w14:textId="77777777" w:rsidR="006711E4" w:rsidRDefault="006711E4" w:rsidP="00E04E1F">
      <w:pPr>
        <w:pStyle w:val="ListParagraph"/>
        <w:spacing w:after="0" w:line="360" w:lineRule="auto"/>
        <w:jc w:val="both"/>
        <w:rPr>
          <w:rFonts w:ascii="Times New Roman" w:hAnsi="Times New Roman"/>
        </w:rPr>
      </w:pPr>
    </w:p>
    <w:p w14:paraId="390608FE" w14:textId="77777777" w:rsidR="006711E4" w:rsidRDefault="006711E4" w:rsidP="00E04E1F">
      <w:pPr>
        <w:pStyle w:val="ListParagraph"/>
        <w:spacing w:after="0" w:line="360" w:lineRule="auto"/>
        <w:jc w:val="both"/>
        <w:rPr>
          <w:rFonts w:ascii="Times New Roman" w:hAnsi="Times New Roman"/>
        </w:rPr>
      </w:pPr>
    </w:p>
    <w:p w14:paraId="3793C5FA" w14:textId="77777777" w:rsidR="006711E4" w:rsidRDefault="006711E4" w:rsidP="00E04E1F">
      <w:pPr>
        <w:pStyle w:val="ListParagraph"/>
        <w:spacing w:after="0" w:line="360" w:lineRule="auto"/>
        <w:jc w:val="both"/>
        <w:rPr>
          <w:rFonts w:ascii="Times New Roman" w:hAnsi="Times New Roman"/>
        </w:rPr>
      </w:pPr>
    </w:p>
    <w:p w14:paraId="3B1EC929" w14:textId="77777777" w:rsidR="006711E4" w:rsidRDefault="006711E4" w:rsidP="00E04E1F">
      <w:pPr>
        <w:pStyle w:val="ListParagraph"/>
        <w:spacing w:after="0" w:line="360" w:lineRule="auto"/>
        <w:jc w:val="both"/>
        <w:rPr>
          <w:rFonts w:ascii="Times New Roman" w:hAnsi="Times New Roman"/>
        </w:rPr>
      </w:pPr>
    </w:p>
    <w:p w14:paraId="2717EC5C" w14:textId="77777777" w:rsidR="006711E4" w:rsidRDefault="006711E4" w:rsidP="00E04E1F">
      <w:pPr>
        <w:pStyle w:val="ListParagraph"/>
        <w:spacing w:after="0" w:line="360" w:lineRule="auto"/>
        <w:jc w:val="both"/>
        <w:rPr>
          <w:rFonts w:ascii="Times New Roman" w:hAnsi="Times New Roman"/>
        </w:rPr>
      </w:pPr>
    </w:p>
    <w:p w14:paraId="5BD33D51" w14:textId="77777777" w:rsidR="006711E4" w:rsidRDefault="006711E4" w:rsidP="00E04E1F">
      <w:pPr>
        <w:pStyle w:val="ListParagraph"/>
        <w:spacing w:after="0" w:line="360" w:lineRule="auto"/>
        <w:jc w:val="both"/>
        <w:rPr>
          <w:rFonts w:ascii="Times New Roman" w:hAnsi="Times New Roman"/>
        </w:rPr>
      </w:pPr>
    </w:p>
    <w:p w14:paraId="51E43998" w14:textId="77777777" w:rsidR="006711E4" w:rsidRDefault="006711E4" w:rsidP="00E04E1F">
      <w:pPr>
        <w:pStyle w:val="ListParagraph"/>
        <w:spacing w:after="0" w:line="360" w:lineRule="auto"/>
        <w:jc w:val="both"/>
        <w:rPr>
          <w:rFonts w:ascii="Times New Roman" w:hAnsi="Times New Roman"/>
        </w:rPr>
      </w:pPr>
    </w:p>
    <w:p w14:paraId="3B826F02" w14:textId="77777777" w:rsidR="006711E4" w:rsidRDefault="006711E4" w:rsidP="00E04E1F">
      <w:pPr>
        <w:pStyle w:val="ListParagraph"/>
        <w:spacing w:after="0" w:line="360" w:lineRule="auto"/>
        <w:jc w:val="both"/>
        <w:rPr>
          <w:rFonts w:ascii="Times New Roman" w:hAnsi="Times New Roman"/>
        </w:rPr>
      </w:pPr>
    </w:p>
    <w:p w14:paraId="15E9840F" w14:textId="77777777" w:rsidR="006711E4" w:rsidRDefault="006711E4" w:rsidP="00E04E1F">
      <w:pPr>
        <w:pStyle w:val="ListParagraph"/>
        <w:spacing w:after="0" w:line="360" w:lineRule="auto"/>
        <w:jc w:val="both"/>
        <w:rPr>
          <w:rFonts w:ascii="Times New Roman" w:hAnsi="Times New Roman"/>
        </w:rPr>
      </w:pPr>
    </w:p>
    <w:p w14:paraId="3A7BEF3E" w14:textId="77777777" w:rsidR="006711E4" w:rsidRDefault="006711E4" w:rsidP="00E04E1F">
      <w:pPr>
        <w:pStyle w:val="ListParagraph"/>
        <w:spacing w:after="0" w:line="360" w:lineRule="auto"/>
        <w:jc w:val="both"/>
        <w:rPr>
          <w:rFonts w:ascii="Times New Roman" w:hAnsi="Times New Roman"/>
        </w:rPr>
      </w:pPr>
    </w:p>
    <w:p w14:paraId="76F4BFD1" w14:textId="2EF3E06D" w:rsidR="006711E4" w:rsidRDefault="006711E4" w:rsidP="006711E4">
      <w:pPr>
        <w:pStyle w:val="ListParagraph"/>
        <w:spacing w:after="0" w:line="240" w:lineRule="auto"/>
        <w:ind w:left="0"/>
        <w:jc w:val="both"/>
        <w:rPr>
          <w:rFonts w:ascii="Book Antiqua" w:hAnsi="Book Antiqua" w:cs="Arial Hebrew"/>
        </w:rPr>
      </w:pPr>
      <w:r>
        <w:rPr>
          <w:rFonts w:ascii="Book Antiqua" w:hAnsi="Book Antiqua" w:cs="Arial Hebrew"/>
          <w:b/>
        </w:rPr>
        <w:t>Figure 1:</w:t>
      </w:r>
      <w:r>
        <w:rPr>
          <w:rFonts w:ascii="Book Antiqua" w:hAnsi="Book Antiqua" w:cs="Arial Hebrew"/>
        </w:rPr>
        <w:t xml:space="preserve"> Framework for managing ‘complex’, ‘complicated’, ‘chaotic’, and ‘obvious’ environments </w:t>
      </w:r>
      <w:sdt>
        <w:sdtPr>
          <w:rPr>
            <w:rFonts w:ascii="Book Antiqua" w:hAnsi="Book Antiqua" w:cs="Arial Hebrew"/>
          </w:rPr>
          <w:id w:val="-824813372"/>
          <w:citation/>
        </w:sdtPr>
        <w:sdtEndPr/>
        <w:sdtContent>
          <w:r>
            <w:rPr>
              <w:rFonts w:ascii="Book Antiqua" w:hAnsi="Book Antiqua" w:cs="Arial Hebrew"/>
            </w:rPr>
            <w:fldChar w:fldCharType="begin"/>
          </w:r>
          <w:r>
            <w:rPr>
              <w:rFonts w:ascii="Book Antiqua" w:hAnsi="Book Antiqua" w:cs="Arial Hebrew"/>
              <w:lang w:val="en-US"/>
            </w:rPr>
            <w:instrText xml:space="preserve">CITATION Gov18 \l 1033 </w:instrText>
          </w:r>
          <w:r>
            <w:rPr>
              <w:rFonts w:ascii="Book Antiqua" w:hAnsi="Book Antiqua" w:cs="Arial Hebrew"/>
            </w:rPr>
            <w:fldChar w:fldCharType="separate"/>
          </w:r>
          <w:r w:rsidR="00F845CA" w:rsidRPr="00F845CA">
            <w:rPr>
              <w:rFonts w:ascii="Book Antiqua" w:hAnsi="Book Antiqua" w:cs="Arial Hebrew"/>
              <w:noProof/>
              <w:lang w:val="en-US"/>
            </w:rPr>
            <w:t>(Government of Kenya, 2016)</w:t>
          </w:r>
          <w:r>
            <w:rPr>
              <w:rFonts w:ascii="Book Antiqua" w:hAnsi="Book Antiqua" w:cs="Arial Hebrew"/>
            </w:rPr>
            <w:fldChar w:fldCharType="end"/>
          </w:r>
        </w:sdtContent>
      </w:sdt>
      <w:r>
        <w:rPr>
          <w:rFonts w:ascii="Book Antiqua" w:hAnsi="Book Antiqua" w:cs="Arial Hebrew"/>
        </w:rPr>
        <w:t>.</w:t>
      </w:r>
    </w:p>
    <w:p w14:paraId="3F95F56A" w14:textId="77777777" w:rsidR="006711E4" w:rsidRPr="00E04E1F" w:rsidRDefault="006711E4" w:rsidP="00E04E1F">
      <w:pPr>
        <w:pStyle w:val="ListParagraph"/>
        <w:spacing w:after="0" w:line="360" w:lineRule="auto"/>
        <w:jc w:val="both"/>
        <w:rPr>
          <w:rFonts w:ascii="Times New Roman" w:hAnsi="Times New Roman"/>
        </w:rPr>
      </w:pPr>
    </w:p>
    <w:p w14:paraId="05BC8286" w14:textId="1E6FDDE6" w:rsidR="00883570" w:rsidRPr="006711E4" w:rsidRDefault="006711E4" w:rsidP="006711E4">
      <w:pPr>
        <w:spacing w:after="0" w:line="360" w:lineRule="auto"/>
        <w:jc w:val="both"/>
        <w:rPr>
          <w:rFonts w:ascii="Times New Roman" w:hAnsi="Times New Roman"/>
        </w:rPr>
      </w:pPr>
      <w:r>
        <w:rPr>
          <w:noProof/>
          <w:lang w:val="en-US"/>
        </w:rPr>
        <w:lastRenderedPageBreak/>
        <mc:AlternateContent>
          <mc:Choice Requires="wps">
            <w:drawing>
              <wp:anchor distT="0" distB="0" distL="114300" distR="114300" simplePos="0" relativeHeight="252646400" behindDoc="0" locked="0" layoutInCell="1" allowOverlap="1" wp14:anchorId="0BDEFB3A" wp14:editId="584C4D31">
                <wp:simplePos x="0" y="0"/>
                <wp:positionH relativeFrom="column">
                  <wp:posOffset>-279400</wp:posOffset>
                </wp:positionH>
                <wp:positionV relativeFrom="paragraph">
                  <wp:posOffset>-114300</wp:posOffset>
                </wp:positionV>
                <wp:extent cx="5727700" cy="8288020"/>
                <wp:effectExtent l="0" t="0" r="0" b="0"/>
                <wp:wrapSquare wrapText="bothSides"/>
                <wp:docPr id="1809" name="Text Box 1809"/>
                <wp:cNvGraphicFramePr/>
                <a:graphic xmlns:a="http://schemas.openxmlformats.org/drawingml/2006/main">
                  <a:graphicData uri="http://schemas.microsoft.com/office/word/2010/wordprocessingShape">
                    <wps:wsp>
                      <wps:cNvSpPr txBox="1"/>
                      <wps:spPr>
                        <a:xfrm>
                          <a:off x="0" y="0"/>
                          <a:ext cx="5727700" cy="8288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7360A5" w14:textId="77777777" w:rsidR="002E5195" w:rsidRPr="0077363F" w:rsidRDefault="002E5195" w:rsidP="00BB096B">
                            <w:pPr>
                              <w:spacing w:after="0" w:line="240" w:lineRule="auto"/>
                              <w:jc w:val="both"/>
                              <w:rPr>
                                <w:rFonts w:ascii="Times New Roman" w:hAnsi="Times New Roman"/>
                              </w:rPr>
                            </w:pPr>
                          </w:p>
                          <w:p w14:paraId="09A44E6C" w14:textId="77777777" w:rsidR="002E5195" w:rsidRDefault="002E5195" w:rsidP="008F5FF0">
                            <w:pPr>
                              <w:spacing w:after="0" w:line="240" w:lineRule="auto"/>
                              <w:jc w:val="both"/>
                              <w:rPr>
                                <w:rFonts w:ascii="Times New Roman" w:hAnsi="Times New Roman"/>
                                <w:b/>
                                <w:color w:val="E2751D" w:themeColor="accent3"/>
                              </w:rPr>
                            </w:pPr>
                          </w:p>
                          <w:p w14:paraId="7F613C61" w14:textId="77777777" w:rsidR="002E5195" w:rsidRDefault="002E5195" w:rsidP="008F5FF0">
                            <w:pPr>
                              <w:spacing w:after="0" w:line="240" w:lineRule="auto"/>
                              <w:jc w:val="both"/>
                              <w:rPr>
                                <w:rFonts w:ascii="Times New Roman" w:hAnsi="Times New Roman"/>
                                <w:b/>
                                <w:color w:val="E2751D" w:themeColor="accent3"/>
                              </w:rPr>
                            </w:pPr>
                          </w:p>
                          <w:p w14:paraId="280A9803" w14:textId="77777777" w:rsidR="002E5195" w:rsidRDefault="002E5195" w:rsidP="008F5FF0">
                            <w:pPr>
                              <w:spacing w:after="0" w:line="240" w:lineRule="auto"/>
                              <w:jc w:val="both"/>
                              <w:rPr>
                                <w:rFonts w:ascii="Times New Roman" w:hAnsi="Times New Roman"/>
                                <w:b/>
                                <w:color w:val="FFFFFF" w:themeColor="background1"/>
                              </w:rPr>
                            </w:pPr>
                            <w:r w:rsidRPr="00EE1319">
                              <w:rPr>
                                <w:rFonts w:ascii="Times New Roman" w:hAnsi="Times New Roman"/>
                                <w:b/>
                                <w:color w:val="E2751D" w:themeColor="accent3"/>
                              </w:rPr>
                              <w:t>THE PROCESS</w:t>
                            </w:r>
                          </w:p>
                          <w:p w14:paraId="129CF2B9" w14:textId="77777777" w:rsidR="002E5195" w:rsidRDefault="002E5195" w:rsidP="008F5FF0">
                            <w:pPr>
                              <w:spacing w:after="0" w:line="240" w:lineRule="auto"/>
                              <w:jc w:val="both"/>
                              <w:rPr>
                                <w:rFonts w:ascii="Times New Roman" w:hAnsi="Times New Roman"/>
                                <w:b/>
                                <w:color w:val="FFFFFF" w:themeColor="background1"/>
                              </w:rPr>
                            </w:pPr>
                          </w:p>
                          <w:p w14:paraId="3C8D0923" w14:textId="77777777" w:rsidR="002E5195" w:rsidRDefault="002E5195" w:rsidP="008F5FF0">
                            <w:pPr>
                              <w:spacing w:after="0" w:line="240" w:lineRule="auto"/>
                              <w:jc w:val="both"/>
                              <w:rPr>
                                <w:rFonts w:ascii="Times New Roman" w:hAnsi="Times New Roman"/>
                                <w:color w:val="FFFFFF" w:themeColor="background1"/>
                              </w:rPr>
                            </w:pPr>
                          </w:p>
                          <w:p w14:paraId="50564974" w14:textId="77777777" w:rsidR="002E5195" w:rsidRDefault="002E5195" w:rsidP="008F5FF0">
                            <w:pPr>
                              <w:spacing w:after="0" w:line="240" w:lineRule="auto"/>
                              <w:jc w:val="both"/>
                              <w:rPr>
                                <w:rFonts w:ascii="Times New Roman" w:hAnsi="Times New Roman"/>
                                <w:color w:val="FFFFFF" w:themeColor="background1"/>
                              </w:rPr>
                            </w:pPr>
                          </w:p>
                          <w:p w14:paraId="142E6649" w14:textId="68ECD61D" w:rsidR="002E5195" w:rsidRDefault="002E5195" w:rsidP="008F5FF0">
                            <w:pPr>
                              <w:spacing w:after="0" w:line="240" w:lineRule="auto"/>
                              <w:jc w:val="both"/>
                              <w:rPr>
                                <w:rFonts w:ascii="Times New Roman" w:hAnsi="Times New Roman"/>
                                <w:color w:val="FFFFFF" w:themeColor="background1"/>
                              </w:rPr>
                            </w:pPr>
                            <w:r>
                              <w:rPr>
                                <w:rFonts w:ascii="Times New Roman" w:hAnsi="Times New Roman"/>
                                <w:color w:val="FFFFFF" w:themeColor="background1"/>
                              </w:rPr>
                              <w:t>The co-creation approach adopted during the design of this project will be followed through during its implementation as well as during monitoring and evaluation. This is because the approach encourages participation in and loyalty to the organisational brand by creating strong ownership. Through co-creation of interventions, APC has learned that stakeholders, especially targeted communities, are empowered to own both processes and results. This increases team morale and the delivery of intended deliverables.</w:t>
                            </w:r>
                          </w:p>
                          <w:p w14:paraId="2A1325A9" w14:textId="77777777" w:rsidR="002E5195" w:rsidRDefault="002E5195" w:rsidP="008F5FF0">
                            <w:pPr>
                              <w:spacing w:after="0" w:line="240" w:lineRule="auto"/>
                              <w:jc w:val="both"/>
                              <w:rPr>
                                <w:rFonts w:ascii="Times New Roman" w:hAnsi="Times New Roman"/>
                                <w:color w:val="FFFFFF" w:themeColor="background1"/>
                              </w:rPr>
                            </w:pPr>
                          </w:p>
                          <w:p w14:paraId="6C971D0A" w14:textId="03CB6F50" w:rsidR="002E5195" w:rsidRDefault="002E5195" w:rsidP="008F5FF0">
                            <w:p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The co-creation approaches employed during the design of this project sought to establish </w:t>
                            </w:r>
                            <w:proofErr w:type="spellStart"/>
                            <w:r>
                              <w:rPr>
                                <w:rFonts w:ascii="Times New Roman" w:hAnsi="Times New Roman"/>
                                <w:color w:val="FFFFFF" w:themeColor="background1"/>
                              </w:rPr>
                              <w:t>obe</w:t>
                            </w:r>
                            <w:proofErr w:type="spellEnd"/>
                            <w:r>
                              <w:rPr>
                                <w:rFonts w:ascii="Times New Roman" w:hAnsi="Times New Roman"/>
                                <w:color w:val="FFFFFF" w:themeColor="background1"/>
                              </w:rPr>
                              <w:t xml:space="preserve"> unique tactic for delivering education, empowerment, and climate action at grassroots levels. Contribution to </w:t>
                            </w:r>
                            <w:r w:rsidRPr="00EE1319">
                              <w:rPr>
                                <w:rFonts w:ascii="Times New Roman" w:hAnsi="Times New Roman"/>
                                <w:color w:val="FFFFFF" w:themeColor="background1"/>
                              </w:rPr>
                              <w:t xml:space="preserve">securing </w:t>
                            </w:r>
                            <w:r>
                              <w:rPr>
                                <w:rFonts w:ascii="Times New Roman" w:hAnsi="Times New Roman"/>
                                <w:color w:val="FFFFFF" w:themeColor="background1"/>
                              </w:rPr>
                              <w:t xml:space="preserve">viable </w:t>
                            </w:r>
                            <w:r w:rsidRPr="00EE1319">
                              <w:rPr>
                                <w:rFonts w:ascii="Times New Roman" w:hAnsi="Times New Roman"/>
                                <w:color w:val="FFFFFF" w:themeColor="background1"/>
                              </w:rPr>
                              <w:t>substitute</w:t>
                            </w:r>
                            <w:r>
                              <w:rPr>
                                <w:rFonts w:ascii="Times New Roman" w:hAnsi="Times New Roman"/>
                                <w:color w:val="FFFFFF" w:themeColor="background1"/>
                              </w:rPr>
                              <w:t xml:space="preserve">s to charcoal and firewood use was most prioritised. Consequently, </w:t>
                            </w:r>
                            <w:r w:rsidRPr="00EE1319">
                              <w:rPr>
                                <w:rFonts w:ascii="Times New Roman" w:hAnsi="Times New Roman"/>
                                <w:color w:val="FFFFFF" w:themeColor="background1"/>
                              </w:rPr>
                              <w:t xml:space="preserve">APC worked together with researchers in </w:t>
                            </w:r>
                            <w:proofErr w:type="spellStart"/>
                            <w:r w:rsidRPr="00EE1319">
                              <w:rPr>
                                <w:rFonts w:ascii="Times New Roman" w:hAnsi="Times New Roman"/>
                                <w:color w:val="FFFFFF" w:themeColor="background1"/>
                              </w:rPr>
                              <w:t>Maseno</w:t>
                            </w:r>
                            <w:proofErr w:type="spellEnd"/>
                            <w:r w:rsidRPr="00EE1319">
                              <w:rPr>
                                <w:rFonts w:ascii="Times New Roman" w:hAnsi="Times New Roman"/>
                                <w:color w:val="FFFFFF" w:themeColor="background1"/>
                              </w:rPr>
                              <w:t xml:space="preserve"> University in Kenya to identify agro-wastes in various counties in the country that could be used in producing viable and culturally acceptable bio-briquettes for use in cooking and heating purposes in those communities. </w:t>
                            </w:r>
                          </w:p>
                          <w:p w14:paraId="0AB61E60" w14:textId="77777777" w:rsidR="002E5195" w:rsidRDefault="002E5195" w:rsidP="008F5FF0">
                            <w:pPr>
                              <w:spacing w:after="0" w:line="240" w:lineRule="auto"/>
                              <w:jc w:val="both"/>
                              <w:rPr>
                                <w:rFonts w:ascii="Times New Roman" w:hAnsi="Times New Roman"/>
                                <w:color w:val="FFFFFF" w:themeColor="background1"/>
                              </w:rPr>
                            </w:pPr>
                          </w:p>
                          <w:p w14:paraId="36B8325F" w14:textId="7C41FDE4" w:rsidR="002E5195" w:rsidRPr="00EE1319" w:rsidRDefault="002E5195" w:rsidP="008F5FF0">
                            <w:pPr>
                              <w:spacing w:after="0" w:line="240" w:lineRule="auto"/>
                              <w:jc w:val="both"/>
                              <w:rPr>
                                <w:rFonts w:ascii="Times New Roman" w:hAnsi="Times New Roman"/>
                                <w:color w:val="FFFFFF" w:themeColor="background1"/>
                              </w:rPr>
                            </w:pPr>
                            <w:r w:rsidRPr="00EE1319">
                              <w:rPr>
                                <w:rFonts w:ascii="Times New Roman" w:hAnsi="Times New Roman"/>
                                <w:color w:val="FFFFFF" w:themeColor="background1"/>
                              </w:rPr>
                              <w:t>Results from the study indicate that vast amounts of agro-wastes that could be used to produce bio-</w:t>
                            </w:r>
                            <w:proofErr w:type="spellStart"/>
                            <w:r w:rsidRPr="00EE1319">
                              <w:rPr>
                                <w:rFonts w:ascii="Times New Roman" w:hAnsi="Times New Roman"/>
                                <w:color w:val="FFFFFF" w:themeColor="background1"/>
                              </w:rPr>
                              <w:t>briquttes</w:t>
                            </w:r>
                            <w:proofErr w:type="spellEnd"/>
                            <w:r w:rsidRPr="00EE1319">
                              <w:rPr>
                                <w:rFonts w:ascii="Times New Roman" w:hAnsi="Times New Roman"/>
                                <w:color w:val="FFFFFF" w:themeColor="background1"/>
                              </w:rPr>
                              <w:t xml:space="preserve"> with high calorific values exist at grassroots levels in Kenya. These agro-wastes include banana peels, groundnut shells, maize cobs, cassava stalks, sugar cane bagasse, mango leaves, mango seeds, tobacco waste, cotton stalks, cassava peels, gram stalks, vegetable waste, and wheat straw. While these are viable feedstock for producing bio-briquettes with high calorific values, they are frequently burnt in open air, left to degenerate in the open, or are sometimes used by poor households in cooking and heating.</w:t>
                            </w:r>
                          </w:p>
                          <w:p w14:paraId="53712C32" w14:textId="77777777" w:rsidR="002E5195" w:rsidRPr="008B267E" w:rsidRDefault="002E5195" w:rsidP="008F5FF0">
                            <w:pPr>
                              <w:spacing w:after="0" w:line="240" w:lineRule="auto"/>
                              <w:jc w:val="both"/>
                              <w:rPr>
                                <w:rFonts w:ascii="Times New Roman" w:hAnsi="Times New Roman"/>
                                <w:color w:val="FFFFFF" w:themeColor="background1"/>
                                <w:sz w:val="12"/>
                                <w:szCs w:val="12"/>
                              </w:rPr>
                            </w:pPr>
                          </w:p>
                          <w:p w14:paraId="37B95128" w14:textId="7AC03DA9" w:rsidR="002E5195" w:rsidRDefault="002E5195" w:rsidP="008F5FF0">
                            <w:pPr>
                              <w:spacing w:after="0" w:line="240" w:lineRule="auto"/>
                              <w:jc w:val="both"/>
                              <w:rPr>
                                <w:rFonts w:ascii="Times New Roman" w:hAnsi="Times New Roman"/>
                                <w:color w:val="FFFFFF" w:themeColor="background1"/>
                              </w:rPr>
                            </w:pPr>
                            <w:r w:rsidRPr="00EE1319">
                              <w:rPr>
                                <w:rFonts w:ascii="Times New Roman" w:hAnsi="Times New Roman"/>
                                <w:color w:val="FFFFFF" w:themeColor="background1"/>
                              </w:rPr>
                              <w:t xml:space="preserve">Given that these agro-wastes are easily accessible at grassroots level, including among households living in poverty, APC worked with LLAs in West </w:t>
                            </w:r>
                            <w:proofErr w:type="spellStart"/>
                            <w:r w:rsidRPr="00EE1319">
                              <w:rPr>
                                <w:rFonts w:ascii="Times New Roman" w:hAnsi="Times New Roman"/>
                                <w:color w:val="FFFFFF" w:themeColor="background1"/>
                              </w:rPr>
                              <w:t>Pokot</w:t>
                            </w:r>
                            <w:proofErr w:type="spellEnd"/>
                            <w:r w:rsidRPr="00EE1319">
                              <w:rPr>
                                <w:rFonts w:ascii="Times New Roman" w:hAnsi="Times New Roman"/>
                                <w:color w:val="FFFFFF" w:themeColor="background1"/>
                              </w:rPr>
                              <w:t xml:space="preserve">, </w:t>
                            </w:r>
                            <w:proofErr w:type="spellStart"/>
                            <w:r w:rsidRPr="00EE1319">
                              <w:rPr>
                                <w:rFonts w:ascii="Times New Roman" w:hAnsi="Times New Roman"/>
                                <w:color w:val="FFFFFF" w:themeColor="background1"/>
                              </w:rPr>
                              <w:t>Vihiga</w:t>
                            </w:r>
                            <w:proofErr w:type="spellEnd"/>
                            <w:r w:rsidRPr="00EE1319">
                              <w:rPr>
                                <w:rFonts w:ascii="Times New Roman" w:hAnsi="Times New Roman"/>
                                <w:color w:val="FFFFFF" w:themeColor="background1"/>
                              </w:rPr>
                              <w:t xml:space="preserve">, and </w:t>
                            </w:r>
                            <w:proofErr w:type="spellStart"/>
                            <w:r w:rsidRPr="00EE1319">
                              <w:rPr>
                                <w:rFonts w:ascii="Times New Roman" w:hAnsi="Times New Roman"/>
                                <w:color w:val="FFFFFF" w:themeColor="background1"/>
                              </w:rPr>
                              <w:t>Kitui</w:t>
                            </w:r>
                            <w:proofErr w:type="spellEnd"/>
                            <w:r w:rsidRPr="00EE1319">
                              <w:rPr>
                                <w:rFonts w:ascii="Times New Roman" w:hAnsi="Times New Roman"/>
                                <w:color w:val="FFFFFF" w:themeColor="background1"/>
                              </w:rPr>
                              <w:t xml:space="preserve"> Counties in Kenya to ventilate on the possibilities of turning the agro-wastes into enterprises that could earn communities at grassroots level, especially households</w:t>
                            </w:r>
                            <w:r>
                              <w:rPr>
                                <w:rFonts w:ascii="Times New Roman" w:hAnsi="Times New Roman"/>
                                <w:color w:val="FFFFFF" w:themeColor="background1"/>
                              </w:rPr>
                              <w:t xml:space="preserve"> living in poverty, income to </w:t>
                            </w:r>
                            <w:r w:rsidRPr="00EE1319">
                              <w:rPr>
                                <w:rFonts w:ascii="Times New Roman" w:hAnsi="Times New Roman"/>
                                <w:color w:val="FFFFFF" w:themeColor="background1"/>
                              </w:rPr>
                              <w:t>help secure the education of their children. This idea is hinged on the understanding that bio-briquettes, mostly made out of agro-waste and other organic materials, provide not only a more eco-friendly alternative to fossil-fuel sources of cooking energy, but are manufactured from a readily available, low-cost, fuel source that is often disposed of as waste.</w:t>
                            </w:r>
                          </w:p>
                          <w:p w14:paraId="3C0A81EB" w14:textId="77777777" w:rsidR="002E5195" w:rsidRDefault="002E5195" w:rsidP="008F5FF0">
                            <w:pPr>
                              <w:spacing w:after="0" w:line="240" w:lineRule="auto"/>
                              <w:jc w:val="both"/>
                              <w:rPr>
                                <w:rFonts w:ascii="Times New Roman" w:hAnsi="Times New Roman"/>
                                <w:color w:val="FFFFFF" w:themeColor="background1"/>
                              </w:rPr>
                            </w:pPr>
                          </w:p>
                          <w:p w14:paraId="7A26E238" w14:textId="277541FC" w:rsidR="002E5195" w:rsidRDefault="002E5195" w:rsidP="008F5FF0">
                            <w:pPr>
                              <w:spacing w:after="0" w:line="240" w:lineRule="auto"/>
                              <w:jc w:val="both"/>
                              <w:rPr>
                                <w:rFonts w:ascii="Times New Roman" w:hAnsi="Times New Roman"/>
                                <w:color w:val="FFFFFF" w:themeColor="background1"/>
                              </w:rPr>
                            </w:pPr>
                            <w:r>
                              <w:rPr>
                                <w:rFonts w:ascii="Times New Roman" w:hAnsi="Times New Roman"/>
                                <w:color w:val="FFFFFF" w:themeColor="background1"/>
                              </w:rPr>
                              <w:t>Bio-briquetting co-creative industries have immense potential to; increase the number of young women and men with technical and vocational skills for wealth creation; increase the number of ECD, primary, and secondary school children from poor households that are achieving literacy and numeracy; uplift educational facilities for inclusive and effective learning outcomes; and foster grassroots-inspired climate action.</w:t>
                            </w:r>
                          </w:p>
                          <w:p w14:paraId="1A6AA3E4" w14:textId="77777777" w:rsidR="002E5195" w:rsidRDefault="002E5195" w:rsidP="008F5FF0">
                            <w:pPr>
                              <w:spacing w:after="0" w:line="240" w:lineRule="auto"/>
                              <w:jc w:val="both"/>
                              <w:rPr>
                                <w:rFonts w:ascii="Times New Roman" w:hAnsi="Times New Roman"/>
                                <w:color w:val="FFFFFF" w:themeColor="background1"/>
                              </w:rPr>
                            </w:pPr>
                          </w:p>
                          <w:p w14:paraId="081E29B0" w14:textId="76BBA64E" w:rsidR="002E5195" w:rsidRPr="00EE1319" w:rsidRDefault="002E5195" w:rsidP="008F5FF0">
                            <w:p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Given the impressive results from interventions that sought to deal with ultra-poverty using the </w:t>
                            </w:r>
                            <w:proofErr w:type="spellStart"/>
                            <w:r>
                              <w:rPr>
                                <w:rFonts w:ascii="Times New Roman" w:hAnsi="Times New Roman"/>
                                <w:color w:val="FFFFFF" w:themeColor="background1"/>
                              </w:rPr>
                              <w:t>Brac’s</w:t>
                            </w:r>
                            <w:proofErr w:type="spellEnd"/>
                            <w:r>
                              <w:rPr>
                                <w:rFonts w:ascii="Times New Roman" w:hAnsi="Times New Roman"/>
                                <w:color w:val="FFFFFF" w:themeColor="background1"/>
                              </w:rPr>
                              <w:t xml:space="preserve"> Graduation Approach, APC will adopt the approach and integrate the bio-briquetting enterprise in it when targeting individuals (parents/guardians and children) for direct support and facilitating the individuals to form self-help </w:t>
                            </w:r>
                            <w:proofErr w:type="spellStart"/>
                            <w:r>
                              <w:rPr>
                                <w:rFonts w:ascii="Times New Roman" w:hAnsi="Times New Roman"/>
                                <w:color w:val="FFFFFF" w:themeColor="background1"/>
                              </w:rPr>
                              <w:t>grous</w:t>
                            </w:r>
                            <w:proofErr w:type="spellEnd"/>
                            <w:r>
                              <w:rPr>
                                <w:rFonts w:ascii="Times New Roman" w:hAnsi="Times New Roman"/>
                                <w:color w:val="FFFFFF" w:themeColor="background1"/>
                              </w:rPr>
                              <w:t xml:space="preserve"> (SHGs) [also referred to as Local Level Associations (LLAs) under APC’s lingo] through which enterprises for collective business venture (bio-briquetting in this case) will be promoted.</w:t>
                            </w:r>
                          </w:p>
                          <w:p w14:paraId="0C4F6A7E" w14:textId="53BA8CCB" w:rsidR="002E5195" w:rsidRPr="00FF0BFF" w:rsidRDefault="002E5195" w:rsidP="00BB096B">
                            <w:pPr>
                              <w:spacing w:after="0" w:line="360" w:lineRule="auto"/>
                              <w:jc w:val="both"/>
                              <w:rPr>
                                <w:rFonts w:ascii="Times New Roman" w:hAnsi="Times New Roman"/>
                                <w:b/>
                                <w:color w:val="FFFFFF" w:themeColor="background1"/>
                                <w:sz w:val="24"/>
                                <w:szCs w:val="24"/>
                              </w:rPr>
                            </w:pPr>
                          </w:p>
                          <w:p w14:paraId="5DB5215D" w14:textId="77777777" w:rsidR="002E5195" w:rsidRPr="0017157D" w:rsidRDefault="002E5195" w:rsidP="00BB096B">
                            <w:pPr>
                              <w:spacing w:after="0" w:line="240" w:lineRule="auto"/>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9" o:spid="_x0000_s1061" type="#_x0000_t202" style="position:absolute;left:0;text-align:left;margin-left:-21.95pt;margin-top:-8.95pt;width:451pt;height:652.6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" filled="f" stroked="f">
                <v:textbox>
                  <w:txbxContent>
                    <w:p w14:paraId="537360A5" w14:textId="77777777" w:rsidR="002E5195" w:rsidRPr="0077363F" w:rsidRDefault="002E5195" w:rsidP="00BB096B">
                      <w:pPr>
                        <w:spacing w:after="0" w:line="240" w:lineRule="auto"/>
                        <w:jc w:val="both"/>
                        <w:rPr>
                          <w:rFonts w:ascii="Times New Roman" w:hAnsi="Times New Roman"/>
                        </w:rPr>
                      </w:pPr>
                    </w:p>
                    <w:p w14:paraId="09A44E6C" w14:textId="77777777" w:rsidR="002E5195" w:rsidRDefault="002E5195" w:rsidP="008F5FF0">
                      <w:pPr>
                        <w:spacing w:after="0" w:line="240" w:lineRule="auto"/>
                        <w:jc w:val="both"/>
                        <w:rPr>
                          <w:rFonts w:ascii="Times New Roman" w:hAnsi="Times New Roman"/>
                          <w:b/>
                          <w:color w:val="E2751D" w:themeColor="accent3"/>
                        </w:rPr>
                      </w:pPr>
                    </w:p>
                    <w:p w14:paraId="7F613C61" w14:textId="77777777" w:rsidR="002E5195" w:rsidRDefault="002E5195" w:rsidP="008F5FF0">
                      <w:pPr>
                        <w:spacing w:after="0" w:line="240" w:lineRule="auto"/>
                        <w:jc w:val="both"/>
                        <w:rPr>
                          <w:rFonts w:ascii="Times New Roman" w:hAnsi="Times New Roman"/>
                          <w:b/>
                          <w:color w:val="E2751D" w:themeColor="accent3"/>
                        </w:rPr>
                      </w:pPr>
                    </w:p>
                    <w:p w14:paraId="280A9803" w14:textId="77777777" w:rsidR="002E5195" w:rsidRDefault="002E5195" w:rsidP="008F5FF0">
                      <w:pPr>
                        <w:spacing w:after="0" w:line="240" w:lineRule="auto"/>
                        <w:jc w:val="both"/>
                        <w:rPr>
                          <w:rFonts w:ascii="Times New Roman" w:hAnsi="Times New Roman"/>
                          <w:b/>
                          <w:color w:val="FFFFFF" w:themeColor="background1"/>
                        </w:rPr>
                      </w:pPr>
                      <w:r w:rsidRPr="00EE1319">
                        <w:rPr>
                          <w:rFonts w:ascii="Times New Roman" w:hAnsi="Times New Roman"/>
                          <w:b/>
                          <w:color w:val="E2751D" w:themeColor="accent3"/>
                        </w:rPr>
                        <w:t>THE PROCESS</w:t>
                      </w:r>
                    </w:p>
                    <w:p w14:paraId="129CF2B9" w14:textId="77777777" w:rsidR="002E5195" w:rsidRDefault="002E5195" w:rsidP="008F5FF0">
                      <w:pPr>
                        <w:spacing w:after="0" w:line="240" w:lineRule="auto"/>
                        <w:jc w:val="both"/>
                        <w:rPr>
                          <w:rFonts w:ascii="Times New Roman" w:hAnsi="Times New Roman"/>
                          <w:b/>
                          <w:color w:val="FFFFFF" w:themeColor="background1"/>
                        </w:rPr>
                      </w:pPr>
                    </w:p>
                    <w:p w14:paraId="3C8D0923" w14:textId="77777777" w:rsidR="002E5195" w:rsidRDefault="002E5195" w:rsidP="008F5FF0">
                      <w:pPr>
                        <w:spacing w:after="0" w:line="240" w:lineRule="auto"/>
                        <w:jc w:val="both"/>
                        <w:rPr>
                          <w:rFonts w:ascii="Times New Roman" w:hAnsi="Times New Roman"/>
                          <w:color w:val="FFFFFF" w:themeColor="background1"/>
                        </w:rPr>
                      </w:pPr>
                    </w:p>
                    <w:p w14:paraId="50564974" w14:textId="77777777" w:rsidR="002E5195" w:rsidRDefault="002E5195" w:rsidP="008F5FF0">
                      <w:pPr>
                        <w:spacing w:after="0" w:line="240" w:lineRule="auto"/>
                        <w:jc w:val="both"/>
                        <w:rPr>
                          <w:rFonts w:ascii="Times New Roman" w:hAnsi="Times New Roman"/>
                          <w:color w:val="FFFFFF" w:themeColor="background1"/>
                        </w:rPr>
                      </w:pPr>
                    </w:p>
                    <w:p w14:paraId="142E6649" w14:textId="68ECD61D" w:rsidR="002E5195" w:rsidRDefault="002E5195" w:rsidP="008F5FF0">
                      <w:pPr>
                        <w:spacing w:after="0" w:line="240" w:lineRule="auto"/>
                        <w:jc w:val="both"/>
                        <w:rPr>
                          <w:rFonts w:ascii="Times New Roman" w:hAnsi="Times New Roman"/>
                          <w:color w:val="FFFFFF" w:themeColor="background1"/>
                        </w:rPr>
                      </w:pPr>
                      <w:r>
                        <w:rPr>
                          <w:rFonts w:ascii="Times New Roman" w:hAnsi="Times New Roman"/>
                          <w:color w:val="FFFFFF" w:themeColor="background1"/>
                        </w:rPr>
                        <w:t>The co-creation approach adopted during the design of this project will be followed through during its implementation as well as during monitoring and evaluation. This is because the approach encourages participation in and loyalty to the organisational brand by creating strong ownership. Through co-creation of interventions, APC has learned that stakeholders, especially targeted communities, are empowered to own both processes and results. This increases team morale and the delivery of intended deliverables.</w:t>
                      </w:r>
                    </w:p>
                    <w:p w14:paraId="2A1325A9" w14:textId="77777777" w:rsidR="002E5195" w:rsidRDefault="002E5195" w:rsidP="008F5FF0">
                      <w:pPr>
                        <w:spacing w:after="0" w:line="240" w:lineRule="auto"/>
                        <w:jc w:val="both"/>
                        <w:rPr>
                          <w:rFonts w:ascii="Times New Roman" w:hAnsi="Times New Roman"/>
                          <w:color w:val="FFFFFF" w:themeColor="background1"/>
                        </w:rPr>
                      </w:pPr>
                    </w:p>
                    <w:p w14:paraId="6C971D0A" w14:textId="03CB6F50" w:rsidR="002E5195" w:rsidRDefault="002E5195" w:rsidP="008F5FF0">
                      <w:p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The co-creation approaches employed during the design of this project sought to establish </w:t>
                      </w:r>
                      <w:proofErr w:type="spellStart"/>
                      <w:r>
                        <w:rPr>
                          <w:rFonts w:ascii="Times New Roman" w:hAnsi="Times New Roman"/>
                          <w:color w:val="FFFFFF" w:themeColor="background1"/>
                        </w:rPr>
                        <w:t>obe</w:t>
                      </w:r>
                      <w:proofErr w:type="spellEnd"/>
                      <w:r>
                        <w:rPr>
                          <w:rFonts w:ascii="Times New Roman" w:hAnsi="Times New Roman"/>
                          <w:color w:val="FFFFFF" w:themeColor="background1"/>
                        </w:rPr>
                        <w:t xml:space="preserve"> unique tactic for delivering education, empowerment, and climate action at grassroots levels. Contribution to </w:t>
                      </w:r>
                      <w:r w:rsidRPr="00EE1319">
                        <w:rPr>
                          <w:rFonts w:ascii="Times New Roman" w:hAnsi="Times New Roman"/>
                          <w:color w:val="FFFFFF" w:themeColor="background1"/>
                        </w:rPr>
                        <w:t xml:space="preserve">securing </w:t>
                      </w:r>
                      <w:r>
                        <w:rPr>
                          <w:rFonts w:ascii="Times New Roman" w:hAnsi="Times New Roman"/>
                          <w:color w:val="FFFFFF" w:themeColor="background1"/>
                        </w:rPr>
                        <w:t xml:space="preserve">viable </w:t>
                      </w:r>
                      <w:r w:rsidRPr="00EE1319">
                        <w:rPr>
                          <w:rFonts w:ascii="Times New Roman" w:hAnsi="Times New Roman"/>
                          <w:color w:val="FFFFFF" w:themeColor="background1"/>
                        </w:rPr>
                        <w:t>substitute</w:t>
                      </w:r>
                      <w:r>
                        <w:rPr>
                          <w:rFonts w:ascii="Times New Roman" w:hAnsi="Times New Roman"/>
                          <w:color w:val="FFFFFF" w:themeColor="background1"/>
                        </w:rPr>
                        <w:t xml:space="preserve">s to charcoal and firewood use was most prioritised. Consequently, </w:t>
                      </w:r>
                      <w:r w:rsidRPr="00EE1319">
                        <w:rPr>
                          <w:rFonts w:ascii="Times New Roman" w:hAnsi="Times New Roman"/>
                          <w:color w:val="FFFFFF" w:themeColor="background1"/>
                        </w:rPr>
                        <w:t xml:space="preserve">APC worked together with researchers in </w:t>
                      </w:r>
                      <w:proofErr w:type="spellStart"/>
                      <w:r w:rsidRPr="00EE1319">
                        <w:rPr>
                          <w:rFonts w:ascii="Times New Roman" w:hAnsi="Times New Roman"/>
                          <w:color w:val="FFFFFF" w:themeColor="background1"/>
                        </w:rPr>
                        <w:t>Maseno</w:t>
                      </w:r>
                      <w:proofErr w:type="spellEnd"/>
                      <w:r w:rsidRPr="00EE1319">
                        <w:rPr>
                          <w:rFonts w:ascii="Times New Roman" w:hAnsi="Times New Roman"/>
                          <w:color w:val="FFFFFF" w:themeColor="background1"/>
                        </w:rPr>
                        <w:t xml:space="preserve"> University in Kenya to identify agro-wastes in various counties in the country that could be used in producing viable and culturally acceptable bio-briquettes for use in cooking and heating purposes in those communities. </w:t>
                      </w:r>
                    </w:p>
                    <w:p w14:paraId="0AB61E60" w14:textId="77777777" w:rsidR="002E5195" w:rsidRDefault="002E5195" w:rsidP="008F5FF0">
                      <w:pPr>
                        <w:spacing w:after="0" w:line="240" w:lineRule="auto"/>
                        <w:jc w:val="both"/>
                        <w:rPr>
                          <w:rFonts w:ascii="Times New Roman" w:hAnsi="Times New Roman"/>
                          <w:color w:val="FFFFFF" w:themeColor="background1"/>
                        </w:rPr>
                      </w:pPr>
                    </w:p>
                    <w:p w14:paraId="36B8325F" w14:textId="7C41FDE4" w:rsidR="002E5195" w:rsidRPr="00EE1319" w:rsidRDefault="002E5195" w:rsidP="008F5FF0">
                      <w:pPr>
                        <w:spacing w:after="0" w:line="240" w:lineRule="auto"/>
                        <w:jc w:val="both"/>
                        <w:rPr>
                          <w:rFonts w:ascii="Times New Roman" w:hAnsi="Times New Roman"/>
                          <w:color w:val="FFFFFF" w:themeColor="background1"/>
                        </w:rPr>
                      </w:pPr>
                      <w:r w:rsidRPr="00EE1319">
                        <w:rPr>
                          <w:rFonts w:ascii="Times New Roman" w:hAnsi="Times New Roman"/>
                          <w:color w:val="FFFFFF" w:themeColor="background1"/>
                        </w:rPr>
                        <w:t>Results from the study indicate that vast amounts of agro-wastes that could be used to produce bio-</w:t>
                      </w:r>
                      <w:proofErr w:type="spellStart"/>
                      <w:r w:rsidRPr="00EE1319">
                        <w:rPr>
                          <w:rFonts w:ascii="Times New Roman" w:hAnsi="Times New Roman"/>
                          <w:color w:val="FFFFFF" w:themeColor="background1"/>
                        </w:rPr>
                        <w:t>briquttes</w:t>
                      </w:r>
                      <w:proofErr w:type="spellEnd"/>
                      <w:r w:rsidRPr="00EE1319">
                        <w:rPr>
                          <w:rFonts w:ascii="Times New Roman" w:hAnsi="Times New Roman"/>
                          <w:color w:val="FFFFFF" w:themeColor="background1"/>
                        </w:rPr>
                        <w:t xml:space="preserve"> with high calorific values exist at grassroots levels in Kenya. These agro-wastes include banana peels, groundnut shells, maize cobs, cassava stalks, sugar cane bagasse, mango leaves, mango seeds, tobacco waste, cotton stalks, cassava peels, gram stalks, vegetable waste, and wheat straw. While these are viable feedstock for producing bio-briquettes with high calorific values, they are frequently burnt in open air, left to degenerate in the open, or are sometimes used by poor households in cooking and heating.</w:t>
                      </w:r>
                    </w:p>
                    <w:p w14:paraId="53712C32" w14:textId="77777777" w:rsidR="002E5195" w:rsidRPr="008B267E" w:rsidRDefault="002E5195" w:rsidP="008F5FF0">
                      <w:pPr>
                        <w:spacing w:after="0" w:line="240" w:lineRule="auto"/>
                        <w:jc w:val="both"/>
                        <w:rPr>
                          <w:rFonts w:ascii="Times New Roman" w:hAnsi="Times New Roman"/>
                          <w:color w:val="FFFFFF" w:themeColor="background1"/>
                          <w:sz w:val="12"/>
                          <w:szCs w:val="12"/>
                        </w:rPr>
                      </w:pPr>
                    </w:p>
                    <w:p w14:paraId="37B95128" w14:textId="7AC03DA9" w:rsidR="002E5195" w:rsidRDefault="002E5195" w:rsidP="008F5FF0">
                      <w:pPr>
                        <w:spacing w:after="0" w:line="240" w:lineRule="auto"/>
                        <w:jc w:val="both"/>
                        <w:rPr>
                          <w:rFonts w:ascii="Times New Roman" w:hAnsi="Times New Roman"/>
                          <w:color w:val="FFFFFF" w:themeColor="background1"/>
                        </w:rPr>
                      </w:pPr>
                      <w:r w:rsidRPr="00EE1319">
                        <w:rPr>
                          <w:rFonts w:ascii="Times New Roman" w:hAnsi="Times New Roman"/>
                          <w:color w:val="FFFFFF" w:themeColor="background1"/>
                        </w:rPr>
                        <w:t xml:space="preserve">Given that these agro-wastes are easily accessible at grassroots level, including among households living in poverty, APC worked with LLAs in West </w:t>
                      </w:r>
                      <w:proofErr w:type="spellStart"/>
                      <w:r w:rsidRPr="00EE1319">
                        <w:rPr>
                          <w:rFonts w:ascii="Times New Roman" w:hAnsi="Times New Roman"/>
                          <w:color w:val="FFFFFF" w:themeColor="background1"/>
                        </w:rPr>
                        <w:t>Pokot</w:t>
                      </w:r>
                      <w:proofErr w:type="spellEnd"/>
                      <w:r w:rsidRPr="00EE1319">
                        <w:rPr>
                          <w:rFonts w:ascii="Times New Roman" w:hAnsi="Times New Roman"/>
                          <w:color w:val="FFFFFF" w:themeColor="background1"/>
                        </w:rPr>
                        <w:t xml:space="preserve">, </w:t>
                      </w:r>
                      <w:proofErr w:type="spellStart"/>
                      <w:r w:rsidRPr="00EE1319">
                        <w:rPr>
                          <w:rFonts w:ascii="Times New Roman" w:hAnsi="Times New Roman"/>
                          <w:color w:val="FFFFFF" w:themeColor="background1"/>
                        </w:rPr>
                        <w:t>Vihiga</w:t>
                      </w:r>
                      <w:proofErr w:type="spellEnd"/>
                      <w:r w:rsidRPr="00EE1319">
                        <w:rPr>
                          <w:rFonts w:ascii="Times New Roman" w:hAnsi="Times New Roman"/>
                          <w:color w:val="FFFFFF" w:themeColor="background1"/>
                        </w:rPr>
                        <w:t xml:space="preserve">, and </w:t>
                      </w:r>
                      <w:proofErr w:type="spellStart"/>
                      <w:r w:rsidRPr="00EE1319">
                        <w:rPr>
                          <w:rFonts w:ascii="Times New Roman" w:hAnsi="Times New Roman"/>
                          <w:color w:val="FFFFFF" w:themeColor="background1"/>
                        </w:rPr>
                        <w:t>Kitui</w:t>
                      </w:r>
                      <w:proofErr w:type="spellEnd"/>
                      <w:r w:rsidRPr="00EE1319">
                        <w:rPr>
                          <w:rFonts w:ascii="Times New Roman" w:hAnsi="Times New Roman"/>
                          <w:color w:val="FFFFFF" w:themeColor="background1"/>
                        </w:rPr>
                        <w:t xml:space="preserve"> Counties in Kenya to ventilate on the possibilities of turning the agro-wastes into enterprises that could earn communities at grassroots level, especially households</w:t>
                      </w:r>
                      <w:r>
                        <w:rPr>
                          <w:rFonts w:ascii="Times New Roman" w:hAnsi="Times New Roman"/>
                          <w:color w:val="FFFFFF" w:themeColor="background1"/>
                        </w:rPr>
                        <w:t xml:space="preserve"> living in poverty, income to </w:t>
                      </w:r>
                      <w:r w:rsidRPr="00EE1319">
                        <w:rPr>
                          <w:rFonts w:ascii="Times New Roman" w:hAnsi="Times New Roman"/>
                          <w:color w:val="FFFFFF" w:themeColor="background1"/>
                        </w:rPr>
                        <w:t>help secure the education of their children. This idea is hinged on the understanding that bio-briquettes, mostly made out of agro-waste and other organic materials, provide not only a more eco-friendly alternative to fossil-fuel sources of cooking energy, but are manufactured from a readily available, low-cost, fuel source that is often disposed of as waste.</w:t>
                      </w:r>
                    </w:p>
                    <w:p w14:paraId="3C0A81EB" w14:textId="77777777" w:rsidR="002E5195" w:rsidRDefault="002E5195" w:rsidP="008F5FF0">
                      <w:pPr>
                        <w:spacing w:after="0" w:line="240" w:lineRule="auto"/>
                        <w:jc w:val="both"/>
                        <w:rPr>
                          <w:rFonts w:ascii="Times New Roman" w:hAnsi="Times New Roman"/>
                          <w:color w:val="FFFFFF" w:themeColor="background1"/>
                        </w:rPr>
                      </w:pPr>
                    </w:p>
                    <w:p w14:paraId="7A26E238" w14:textId="277541FC" w:rsidR="002E5195" w:rsidRDefault="002E5195" w:rsidP="008F5FF0">
                      <w:pPr>
                        <w:spacing w:after="0" w:line="240" w:lineRule="auto"/>
                        <w:jc w:val="both"/>
                        <w:rPr>
                          <w:rFonts w:ascii="Times New Roman" w:hAnsi="Times New Roman"/>
                          <w:color w:val="FFFFFF" w:themeColor="background1"/>
                        </w:rPr>
                      </w:pPr>
                      <w:r>
                        <w:rPr>
                          <w:rFonts w:ascii="Times New Roman" w:hAnsi="Times New Roman"/>
                          <w:color w:val="FFFFFF" w:themeColor="background1"/>
                        </w:rPr>
                        <w:t>Bio-briquetting co-creative industries have immense potential to; increase the number of young women and men with technical and vocational skills for wealth creation; increase the number of ECD, primary, and secondary school children from poor households that are achieving literacy and numeracy; uplift educational facilities for inclusive and effective learning outcomes; and foster grassroots-inspired climate action.</w:t>
                      </w:r>
                    </w:p>
                    <w:p w14:paraId="1A6AA3E4" w14:textId="77777777" w:rsidR="002E5195" w:rsidRDefault="002E5195" w:rsidP="008F5FF0">
                      <w:pPr>
                        <w:spacing w:after="0" w:line="240" w:lineRule="auto"/>
                        <w:jc w:val="both"/>
                        <w:rPr>
                          <w:rFonts w:ascii="Times New Roman" w:hAnsi="Times New Roman"/>
                          <w:color w:val="FFFFFF" w:themeColor="background1"/>
                        </w:rPr>
                      </w:pPr>
                    </w:p>
                    <w:p w14:paraId="081E29B0" w14:textId="76BBA64E" w:rsidR="002E5195" w:rsidRPr="00EE1319" w:rsidRDefault="002E5195" w:rsidP="008F5FF0">
                      <w:p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Given the impressive results from interventions that sought to deal with ultra-poverty using the </w:t>
                      </w:r>
                      <w:proofErr w:type="spellStart"/>
                      <w:r>
                        <w:rPr>
                          <w:rFonts w:ascii="Times New Roman" w:hAnsi="Times New Roman"/>
                          <w:color w:val="FFFFFF" w:themeColor="background1"/>
                        </w:rPr>
                        <w:t>Brac’s</w:t>
                      </w:r>
                      <w:proofErr w:type="spellEnd"/>
                      <w:r>
                        <w:rPr>
                          <w:rFonts w:ascii="Times New Roman" w:hAnsi="Times New Roman"/>
                          <w:color w:val="FFFFFF" w:themeColor="background1"/>
                        </w:rPr>
                        <w:t xml:space="preserve"> Graduation Approach, APC will adopt the approach and integrate the bio-briquetting enterprise in it when targeting individuals (parents/guardians and children) for direct support and facilitating the individuals to form self-help </w:t>
                      </w:r>
                      <w:proofErr w:type="spellStart"/>
                      <w:r>
                        <w:rPr>
                          <w:rFonts w:ascii="Times New Roman" w:hAnsi="Times New Roman"/>
                          <w:color w:val="FFFFFF" w:themeColor="background1"/>
                        </w:rPr>
                        <w:t>grous</w:t>
                      </w:r>
                      <w:proofErr w:type="spellEnd"/>
                      <w:r>
                        <w:rPr>
                          <w:rFonts w:ascii="Times New Roman" w:hAnsi="Times New Roman"/>
                          <w:color w:val="FFFFFF" w:themeColor="background1"/>
                        </w:rPr>
                        <w:t xml:space="preserve"> (SHGs) [also referred to as Local Level Associations (LLAs) under APC’s lingo] through which enterprises for collective business venture (bio-briquetting in this case) will be promoted.</w:t>
                      </w:r>
                    </w:p>
                    <w:p w14:paraId="0C4F6A7E" w14:textId="53BA8CCB" w:rsidR="002E5195" w:rsidRPr="00FF0BFF" w:rsidRDefault="002E5195" w:rsidP="00BB096B">
                      <w:pPr>
                        <w:spacing w:after="0" w:line="360" w:lineRule="auto"/>
                        <w:jc w:val="both"/>
                        <w:rPr>
                          <w:rFonts w:ascii="Times New Roman" w:hAnsi="Times New Roman"/>
                          <w:b/>
                          <w:color w:val="FFFFFF" w:themeColor="background1"/>
                          <w:sz w:val="24"/>
                          <w:szCs w:val="24"/>
                        </w:rPr>
                      </w:pPr>
                    </w:p>
                    <w:p w14:paraId="5DB5215D" w14:textId="77777777" w:rsidR="002E5195" w:rsidRPr="0017157D" w:rsidRDefault="002E5195" w:rsidP="00BB096B">
                      <w:pPr>
                        <w:spacing w:after="0" w:line="240" w:lineRule="auto"/>
                        <w:jc w:val="both"/>
                        <w:rPr>
                          <w:rFonts w:ascii="Times New Roman" w:hAnsi="Times New Roman"/>
                        </w:rPr>
                      </w:pPr>
                    </w:p>
                  </w:txbxContent>
                </v:textbox>
                <w10:wrap type="square"/>
              </v:shape>
            </w:pict>
          </mc:Fallback>
        </mc:AlternateContent>
      </w:r>
      <w:r>
        <w:rPr>
          <w:noProof/>
          <w:sz w:val="24"/>
          <w:szCs w:val="24"/>
          <w:lang w:val="en-US"/>
        </w:rPr>
        <mc:AlternateContent>
          <mc:Choice Requires="wps">
            <w:drawing>
              <wp:anchor distT="0" distB="0" distL="114300" distR="114300" simplePos="0" relativeHeight="252644352" behindDoc="0" locked="0" layoutInCell="1" allowOverlap="1" wp14:anchorId="52D87EC7" wp14:editId="44A0833E">
                <wp:simplePos x="0" y="0"/>
                <wp:positionH relativeFrom="column">
                  <wp:posOffset>-1087120</wp:posOffset>
                </wp:positionH>
                <wp:positionV relativeFrom="paragraph">
                  <wp:posOffset>-114300</wp:posOffset>
                </wp:positionV>
                <wp:extent cx="7613650" cy="9144000"/>
                <wp:effectExtent l="0" t="0" r="6350" b="0"/>
                <wp:wrapThrough wrapText="bothSides">
                  <wp:wrapPolygon edited="0">
                    <wp:start x="0" y="0"/>
                    <wp:lineTo x="0" y="21540"/>
                    <wp:lineTo x="21546" y="21540"/>
                    <wp:lineTo x="21546" y="0"/>
                    <wp:lineTo x="0" y="0"/>
                  </wp:wrapPolygon>
                </wp:wrapThrough>
                <wp:docPr id="1807" name="Text Box 1807"/>
                <wp:cNvGraphicFramePr/>
                <a:graphic xmlns:a="http://schemas.openxmlformats.org/drawingml/2006/main">
                  <a:graphicData uri="http://schemas.microsoft.com/office/word/2010/wordprocessingShape">
                    <wps:wsp>
                      <wps:cNvSpPr txBox="1"/>
                      <wps:spPr>
                        <a:xfrm>
                          <a:off x="0" y="0"/>
                          <a:ext cx="7613650" cy="9144000"/>
                        </a:xfrm>
                        <a:prstGeom prst="rect">
                          <a:avLst/>
                        </a:prstGeom>
                        <a:solidFill>
                          <a:schemeClr val="tx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326D1" w14:textId="77777777" w:rsidR="002E5195" w:rsidRDefault="002E5195" w:rsidP="00BB09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07" o:spid="_x0000_s1062" type="#_x0000_t202" style="position:absolute;left:0;text-align:left;margin-left:-85.55pt;margin-top:-8.95pt;width:599.5pt;height:10in;z-index:2526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" fillcolor="#09213b [3215]" stroked="f">
                <v:textbox>
                  <w:txbxContent>
                    <w:p w14:paraId="1A1326D1" w14:textId="77777777" w:rsidR="002E5195" w:rsidRDefault="002E5195" w:rsidP="00BB096B"/>
                  </w:txbxContent>
                </v:textbox>
                <w10:wrap type="through"/>
              </v:shape>
            </w:pict>
          </mc:Fallback>
        </mc:AlternateContent>
      </w:r>
    </w:p>
    <w:p w14:paraId="21607E18" w14:textId="2E750B1D" w:rsidR="009904FF" w:rsidRPr="009904FF" w:rsidRDefault="005B11F9" w:rsidP="009904FF">
      <w:pPr>
        <w:tabs>
          <w:tab w:val="left" w:pos="3478"/>
        </w:tabs>
        <w:spacing w:after="0" w:line="360" w:lineRule="auto"/>
        <w:jc w:val="both"/>
        <w:rPr>
          <w:rFonts w:ascii="Times New Roman" w:hAnsi="Times New Roman"/>
          <w:sz w:val="12"/>
          <w:szCs w:val="12"/>
        </w:rPr>
      </w:pPr>
      <w:r w:rsidRPr="008B267E">
        <w:rPr>
          <w:rFonts w:ascii="Times New Roman" w:hAnsi="Times New Roman"/>
          <w:noProof/>
          <w:lang w:val="en-US"/>
        </w:rPr>
        <w:lastRenderedPageBreak/>
        <mc:AlternateContent>
          <mc:Choice Requires="wps">
            <w:drawing>
              <wp:anchor distT="0" distB="0" distL="114300" distR="114300" simplePos="0" relativeHeight="252640256" behindDoc="0" locked="0" layoutInCell="1" allowOverlap="1" wp14:anchorId="78754D90" wp14:editId="58979B97">
                <wp:simplePos x="0" y="0"/>
                <wp:positionH relativeFrom="column">
                  <wp:posOffset>-1087120</wp:posOffset>
                </wp:positionH>
                <wp:positionV relativeFrom="paragraph">
                  <wp:posOffset>-114300</wp:posOffset>
                </wp:positionV>
                <wp:extent cx="7613650" cy="9202420"/>
                <wp:effectExtent l="0" t="0" r="6350" b="0"/>
                <wp:wrapThrough wrapText="bothSides">
                  <wp:wrapPolygon edited="0">
                    <wp:start x="0" y="0"/>
                    <wp:lineTo x="0" y="21522"/>
                    <wp:lineTo x="21546" y="21522"/>
                    <wp:lineTo x="21546" y="0"/>
                    <wp:lineTo x="0" y="0"/>
                  </wp:wrapPolygon>
                </wp:wrapThrough>
                <wp:docPr id="1805" name="Text Box 1805"/>
                <wp:cNvGraphicFramePr/>
                <a:graphic xmlns:a="http://schemas.openxmlformats.org/drawingml/2006/main">
                  <a:graphicData uri="http://schemas.microsoft.com/office/word/2010/wordprocessingShape">
                    <wps:wsp>
                      <wps:cNvSpPr txBox="1"/>
                      <wps:spPr>
                        <a:xfrm>
                          <a:off x="0" y="0"/>
                          <a:ext cx="7613650" cy="9202420"/>
                        </a:xfrm>
                        <a:prstGeom prst="rect">
                          <a:avLst/>
                        </a:prstGeom>
                        <a:solidFill>
                          <a:schemeClr val="tx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E62E3" w14:textId="77777777" w:rsidR="002E5195" w:rsidRDefault="002E5195" w:rsidP="00B70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05" o:spid="_x0000_s1063" type="#_x0000_t202" style="position:absolute;left:0;text-align:left;margin-left:-85.55pt;margin-top:-8.95pt;width:599.5pt;height:724.6pt;z-index:25264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" fillcolor="#09213b [3215]" stroked="f">
                <v:textbox>
                  <w:txbxContent>
                    <w:p w14:paraId="55CE62E3" w14:textId="77777777" w:rsidR="002E5195" w:rsidRDefault="002E5195" w:rsidP="00B70589"/>
                  </w:txbxContent>
                </v:textbox>
                <w10:wrap type="through"/>
              </v:shape>
            </w:pict>
          </mc:Fallback>
        </mc:AlternateContent>
      </w:r>
      <w:r w:rsidR="00C42E92" w:rsidRPr="008B267E">
        <w:rPr>
          <w:noProof/>
          <w:lang w:val="en-US"/>
        </w:rPr>
        <mc:AlternateContent>
          <mc:Choice Requires="wps">
            <w:drawing>
              <wp:anchor distT="0" distB="0" distL="114300" distR="114300" simplePos="0" relativeHeight="252717056" behindDoc="0" locked="0" layoutInCell="1" allowOverlap="1" wp14:anchorId="2BEED033" wp14:editId="097CC8CE">
                <wp:simplePos x="0" y="0"/>
                <wp:positionH relativeFrom="column">
                  <wp:posOffset>-139700</wp:posOffset>
                </wp:positionH>
                <wp:positionV relativeFrom="paragraph">
                  <wp:posOffset>-114300</wp:posOffset>
                </wp:positionV>
                <wp:extent cx="5834380" cy="8915400"/>
                <wp:effectExtent l="0" t="0" r="0" b="0"/>
                <wp:wrapThrough wrapText="bothSides">
                  <wp:wrapPolygon edited="0">
                    <wp:start x="94" y="0"/>
                    <wp:lineTo x="94" y="21538"/>
                    <wp:lineTo x="21440" y="21538"/>
                    <wp:lineTo x="21440" y="0"/>
                    <wp:lineTo x="94" y="0"/>
                  </wp:wrapPolygon>
                </wp:wrapThrough>
                <wp:docPr id="1806" name="Text Box 1806"/>
                <wp:cNvGraphicFramePr/>
                <a:graphic xmlns:a="http://schemas.openxmlformats.org/drawingml/2006/main">
                  <a:graphicData uri="http://schemas.microsoft.com/office/word/2010/wordprocessingShape">
                    <wps:wsp>
                      <wps:cNvSpPr txBox="1"/>
                      <wps:spPr>
                        <a:xfrm>
                          <a:off x="0" y="0"/>
                          <a:ext cx="5834380" cy="8915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92DCF" w14:textId="77777777" w:rsidR="002E5195" w:rsidRDefault="002E5195" w:rsidP="005B1AB7">
                            <w:pPr>
                              <w:spacing w:after="0" w:line="360" w:lineRule="auto"/>
                              <w:jc w:val="both"/>
                              <w:rPr>
                                <w:rFonts w:ascii="Times New Roman" w:hAnsi="Times New Roman"/>
                                <w:b/>
                                <w:color w:val="E2751D" w:themeColor="accent3"/>
                              </w:rPr>
                            </w:pPr>
                          </w:p>
                          <w:p w14:paraId="759F5389" w14:textId="77777777" w:rsidR="002E5195" w:rsidRPr="008B267E" w:rsidRDefault="002E5195" w:rsidP="005B1AB7">
                            <w:pPr>
                              <w:spacing w:after="0" w:line="360" w:lineRule="auto"/>
                              <w:jc w:val="both"/>
                              <w:rPr>
                                <w:rFonts w:ascii="Times New Roman" w:hAnsi="Times New Roman"/>
                                <w:b/>
                                <w:color w:val="FFFFFF" w:themeColor="background1"/>
                              </w:rPr>
                            </w:pPr>
                            <w:r w:rsidRPr="008B267E">
                              <w:rPr>
                                <w:rFonts w:ascii="Times New Roman" w:hAnsi="Times New Roman"/>
                                <w:b/>
                                <w:color w:val="E2751D" w:themeColor="accent3"/>
                              </w:rPr>
                              <w:t>THE PLAN</w:t>
                            </w:r>
                          </w:p>
                          <w:p w14:paraId="32AFC0FC" w14:textId="77777777" w:rsidR="002E5195" w:rsidRDefault="002E5195" w:rsidP="005B1AB7">
                            <w:pPr>
                              <w:spacing w:after="0" w:line="240" w:lineRule="auto"/>
                              <w:jc w:val="both"/>
                              <w:rPr>
                                <w:rFonts w:ascii="Times New Roman" w:hAnsi="Times New Roman"/>
                                <w:b/>
                                <w:color w:val="E2751D" w:themeColor="accent3"/>
                              </w:rPr>
                            </w:pPr>
                          </w:p>
                          <w:p w14:paraId="7C5499D7" w14:textId="13AD5578" w:rsidR="002E5195" w:rsidRPr="008B267E" w:rsidRDefault="002E5195" w:rsidP="005B1AB7">
                            <w:pPr>
                              <w:spacing w:after="0" w:line="240" w:lineRule="auto"/>
                              <w:jc w:val="both"/>
                              <w:rPr>
                                <w:rFonts w:ascii="Times New Roman" w:hAnsi="Times New Roman"/>
                                <w:color w:val="E2751D" w:themeColor="accent3"/>
                              </w:rPr>
                            </w:pPr>
                            <w:r>
                              <w:rPr>
                                <w:rFonts w:ascii="Times New Roman" w:hAnsi="Times New Roman"/>
                                <w:b/>
                                <w:color w:val="E2751D" w:themeColor="accent3"/>
                              </w:rPr>
                              <w:t xml:space="preserve">Strategic </w:t>
                            </w:r>
                            <w:r w:rsidRPr="008B267E">
                              <w:rPr>
                                <w:rFonts w:ascii="Times New Roman" w:hAnsi="Times New Roman"/>
                                <w:b/>
                                <w:color w:val="E2751D" w:themeColor="accent3"/>
                              </w:rPr>
                              <w:t>Purpose</w:t>
                            </w:r>
                            <w:r w:rsidRPr="008B267E">
                              <w:rPr>
                                <w:rFonts w:ascii="Times New Roman" w:hAnsi="Times New Roman"/>
                                <w:color w:val="E2751D" w:themeColor="accent3"/>
                              </w:rPr>
                              <w:t xml:space="preserve">: </w:t>
                            </w:r>
                          </w:p>
                          <w:p w14:paraId="549EBCAC" w14:textId="17052313" w:rsidR="002E5195" w:rsidRPr="008B267E" w:rsidRDefault="002E5195" w:rsidP="005B1AB7">
                            <w:pPr>
                              <w:spacing w:after="0" w:line="240" w:lineRule="auto"/>
                              <w:jc w:val="both"/>
                              <w:rPr>
                                <w:rFonts w:ascii="Times New Roman" w:hAnsi="Times New Roman"/>
                                <w:color w:val="FFFFFF" w:themeColor="background1"/>
                              </w:rPr>
                            </w:pPr>
                            <w:r w:rsidRPr="008B267E">
                              <w:rPr>
                                <w:rFonts w:ascii="Times New Roman" w:hAnsi="Times New Roman"/>
                                <w:color w:val="FFFFFF" w:themeColor="background1"/>
                              </w:rPr>
                              <w:t xml:space="preserve">To secure, through engagement in and promotion of bio-briquetting, </w:t>
                            </w:r>
                            <w:r>
                              <w:rPr>
                                <w:rFonts w:ascii="Times New Roman" w:hAnsi="Times New Roman"/>
                                <w:color w:val="FFFFFF" w:themeColor="background1"/>
                              </w:rPr>
                              <w:t>inclusive and equitable</w:t>
                            </w:r>
                            <w:r w:rsidRPr="008B267E">
                              <w:rPr>
                                <w:rFonts w:ascii="Times New Roman" w:hAnsi="Times New Roman"/>
                                <w:color w:val="FFFFFF" w:themeColor="background1"/>
                              </w:rPr>
                              <w:t xml:space="preserve"> education</w:t>
                            </w:r>
                            <w:r>
                              <w:rPr>
                                <w:rFonts w:ascii="Times New Roman" w:hAnsi="Times New Roman"/>
                                <w:color w:val="FFFFFF" w:themeColor="background1"/>
                              </w:rPr>
                              <w:t xml:space="preserve"> (ECD, primary, and secondary)</w:t>
                            </w:r>
                            <w:r w:rsidRPr="008B267E">
                              <w:rPr>
                                <w:rFonts w:ascii="Times New Roman" w:hAnsi="Times New Roman"/>
                                <w:color w:val="FFFFFF" w:themeColor="background1"/>
                              </w:rPr>
                              <w:t xml:space="preserve"> </w:t>
                            </w:r>
                            <w:r>
                              <w:rPr>
                                <w:rFonts w:ascii="Times New Roman" w:hAnsi="Times New Roman"/>
                                <w:color w:val="FFFFFF" w:themeColor="background1"/>
                              </w:rPr>
                              <w:t xml:space="preserve">for Kenyan children </w:t>
                            </w:r>
                            <w:r w:rsidRPr="008B267E">
                              <w:rPr>
                                <w:rFonts w:ascii="Times New Roman" w:hAnsi="Times New Roman"/>
                                <w:color w:val="FFFFFF" w:themeColor="background1"/>
                              </w:rPr>
                              <w:t xml:space="preserve">from </w:t>
                            </w:r>
                            <w:r>
                              <w:rPr>
                                <w:rFonts w:ascii="Times New Roman" w:hAnsi="Times New Roman"/>
                                <w:color w:val="FFFFFF" w:themeColor="background1"/>
                              </w:rPr>
                              <w:t xml:space="preserve">disadvantaged backgrounds, the lifting of Kenyan youths out of </w:t>
                            </w:r>
                            <w:proofErr w:type="spellStart"/>
                            <w:r>
                              <w:rPr>
                                <w:rFonts w:ascii="Times New Roman" w:hAnsi="Times New Roman"/>
                                <w:color w:val="FFFFFF" w:themeColor="background1"/>
                              </w:rPr>
                              <w:t>povery</w:t>
                            </w:r>
                            <w:proofErr w:type="spellEnd"/>
                            <w:r>
                              <w:rPr>
                                <w:rFonts w:ascii="Times New Roman" w:hAnsi="Times New Roman"/>
                                <w:color w:val="FFFFFF" w:themeColor="background1"/>
                              </w:rPr>
                              <w:t>, and grassroots-inspired climate action.</w:t>
                            </w:r>
                          </w:p>
                          <w:p w14:paraId="68B8FE27" w14:textId="77777777" w:rsidR="002E5195" w:rsidRPr="008B267E" w:rsidRDefault="002E5195" w:rsidP="005B1AB7">
                            <w:pPr>
                              <w:spacing w:after="0" w:line="240" w:lineRule="auto"/>
                              <w:jc w:val="both"/>
                              <w:rPr>
                                <w:rFonts w:ascii="Times New Roman" w:hAnsi="Times New Roman"/>
                                <w:color w:val="FFFFFF" w:themeColor="background1"/>
                                <w:sz w:val="12"/>
                                <w:szCs w:val="12"/>
                              </w:rPr>
                            </w:pPr>
                          </w:p>
                          <w:p w14:paraId="1B8B5FC9" w14:textId="77777777" w:rsidR="002E5195" w:rsidRDefault="002E5195" w:rsidP="005B1AB7">
                            <w:pPr>
                              <w:spacing w:after="0" w:line="240" w:lineRule="auto"/>
                              <w:jc w:val="both"/>
                              <w:rPr>
                                <w:rFonts w:ascii="Times New Roman" w:hAnsi="Times New Roman"/>
                                <w:b/>
                                <w:color w:val="E2751D" w:themeColor="accent3"/>
                              </w:rPr>
                            </w:pPr>
                          </w:p>
                          <w:p w14:paraId="1BFB1F0C" w14:textId="2DE05F1B" w:rsidR="002E5195" w:rsidRPr="008B267E" w:rsidRDefault="002E5195" w:rsidP="005B1AB7">
                            <w:pPr>
                              <w:spacing w:after="0" w:line="240" w:lineRule="auto"/>
                              <w:jc w:val="both"/>
                              <w:rPr>
                                <w:rFonts w:ascii="Times New Roman" w:hAnsi="Times New Roman"/>
                                <w:color w:val="E2751D" w:themeColor="accent3"/>
                              </w:rPr>
                            </w:pPr>
                            <w:r>
                              <w:rPr>
                                <w:rFonts w:ascii="Times New Roman" w:hAnsi="Times New Roman"/>
                                <w:b/>
                                <w:color w:val="E2751D" w:themeColor="accent3"/>
                              </w:rPr>
                              <w:t>Strategic Targets</w:t>
                            </w:r>
                            <w:r w:rsidRPr="008B267E">
                              <w:rPr>
                                <w:rFonts w:ascii="Times New Roman" w:hAnsi="Times New Roman"/>
                                <w:b/>
                                <w:color w:val="E2751D" w:themeColor="accent3"/>
                              </w:rPr>
                              <w:t xml:space="preserve">: </w:t>
                            </w:r>
                          </w:p>
                          <w:p w14:paraId="0BE2D306" w14:textId="54F2C91F" w:rsidR="002E5195" w:rsidRPr="008B267E" w:rsidRDefault="002E5195" w:rsidP="005B1AB7">
                            <w:pPr>
                              <w:pStyle w:val="ListParagraph"/>
                              <w:numPr>
                                <w:ilvl w:val="0"/>
                                <w:numId w:val="23"/>
                              </w:num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At least 195 ultra-poor women and at least 105 ultra-poor men (ages 15-35) empowered with technical and vocational skills in the bio-briquetting value-chain, underpinned by the </w:t>
                            </w:r>
                            <w:proofErr w:type="spellStart"/>
                            <w:r>
                              <w:rPr>
                                <w:rFonts w:ascii="Times New Roman" w:hAnsi="Times New Roman"/>
                                <w:color w:val="FFFFFF" w:themeColor="background1"/>
                              </w:rPr>
                              <w:t>Brac’s</w:t>
                            </w:r>
                            <w:proofErr w:type="spellEnd"/>
                            <w:r>
                              <w:rPr>
                                <w:rFonts w:ascii="Times New Roman" w:hAnsi="Times New Roman"/>
                                <w:color w:val="FFFFFF" w:themeColor="background1"/>
                              </w:rPr>
                              <w:t xml:space="preserve"> Graduation Approach framework, for employment and/or enhanced income generation, by the end of 2021.</w:t>
                            </w:r>
                          </w:p>
                          <w:p w14:paraId="17C6417B" w14:textId="651BDB70" w:rsidR="002E5195" w:rsidRPr="008B267E" w:rsidRDefault="002E5195" w:rsidP="005B1AB7">
                            <w:pPr>
                              <w:pStyle w:val="ListParagraph"/>
                              <w:numPr>
                                <w:ilvl w:val="0"/>
                                <w:numId w:val="23"/>
                              </w:num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At least 195 girls and at least 105 boys from ultra-poor households supported based on the </w:t>
                            </w:r>
                            <w:proofErr w:type="spellStart"/>
                            <w:r>
                              <w:rPr>
                                <w:rFonts w:ascii="Times New Roman" w:hAnsi="Times New Roman"/>
                                <w:color w:val="FFFFFF" w:themeColor="background1"/>
                              </w:rPr>
                              <w:t>Brac’s</w:t>
                            </w:r>
                            <w:proofErr w:type="spellEnd"/>
                            <w:r>
                              <w:rPr>
                                <w:rFonts w:ascii="Times New Roman" w:hAnsi="Times New Roman"/>
                                <w:color w:val="FFFFFF" w:themeColor="background1"/>
                              </w:rPr>
                              <w:t xml:space="preserve"> Graduation Approach framework to achieve top-level literacy and numeracy, by the end of 2021.</w:t>
                            </w:r>
                          </w:p>
                          <w:p w14:paraId="2BCADD48" w14:textId="45297FE0" w:rsidR="002E5195" w:rsidRDefault="002E5195" w:rsidP="005B1AB7">
                            <w:pPr>
                              <w:pStyle w:val="ListParagraph"/>
                              <w:numPr>
                                <w:ilvl w:val="0"/>
                                <w:numId w:val="23"/>
                              </w:num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By the end of 2021, the capacity to develop and/or scale up bio-briquetting enterprises and value chains by APC and 6 LLAs in West </w:t>
                            </w:r>
                            <w:proofErr w:type="spellStart"/>
                            <w:r>
                              <w:rPr>
                                <w:rFonts w:ascii="Times New Roman" w:hAnsi="Times New Roman"/>
                                <w:color w:val="FFFFFF" w:themeColor="background1"/>
                              </w:rPr>
                              <w:t>Pokot</w:t>
                            </w:r>
                            <w:proofErr w:type="spellEnd"/>
                            <w:r>
                              <w:rPr>
                                <w:rFonts w:ascii="Times New Roman" w:hAnsi="Times New Roman"/>
                                <w:color w:val="FFFFFF" w:themeColor="background1"/>
                              </w:rPr>
                              <w:t xml:space="preserve">, </w:t>
                            </w:r>
                            <w:proofErr w:type="spellStart"/>
                            <w:r>
                              <w:rPr>
                                <w:rFonts w:ascii="Times New Roman" w:hAnsi="Times New Roman"/>
                                <w:color w:val="FFFFFF" w:themeColor="background1"/>
                              </w:rPr>
                              <w:t>Vihiga</w:t>
                            </w:r>
                            <w:proofErr w:type="spellEnd"/>
                            <w:r>
                              <w:rPr>
                                <w:rFonts w:ascii="Times New Roman" w:hAnsi="Times New Roman"/>
                                <w:color w:val="FFFFFF" w:themeColor="background1"/>
                              </w:rPr>
                              <w:t xml:space="preserve">, and </w:t>
                            </w:r>
                            <w:proofErr w:type="spellStart"/>
                            <w:r>
                              <w:rPr>
                                <w:rFonts w:ascii="Times New Roman" w:hAnsi="Times New Roman"/>
                                <w:color w:val="FFFFFF" w:themeColor="background1"/>
                              </w:rPr>
                              <w:t>Kitui</w:t>
                            </w:r>
                            <w:proofErr w:type="spellEnd"/>
                            <w:r>
                              <w:rPr>
                                <w:rFonts w:ascii="Times New Roman" w:hAnsi="Times New Roman"/>
                                <w:color w:val="FFFFFF" w:themeColor="background1"/>
                              </w:rPr>
                              <w:t xml:space="preserve"> Counties in Kenya enhanced so as to enable them effectively participate in the upgrading of educational facilities attended by children targeted in Target 2 (with focus on hygienic latrines, electricity, safe water, and basic teaching tools) for inclusive and effective learning, as well as improved grassroots-inspired climate action.</w:t>
                            </w:r>
                          </w:p>
                          <w:p w14:paraId="225A22B8" w14:textId="77777777" w:rsidR="002E5195" w:rsidRDefault="002E5195" w:rsidP="001F423C">
                            <w:pPr>
                              <w:spacing w:after="0" w:line="240" w:lineRule="auto"/>
                              <w:jc w:val="both"/>
                              <w:rPr>
                                <w:rFonts w:ascii="Times New Roman" w:hAnsi="Times New Roman"/>
                                <w:color w:val="FFFFFF" w:themeColor="background1"/>
                              </w:rPr>
                            </w:pPr>
                          </w:p>
                          <w:p w14:paraId="2097E594" w14:textId="77777777" w:rsidR="002E5195" w:rsidRPr="008B267E" w:rsidRDefault="002E5195" w:rsidP="005B1AB7">
                            <w:pPr>
                              <w:spacing w:after="0" w:line="240" w:lineRule="auto"/>
                              <w:jc w:val="both"/>
                              <w:rPr>
                                <w:rFonts w:ascii="Times New Roman" w:hAnsi="Times New Roman"/>
                                <w:color w:val="FFFFFF" w:themeColor="background1"/>
                                <w:sz w:val="12"/>
                                <w:szCs w:val="12"/>
                              </w:rPr>
                            </w:pPr>
                          </w:p>
                          <w:p w14:paraId="7E4F311C" w14:textId="1A28E4DB" w:rsidR="002E5195" w:rsidRDefault="002E5195" w:rsidP="005B1AB7">
                            <w:pPr>
                              <w:spacing w:after="0" w:line="240" w:lineRule="auto"/>
                              <w:jc w:val="both"/>
                              <w:rPr>
                                <w:rFonts w:ascii="Times New Roman" w:hAnsi="Times New Roman"/>
                                <w:b/>
                                <w:color w:val="E2751D" w:themeColor="accent3"/>
                              </w:rPr>
                            </w:pPr>
                            <w:r>
                              <w:rPr>
                                <w:rFonts w:ascii="Times New Roman" w:hAnsi="Times New Roman"/>
                                <w:b/>
                                <w:color w:val="E2751D" w:themeColor="accent3"/>
                              </w:rPr>
                              <w:t>Strategic Thrusts</w:t>
                            </w:r>
                            <w:r w:rsidRPr="008B267E">
                              <w:rPr>
                                <w:rFonts w:ascii="Times New Roman" w:hAnsi="Times New Roman"/>
                                <w:b/>
                                <w:color w:val="E2751D" w:themeColor="accent3"/>
                              </w:rPr>
                              <w:t xml:space="preserve">: </w:t>
                            </w:r>
                          </w:p>
                          <w:p w14:paraId="7498453A" w14:textId="77777777" w:rsidR="002E5195" w:rsidRDefault="002E5195" w:rsidP="005B1AB7">
                            <w:pPr>
                              <w:spacing w:after="0" w:line="240" w:lineRule="auto"/>
                              <w:jc w:val="both"/>
                              <w:rPr>
                                <w:rFonts w:ascii="Times New Roman" w:hAnsi="Times New Roman"/>
                                <w:b/>
                                <w:color w:val="E2751D" w:themeColor="accent3"/>
                              </w:rPr>
                            </w:pPr>
                          </w:p>
                          <w:p w14:paraId="193FA5E4" w14:textId="5814DD25" w:rsidR="002E5195" w:rsidRDefault="002E5195" w:rsidP="005B1AB7">
                            <w:pPr>
                              <w:spacing w:after="0" w:line="240" w:lineRule="auto"/>
                              <w:jc w:val="both"/>
                              <w:rPr>
                                <w:rFonts w:ascii="Times New Roman" w:hAnsi="Times New Roman"/>
                                <w:b/>
                                <w:color w:val="E2751D" w:themeColor="accent3"/>
                              </w:rPr>
                            </w:pPr>
                            <w:r>
                              <w:rPr>
                                <w:rFonts w:ascii="Times New Roman" w:hAnsi="Times New Roman"/>
                                <w:b/>
                                <w:color w:val="E2751D" w:themeColor="accent3"/>
                              </w:rPr>
                              <w:t>Target 1</w:t>
                            </w:r>
                          </w:p>
                          <w:p w14:paraId="203D3B96" w14:textId="77777777" w:rsidR="002E5195" w:rsidRPr="00F03E9E" w:rsidRDefault="002E5195" w:rsidP="005B1AB7">
                            <w:pPr>
                              <w:spacing w:after="0" w:line="240" w:lineRule="auto"/>
                              <w:jc w:val="both"/>
                              <w:rPr>
                                <w:rFonts w:ascii="Times New Roman" w:hAnsi="Times New Roman"/>
                                <w:b/>
                                <w:color w:val="E2751D" w:themeColor="accent3"/>
                              </w:rPr>
                            </w:pPr>
                          </w:p>
                          <w:p w14:paraId="3ECE1B8A" w14:textId="3B05B28D" w:rsidR="002E5195" w:rsidRDefault="002E5195" w:rsidP="005B1AB7">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Provision of productive assets;</w:t>
                            </w:r>
                          </w:p>
                          <w:p w14:paraId="04034704" w14:textId="03120D7E" w:rsidR="002E5195" w:rsidRDefault="002E5195" w:rsidP="005B1AB7">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Training in entrepreneurship;</w:t>
                            </w:r>
                          </w:p>
                          <w:p w14:paraId="5CB23AE5" w14:textId="6FE97010" w:rsidR="002E5195" w:rsidRDefault="002E5195" w:rsidP="005B1AB7">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Consumption support;</w:t>
                            </w:r>
                          </w:p>
                          <w:p w14:paraId="0DF71C94" w14:textId="2234798B" w:rsidR="002E5195" w:rsidRDefault="002E5195" w:rsidP="005B1AB7">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Coaching/mentorship;</w:t>
                            </w:r>
                          </w:p>
                          <w:p w14:paraId="2EC300EF" w14:textId="0A07AF03" w:rsidR="002E5195" w:rsidRDefault="002E5195" w:rsidP="005B1AB7">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Savings promotion; and</w:t>
                            </w:r>
                          </w:p>
                          <w:p w14:paraId="190D6278" w14:textId="1E5B5579" w:rsidR="002E5195" w:rsidRPr="009B1610" w:rsidRDefault="002E5195" w:rsidP="009B1610">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Health empowerment.</w:t>
                            </w:r>
                          </w:p>
                          <w:p w14:paraId="1A62E26F" w14:textId="77777777" w:rsidR="002E5195" w:rsidRDefault="002E5195" w:rsidP="009B1610">
                            <w:pPr>
                              <w:spacing w:after="0" w:line="240" w:lineRule="auto"/>
                              <w:jc w:val="both"/>
                              <w:rPr>
                                <w:rFonts w:ascii="Times New Roman" w:hAnsi="Times New Roman"/>
                                <w:color w:val="FFFFFF" w:themeColor="background1"/>
                                <w:sz w:val="12"/>
                                <w:szCs w:val="12"/>
                              </w:rPr>
                            </w:pPr>
                          </w:p>
                          <w:p w14:paraId="5F087AA9" w14:textId="77777777" w:rsidR="002E5195" w:rsidRDefault="002E5195" w:rsidP="009B1610">
                            <w:pPr>
                              <w:spacing w:after="0" w:line="240" w:lineRule="auto"/>
                              <w:jc w:val="both"/>
                              <w:rPr>
                                <w:rFonts w:ascii="Times New Roman" w:hAnsi="Times New Roman"/>
                                <w:color w:val="FFFFFF" w:themeColor="background1"/>
                                <w:sz w:val="12"/>
                                <w:szCs w:val="12"/>
                              </w:rPr>
                            </w:pPr>
                          </w:p>
                          <w:p w14:paraId="63569BDB" w14:textId="6823B099" w:rsidR="002E5195" w:rsidRDefault="002E5195" w:rsidP="00F03E9E">
                            <w:pPr>
                              <w:spacing w:after="0" w:line="240" w:lineRule="auto"/>
                              <w:rPr>
                                <w:rFonts w:ascii="Times New Roman" w:hAnsi="Times New Roman"/>
                                <w:b/>
                                <w:i/>
                                <w:color w:val="E2751D" w:themeColor="accent3"/>
                              </w:rPr>
                            </w:pPr>
                            <w:r w:rsidRPr="00F03E9E">
                              <w:rPr>
                                <w:rFonts w:ascii="Times New Roman" w:hAnsi="Times New Roman"/>
                                <w:b/>
                                <w:i/>
                                <w:color w:val="E2751D" w:themeColor="accent3"/>
                              </w:rPr>
                              <w:t>Target 2</w:t>
                            </w:r>
                          </w:p>
                          <w:p w14:paraId="3C3AC5E2" w14:textId="77777777" w:rsidR="002E5195" w:rsidRPr="00F03E9E" w:rsidRDefault="002E5195" w:rsidP="00F03E9E">
                            <w:pPr>
                              <w:spacing w:after="0" w:line="240" w:lineRule="auto"/>
                              <w:rPr>
                                <w:rFonts w:ascii="Times New Roman" w:hAnsi="Times New Roman"/>
                                <w:i/>
                                <w:color w:val="E2751D" w:themeColor="accent3"/>
                              </w:rPr>
                            </w:pPr>
                          </w:p>
                          <w:p w14:paraId="278FAA65" w14:textId="02DE25A1" w:rsidR="002E5195" w:rsidRPr="008B267E"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Provision of productive assets;</w:t>
                            </w:r>
                          </w:p>
                          <w:p w14:paraId="4D88A7FA" w14:textId="4E01EDFD" w:rsidR="002E5195" w:rsidRPr="008B267E"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 xml:space="preserve">Provision of </w:t>
                            </w:r>
                            <w:proofErr w:type="spellStart"/>
                            <w:r>
                              <w:rPr>
                                <w:rFonts w:ascii="Times New Roman" w:hAnsi="Times New Roman"/>
                                <w:color w:val="FFFFFF" w:themeColor="background1"/>
                              </w:rPr>
                              <w:t>lifeskills</w:t>
                            </w:r>
                            <w:proofErr w:type="spellEnd"/>
                            <w:r>
                              <w:rPr>
                                <w:rFonts w:ascii="Times New Roman" w:hAnsi="Times New Roman"/>
                                <w:color w:val="FFFFFF" w:themeColor="background1"/>
                              </w:rPr>
                              <w:t xml:space="preserve"> trainings;</w:t>
                            </w:r>
                          </w:p>
                          <w:p w14:paraId="0EA10002" w14:textId="06089B7C" w:rsidR="002E5195"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Consumption support</w:t>
                            </w:r>
                            <w:r w:rsidR="00A422CF">
                              <w:rPr>
                                <w:rFonts w:ascii="Times New Roman" w:hAnsi="Times New Roman"/>
                                <w:color w:val="FFFFFF" w:themeColor="background1"/>
                              </w:rPr>
                              <w:t xml:space="preserve"> (need-based merit </w:t>
                            </w:r>
                            <w:proofErr w:type="spellStart"/>
                            <w:r w:rsidR="00A422CF">
                              <w:rPr>
                                <w:rFonts w:ascii="Times New Roman" w:hAnsi="Times New Roman"/>
                                <w:color w:val="FFFFFF" w:themeColor="background1"/>
                              </w:rPr>
                              <w:t>scholraships</w:t>
                            </w:r>
                            <w:proofErr w:type="spellEnd"/>
                            <w:r w:rsidR="00A422CF">
                              <w:rPr>
                                <w:rFonts w:ascii="Times New Roman" w:hAnsi="Times New Roman"/>
                                <w:color w:val="FFFFFF" w:themeColor="background1"/>
                              </w:rPr>
                              <w:t>, educational support, etc.)</w:t>
                            </w:r>
                            <w:r>
                              <w:rPr>
                                <w:rFonts w:ascii="Times New Roman" w:hAnsi="Times New Roman"/>
                                <w:color w:val="FFFFFF" w:themeColor="background1"/>
                              </w:rPr>
                              <w:t>;</w:t>
                            </w:r>
                          </w:p>
                          <w:p w14:paraId="02F76FB6" w14:textId="5BACF265" w:rsidR="002E5195"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Savings promotion;</w:t>
                            </w:r>
                          </w:p>
                          <w:p w14:paraId="3AF4C817" w14:textId="52277D6C" w:rsidR="002E5195"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Coaching/</w:t>
                            </w:r>
                            <w:proofErr w:type="spellStart"/>
                            <w:r>
                              <w:rPr>
                                <w:rFonts w:ascii="Times New Roman" w:hAnsi="Times New Roman"/>
                                <w:color w:val="FFFFFF" w:themeColor="background1"/>
                              </w:rPr>
                              <w:t>mentoriship</w:t>
                            </w:r>
                            <w:proofErr w:type="spellEnd"/>
                            <w:r>
                              <w:rPr>
                                <w:rFonts w:ascii="Times New Roman" w:hAnsi="Times New Roman"/>
                                <w:color w:val="FFFFFF" w:themeColor="background1"/>
                              </w:rPr>
                              <w:t>; and</w:t>
                            </w:r>
                          </w:p>
                          <w:p w14:paraId="14DBF6F1" w14:textId="0D638BB7" w:rsidR="002E5195"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Health empowerment.</w:t>
                            </w:r>
                          </w:p>
                          <w:p w14:paraId="453134FC" w14:textId="77777777" w:rsidR="002E5195" w:rsidRDefault="002E5195" w:rsidP="006E7EBB">
                            <w:pPr>
                              <w:spacing w:after="0" w:line="240" w:lineRule="auto"/>
                              <w:jc w:val="both"/>
                              <w:rPr>
                                <w:rFonts w:ascii="Times New Roman" w:hAnsi="Times New Roman"/>
                                <w:color w:val="FFFFFF" w:themeColor="background1"/>
                              </w:rPr>
                            </w:pPr>
                          </w:p>
                          <w:p w14:paraId="518A0C91" w14:textId="022CEB94" w:rsidR="002E5195" w:rsidRDefault="002E5195" w:rsidP="00F03E9E">
                            <w:pPr>
                              <w:spacing w:after="0" w:line="240" w:lineRule="auto"/>
                              <w:jc w:val="both"/>
                              <w:rPr>
                                <w:rFonts w:ascii="Times New Roman" w:hAnsi="Times New Roman"/>
                                <w:b/>
                                <w:i/>
                                <w:color w:val="E2751D" w:themeColor="accent3"/>
                              </w:rPr>
                            </w:pPr>
                            <w:r w:rsidRPr="00F03E9E">
                              <w:rPr>
                                <w:rFonts w:ascii="Times New Roman" w:hAnsi="Times New Roman"/>
                                <w:b/>
                                <w:i/>
                                <w:color w:val="E2751D" w:themeColor="accent3"/>
                              </w:rPr>
                              <w:t>Target 3</w:t>
                            </w:r>
                          </w:p>
                          <w:p w14:paraId="10563E12" w14:textId="77777777" w:rsidR="002E5195" w:rsidRPr="00F03E9E" w:rsidRDefault="002E5195" w:rsidP="00F03E9E">
                            <w:pPr>
                              <w:spacing w:after="0" w:line="240" w:lineRule="auto"/>
                              <w:jc w:val="both"/>
                              <w:rPr>
                                <w:rFonts w:ascii="Times New Roman" w:hAnsi="Times New Roman"/>
                                <w:i/>
                                <w:color w:val="E2751D" w:themeColor="accent3"/>
                              </w:rPr>
                            </w:pPr>
                          </w:p>
                          <w:p w14:paraId="3810E739" w14:textId="50309E86" w:rsidR="002E5195" w:rsidRPr="008B267E"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Provision of capital for enterprise development;</w:t>
                            </w:r>
                          </w:p>
                          <w:p w14:paraId="7B8359A8" w14:textId="313E9133" w:rsidR="002E5195" w:rsidRPr="008B267E"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Training in bio-briquetting enterprise and value chains and, in related skills;</w:t>
                            </w:r>
                          </w:p>
                          <w:p w14:paraId="79138E12" w14:textId="2BF4764D" w:rsidR="002E5195" w:rsidRPr="008B267E"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Coaching/mentorship;</w:t>
                            </w:r>
                          </w:p>
                          <w:p w14:paraId="31A88F26" w14:textId="77777777" w:rsidR="002E5195"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 xml:space="preserve">Savings promotion; </w:t>
                            </w:r>
                          </w:p>
                          <w:p w14:paraId="7E3E351B" w14:textId="50BFF980" w:rsidR="002E5195" w:rsidRPr="008B267E"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Upgrade of educational facilities and community-based climate action; and</w:t>
                            </w:r>
                          </w:p>
                          <w:p w14:paraId="61024BF2" w14:textId="164A0CA6" w:rsidR="002E5195"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Planning, digitalisation of processes (supply chains, etc.), monitoring, and support supervision.</w:t>
                            </w:r>
                          </w:p>
                          <w:p w14:paraId="57E169F9" w14:textId="77777777" w:rsidR="002E5195" w:rsidRDefault="002E5195" w:rsidP="00293AAE">
                            <w:pPr>
                              <w:spacing w:after="0" w:line="240" w:lineRule="auto"/>
                              <w:jc w:val="both"/>
                              <w:rPr>
                                <w:rFonts w:ascii="Times New Roman" w:hAnsi="Times New Roman"/>
                                <w:color w:val="FFFFFF" w:themeColor="background1"/>
                              </w:rPr>
                            </w:pPr>
                          </w:p>
                          <w:p w14:paraId="0AC6BAD9" w14:textId="77777777" w:rsidR="002E5195" w:rsidRPr="00293AAE" w:rsidRDefault="002E5195" w:rsidP="00293AAE">
                            <w:pPr>
                              <w:spacing w:after="0" w:line="240" w:lineRule="auto"/>
                              <w:jc w:val="both"/>
                              <w:rPr>
                                <w:rFonts w:ascii="Times New Roman" w:hAnsi="Times New Roman"/>
                                <w:color w:val="FFFFFF" w:themeColor="background1"/>
                              </w:rPr>
                            </w:pPr>
                          </w:p>
                          <w:p w14:paraId="3028733C" w14:textId="77777777" w:rsidR="002E5195" w:rsidRPr="008B267E" w:rsidRDefault="002E5195" w:rsidP="005B1AB7">
                            <w:pPr>
                              <w:spacing w:after="0" w:line="240" w:lineRule="auto"/>
                              <w:jc w:val="both"/>
                              <w:rPr>
                                <w:rFonts w:ascii="Times New Roman" w:hAnsi="Times New Roman"/>
                                <w:color w:val="FFFFFF" w:themeColor="background1"/>
                              </w:rPr>
                            </w:pPr>
                          </w:p>
                          <w:p w14:paraId="1AD982FD" w14:textId="77777777" w:rsidR="002E5195" w:rsidRPr="00E718ED" w:rsidRDefault="002E5195" w:rsidP="005B1AB7">
                            <w:pPr>
                              <w:spacing w:after="0" w:line="240" w:lineRule="auto"/>
                              <w:jc w:val="both"/>
                              <w:rPr>
                                <w:rFonts w:ascii="Times New Roman" w:hAnsi="Times New Roman"/>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6" o:spid="_x0000_s1064" type="#_x0000_t202" style="position:absolute;left:0;text-align:left;margin-left:-10.95pt;margin-top:-8.95pt;width:459.4pt;height:70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igr9YCAAAdBgAADgAAAGRycy9lMm9Eb2MueG1srFRLb9swDL4P2H8QdE9tp0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" filled="f" stroked="f">
                <v:textbox>
                  <w:txbxContent>
                    <w:p w14:paraId="5D392DCF" w14:textId="77777777" w:rsidR="002E5195" w:rsidRDefault="002E5195" w:rsidP="005B1AB7">
                      <w:pPr>
                        <w:spacing w:after="0" w:line="360" w:lineRule="auto"/>
                        <w:jc w:val="both"/>
                        <w:rPr>
                          <w:rFonts w:ascii="Times New Roman" w:hAnsi="Times New Roman"/>
                          <w:b/>
                          <w:color w:val="E2751D" w:themeColor="accent3"/>
                        </w:rPr>
                      </w:pPr>
                    </w:p>
                    <w:p w14:paraId="759F5389" w14:textId="77777777" w:rsidR="002E5195" w:rsidRPr="008B267E" w:rsidRDefault="002E5195" w:rsidP="005B1AB7">
                      <w:pPr>
                        <w:spacing w:after="0" w:line="360" w:lineRule="auto"/>
                        <w:jc w:val="both"/>
                        <w:rPr>
                          <w:rFonts w:ascii="Times New Roman" w:hAnsi="Times New Roman"/>
                          <w:b/>
                          <w:color w:val="FFFFFF" w:themeColor="background1"/>
                        </w:rPr>
                      </w:pPr>
                      <w:r w:rsidRPr="008B267E">
                        <w:rPr>
                          <w:rFonts w:ascii="Times New Roman" w:hAnsi="Times New Roman"/>
                          <w:b/>
                          <w:color w:val="E2751D" w:themeColor="accent3"/>
                        </w:rPr>
                        <w:t>THE PLAN</w:t>
                      </w:r>
                    </w:p>
                    <w:p w14:paraId="32AFC0FC" w14:textId="77777777" w:rsidR="002E5195" w:rsidRDefault="002E5195" w:rsidP="005B1AB7">
                      <w:pPr>
                        <w:spacing w:after="0" w:line="240" w:lineRule="auto"/>
                        <w:jc w:val="both"/>
                        <w:rPr>
                          <w:rFonts w:ascii="Times New Roman" w:hAnsi="Times New Roman"/>
                          <w:b/>
                          <w:color w:val="E2751D" w:themeColor="accent3"/>
                        </w:rPr>
                      </w:pPr>
                    </w:p>
                    <w:p w14:paraId="7C5499D7" w14:textId="13AD5578" w:rsidR="002E5195" w:rsidRPr="008B267E" w:rsidRDefault="002E5195" w:rsidP="005B1AB7">
                      <w:pPr>
                        <w:spacing w:after="0" w:line="240" w:lineRule="auto"/>
                        <w:jc w:val="both"/>
                        <w:rPr>
                          <w:rFonts w:ascii="Times New Roman" w:hAnsi="Times New Roman"/>
                          <w:color w:val="E2751D" w:themeColor="accent3"/>
                        </w:rPr>
                      </w:pPr>
                      <w:r>
                        <w:rPr>
                          <w:rFonts w:ascii="Times New Roman" w:hAnsi="Times New Roman"/>
                          <w:b/>
                          <w:color w:val="E2751D" w:themeColor="accent3"/>
                        </w:rPr>
                        <w:t xml:space="preserve">Strategic </w:t>
                      </w:r>
                      <w:r w:rsidRPr="008B267E">
                        <w:rPr>
                          <w:rFonts w:ascii="Times New Roman" w:hAnsi="Times New Roman"/>
                          <w:b/>
                          <w:color w:val="E2751D" w:themeColor="accent3"/>
                        </w:rPr>
                        <w:t>Purpose</w:t>
                      </w:r>
                      <w:r w:rsidRPr="008B267E">
                        <w:rPr>
                          <w:rFonts w:ascii="Times New Roman" w:hAnsi="Times New Roman"/>
                          <w:color w:val="E2751D" w:themeColor="accent3"/>
                        </w:rPr>
                        <w:t xml:space="preserve">: </w:t>
                      </w:r>
                    </w:p>
                    <w:p w14:paraId="549EBCAC" w14:textId="17052313" w:rsidR="002E5195" w:rsidRPr="008B267E" w:rsidRDefault="002E5195" w:rsidP="005B1AB7">
                      <w:pPr>
                        <w:spacing w:after="0" w:line="240" w:lineRule="auto"/>
                        <w:jc w:val="both"/>
                        <w:rPr>
                          <w:rFonts w:ascii="Times New Roman" w:hAnsi="Times New Roman"/>
                          <w:color w:val="FFFFFF" w:themeColor="background1"/>
                        </w:rPr>
                      </w:pPr>
                      <w:r w:rsidRPr="008B267E">
                        <w:rPr>
                          <w:rFonts w:ascii="Times New Roman" w:hAnsi="Times New Roman"/>
                          <w:color w:val="FFFFFF" w:themeColor="background1"/>
                        </w:rPr>
                        <w:t xml:space="preserve">To secure, through engagement in and promotion of bio-briquetting, </w:t>
                      </w:r>
                      <w:r>
                        <w:rPr>
                          <w:rFonts w:ascii="Times New Roman" w:hAnsi="Times New Roman"/>
                          <w:color w:val="FFFFFF" w:themeColor="background1"/>
                        </w:rPr>
                        <w:t>inclusive and equitable</w:t>
                      </w:r>
                      <w:r w:rsidRPr="008B267E">
                        <w:rPr>
                          <w:rFonts w:ascii="Times New Roman" w:hAnsi="Times New Roman"/>
                          <w:color w:val="FFFFFF" w:themeColor="background1"/>
                        </w:rPr>
                        <w:t xml:space="preserve"> education</w:t>
                      </w:r>
                      <w:r>
                        <w:rPr>
                          <w:rFonts w:ascii="Times New Roman" w:hAnsi="Times New Roman"/>
                          <w:color w:val="FFFFFF" w:themeColor="background1"/>
                        </w:rPr>
                        <w:t xml:space="preserve"> (ECD, primary, and secondary)</w:t>
                      </w:r>
                      <w:r w:rsidRPr="008B267E">
                        <w:rPr>
                          <w:rFonts w:ascii="Times New Roman" w:hAnsi="Times New Roman"/>
                          <w:color w:val="FFFFFF" w:themeColor="background1"/>
                        </w:rPr>
                        <w:t xml:space="preserve"> </w:t>
                      </w:r>
                      <w:r>
                        <w:rPr>
                          <w:rFonts w:ascii="Times New Roman" w:hAnsi="Times New Roman"/>
                          <w:color w:val="FFFFFF" w:themeColor="background1"/>
                        </w:rPr>
                        <w:t xml:space="preserve">for Kenyan children </w:t>
                      </w:r>
                      <w:r w:rsidRPr="008B267E">
                        <w:rPr>
                          <w:rFonts w:ascii="Times New Roman" w:hAnsi="Times New Roman"/>
                          <w:color w:val="FFFFFF" w:themeColor="background1"/>
                        </w:rPr>
                        <w:t xml:space="preserve">from </w:t>
                      </w:r>
                      <w:r>
                        <w:rPr>
                          <w:rFonts w:ascii="Times New Roman" w:hAnsi="Times New Roman"/>
                          <w:color w:val="FFFFFF" w:themeColor="background1"/>
                        </w:rPr>
                        <w:t xml:space="preserve">disadvantaged backgrounds, the lifting of Kenyan youths out of </w:t>
                      </w:r>
                      <w:proofErr w:type="spellStart"/>
                      <w:r>
                        <w:rPr>
                          <w:rFonts w:ascii="Times New Roman" w:hAnsi="Times New Roman"/>
                          <w:color w:val="FFFFFF" w:themeColor="background1"/>
                        </w:rPr>
                        <w:t>povery</w:t>
                      </w:r>
                      <w:proofErr w:type="spellEnd"/>
                      <w:r>
                        <w:rPr>
                          <w:rFonts w:ascii="Times New Roman" w:hAnsi="Times New Roman"/>
                          <w:color w:val="FFFFFF" w:themeColor="background1"/>
                        </w:rPr>
                        <w:t>, and grassroots-inspired climate action.</w:t>
                      </w:r>
                    </w:p>
                    <w:p w14:paraId="68B8FE27" w14:textId="77777777" w:rsidR="002E5195" w:rsidRPr="008B267E" w:rsidRDefault="002E5195" w:rsidP="005B1AB7">
                      <w:pPr>
                        <w:spacing w:after="0" w:line="240" w:lineRule="auto"/>
                        <w:jc w:val="both"/>
                        <w:rPr>
                          <w:rFonts w:ascii="Times New Roman" w:hAnsi="Times New Roman"/>
                          <w:color w:val="FFFFFF" w:themeColor="background1"/>
                          <w:sz w:val="12"/>
                          <w:szCs w:val="12"/>
                        </w:rPr>
                      </w:pPr>
                    </w:p>
                    <w:p w14:paraId="1B8B5FC9" w14:textId="77777777" w:rsidR="002E5195" w:rsidRDefault="002E5195" w:rsidP="005B1AB7">
                      <w:pPr>
                        <w:spacing w:after="0" w:line="240" w:lineRule="auto"/>
                        <w:jc w:val="both"/>
                        <w:rPr>
                          <w:rFonts w:ascii="Times New Roman" w:hAnsi="Times New Roman"/>
                          <w:b/>
                          <w:color w:val="E2751D" w:themeColor="accent3"/>
                        </w:rPr>
                      </w:pPr>
                    </w:p>
                    <w:p w14:paraId="1BFB1F0C" w14:textId="2DE05F1B" w:rsidR="002E5195" w:rsidRPr="008B267E" w:rsidRDefault="002E5195" w:rsidP="005B1AB7">
                      <w:pPr>
                        <w:spacing w:after="0" w:line="240" w:lineRule="auto"/>
                        <w:jc w:val="both"/>
                        <w:rPr>
                          <w:rFonts w:ascii="Times New Roman" w:hAnsi="Times New Roman"/>
                          <w:color w:val="E2751D" w:themeColor="accent3"/>
                        </w:rPr>
                      </w:pPr>
                      <w:r>
                        <w:rPr>
                          <w:rFonts w:ascii="Times New Roman" w:hAnsi="Times New Roman"/>
                          <w:b/>
                          <w:color w:val="E2751D" w:themeColor="accent3"/>
                        </w:rPr>
                        <w:t>Strategic Targets</w:t>
                      </w:r>
                      <w:r w:rsidRPr="008B267E">
                        <w:rPr>
                          <w:rFonts w:ascii="Times New Roman" w:hAnsi="Times New Roman"/>
                          <w:b/>
                          <w:color w:val="E2751D" w:themeColor="accent3"/>
                        </w:rPr>
                        <w:t xml:space="preserve">: </w:t>
                      </w:r>
                    </w:p>
                    <w:p w14:paraId="0BE2D306" w14:textId="54F2C91F" w:rsidR="002E5195" w:rsidRPr="008B267E" w:rsidRDefault="002E5195" w:rsidP="005B1AB7">
                      <w:pPr>
                        <w:pStyle w:val="ListParagraph"/>
                        <w:numPr>
                          <w:ilvl w:val="0"/>
                          <w:numId w:val="23"/>
                        </w:num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At least 195 ultra-poor women and at least 105 ultra-poor men (ages 15-35) empowered with technical and vocational skills in the bio-briquetting value-chain, underpinned by the </w:t>
                      </w:r>
                      <w:proofErr w:type="spellStart"/>
                      <w:r>
                        <w:rPr>
                          <w:rFonts w:ascii="Times New Roman" w:hAnsi="Times New Roman"/>
                          <w:color w:val="FFFFFF" w:themeColor="background1"/>
                        </w:rPr>
                        <w:t>Brac’s</w:t>
                      </w:r>
                      <w:proofErr w:type="spellEnd"/>
                      <w:r>
                        <w:rPr>
                          <w:rFonts w:ascii="Times New Roman" w:hAnsi="Times New Roman"/>
                          <w:color w:val="FFFFFF" w:themeColor="background1"/>
                        </w:rPr>
                        <w:t xml:space="preserve"> Graduation Approach framework, for employment and/or enhanced income generation, by the end of 2021.</w:t>
                      </w:r>
                    </w:p>
                    <w:p w14:paraId="17C6417B" w14:textId="651BDB70" w:rsidR="002E5195" w:rsidRPr="008B267E" w:rsidRDefault="002E5195" w:rsidP="005B1AB7">
                      <w:pPr>
                        <w:pStyle w:val="ListParagraph"/>
                        <w:numPr>
                          <w:ilvl w:val="0"/>
                          <w:numId w:val="23"/>
                        </w:num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At least 195 girls and at least 105 boys from ultra-poor households supported based on the </w:t>
                      </w:r>
                      <w:proofErr w:type="spellStart"/>
                      <w:r>
                        <w:rPr>
                          <w:rFonts w:ascii="Times New Roman" w:hAnsi="Times New Roman"/>
                          <w:color w:val="FFFFFF" w:themeColor="background1"/>
                        </w:rPr>
                        <w:t>Brac’s</w:t>
                      </w:r>
                      <w:proofErr w:type="spellEnd"/>
                      <w:r>
                        <w:rPr>
                          <w:rFonts w:ascii="Times New Roman" w:hAnsi="Times New Roman"/>
                          <w:color w:val="FFFFFF" w:themeColor="background1"/>
                        </w:rPr>
                        <w:t xml:space="preserve"> Graduation Approach framework to achieve top-level literacy and numeracy, by the end of 2021.</w:t>
                      </w:r>
                    </w:p>
                    <w:p w14:paraId="2BCADD48" w14:textId="45297FE0" w:rsidR="002E5195" w:rsidRDefault="002E5195" w:rsidP="005B1AB7">
                      <w:pPr>
                        <w:pStyle w:val="ListParagraph"/>
                        <w:numPr>
                          <w:ilvl w:val="0"/>
                          <w:numId w:val="23"/>
                        </w:numPr>
                        <w:spacing w:after="0" w:line="240" w:lineRule="auto"/>
                        <w:jc w:val="both"/>
                        <w:rPr>
                          <w:rFonts w:ascii="Times New Roman" w:hAnsi="Times New Roman"/>
                          <w:color w:val="FFFFFF" w:themeColor="background1"/>
                        </w:rPr>
                      </w:pPr>
                      <w:r>
                        <w:rPr>
                          <w:rFonts w:ascii="Times New Roman" w:hAnsi="Times New Roman"/>
                          <w:color w:val="FFFFFF" w:themeColor="background1"/>
                        </w:rPr>
                        <w:t xml:space="preserve">By the end of 2021, the capacity to develop and/or scale up bio-briquetting enterprises and value chains by APC and 6 LLAs in West </w:t>
                      </w:r>
                      <w:proofErr w:type="spellStart"/>
                      <w:r>
                        <w:rPr>
                          <w:rFonts w:ascii="Times New Roman" w:hAnsi="Times New Roman"/>
                          <w:color w:val="FFFFFF" w:themeColor="background1"/>
                        </w:rPr>
                        <w:t>Pokot</w:t>
                      </w:r>
                      <w:proofErr w:type="spellEnd"/>
                      <w:r>
                        <w:rPr>
                          <w:rFonts w:ascii="Times New Roman" w:hAnsi="Times New Roman"/>
                          <w:color w:val="FFFFFF" w:themeColor="background1"/>
                        </w:rPr>
                        <w:t xml:space="preserve">, </w:t>
                      </w:r>
                      <w:proofErr w:type="spellStart"/>
                      <w:r>
                        <w:rPr>
                          <w:rFonts w:ascii="Times New Roman" w:hAnsi="Times New Roman"/>
                          <w:color w:val="FFFFFF" w:themeColor="background1"/>
                        </w:rPr>
                        <w:t>Vihiga</w:t>
                      </w:r>
                      <w:proofErr w:type="spellEnd"/>
                      <w:r>
                        <w:rPr>
                          <w:rFonts w:ascii="Times New Roman" w:hAnsi="Times New Roman"/>
                          <w:color w:val="FFFFFF" w:themeColor="background1"/>
                        </w:rPr>
                        <w:t xml:space="preserve">, and </w:t>
                      </w:r>
                      <w:proofErr w:type="spellStart"/>
                      <w:r>
                        <w:rPr>
                          <w:rFonts w:ascii="Times New Roman" w:hAnsi="Times New Roman"/>
                          <w:color w:val="FFFFFF" w:themeColor="background1"/>
                        </w:rPr>
                        <w:t>Kitui</w:t>
                      </w:r>
                      <w:proofErr w:type="spellEnd"/>
                      <w:r>
                        <w:rPr>
                          <w:rFonts w:ascii="Times New Roman" w:hAnsi="Times New Roman"/>
                          <w:color w:val="FFFFFF" w:themeColor="background1"/>
                        </w:rPr>
                        <w:t xml:space="preserve"> Counties in Kenya enhanced so as to enable them effectively participate in the upgrading of educational facilities attended by children targeted in Target 2 (with focus on hygienic latrines, electricity, safe water, and basic teaching tools) for inclusive and effective learning, as well as improved grassroots-inspired climate action.</w:t>
                      </w:r>
                    </w:p>
                    <w:p w14:paraId="225A22B8" w14:textId="77777777" w:rsidR="002E5195" w:rsidRDefault="002E5195" w:rsidP="001F423C">
                      <w:pPr>
                        <w:spacing w:after="0" w:line="240" w:lineRule="auto"/>
                        <w:jc w:val="both"/>
                        <w:rPr>
                          <w:rFonts w:ascii="Times New Roman" w:hAnsi="Times New Roman"/>
                          <w:color w:val="FFFFFF" w:themeColor="background1"/>
                        </w:rPr>
                      </w:pPr>
                    </w:p>
                    <w:p w14:paraId="2097E594" w14:textId="77777777" w:rsidR="002E5195" w:rsidRPr="008B267E" w:rsidRDefault="002E5195" w:rsidP="005B1AB7">
                      <w:pPr>
                        <w:spacing w:after="0" w:line="240" w:lineRule="auto"/>
                        <w:jc w:val="both"/>
                        <w:rPr>
                          <w:rFonts w:ascii="Times New Roman" w:hAnsi="Times New Roman"/>
                          <w:color w:val="FFFFFF" w:themeColor="background1"/>
                          <w:sz w:val="12"/>
                          <w:szCs w:val="12"/>
                        </w:rPr>
                      </w:pPr>
                    </w:p>
                    <w:p w14:paraId="7E4F311C" w14:textId="1A28E4DB" w:rsidR="002E5195" w:rsidRDefault="002E5195" w:rsidP="005B1AB7">
                      <w:pPr>
                        <w:spacing w:after="0" w:line="240" w:lineRule="auto"/>
                        <w:jc w:val="both"/>
                        <w:rPr>
                          <w:rFonts w:ascii="Times New Roman" w:hAnsi="Times New Roman"/>
                          <w:b/>
                          <w:color w:val="E2751D" w:themeColor="accent3"/>
                        </w:rPr>
                      </w:pPr>
                      <w:r>
                        <w:rPr>
                          <w:rFonts w:ascii="Times New Roman" w:hAnsi="Times New Roman"/>
                          <w:b/>
                          <w:color w:val="E2751D" w:themeColor="accent3"/>
                        </w:rPr>
                        <w:t>Strategic Thrusts</w:t>
                      </w:r>
                      <w:r w:rsidRPr="008B267E">
                        <w:rPr>
                          <w:rFonts w:ascii="Times New Roman" w:hAnsi="Times New Roman"/>
                          <w:b/>
                          <w:color w:val="E2751D" w:themeColor="accent3"/>
                        </w:rPr>
                        <w:t xml:space="preserve">: </w:t>
                      </w:r>
                    </w:p>
                    <w:p w14:paraId="7498453A" w14:textId="77777777" w:rsidR="002E5195" w:rsidRDefault="002E5195" w:rsidP="005B1AB7">
                      <w:pPr>
                        <w:spacing w:after="0" w:line="240" w:lineRule="auto"/>
                        <w:jc w:val="both"/>
                        <w:rPr>
                          <w:rFonts w:ascii="Times New Roman" w:hAnsi="Times New Roman"/>
                          <w:b/>
                          <w:color w:val="E2751D" w:themeColor="accent3"/>
                        </w:rPr>
                      </w:pPr>
                    </w:p>
                    <w:p w14:paraId="193FA5E4" w14:textId="5814DD25" w:rsidR="002E5195" w:rsidRDefault="002E5195" w:rsidP="005B1AB7">
                      <w:pPr>
                        <w:spacing w:after="0" w:line="240" w:lineRule="auto"/>
                        <w:jc w:val="both"/>
                        <w:rPr>
                          <w:rFonts w:ascii="Times New Roman" w:hAnsi="Times New Roman"/>
                          <w:b/>
                          <w:color w:val="E2751D" w:themeColor="accent3"/>
                        </w:rPr>
                      </w:pPr>
                      <w:r>
                        <w:rPr>
                          <w:rFonts w:ascii="Times New Roman" w:hAnsi="Times New Roman"/>
                          <w:b/>
                          <w:color w:val="E2751D" w:themeColor="accent3"/>
                        </w:rPr>
                        <w:t>Target 1</w:t>
                      </w:r>
                    </w:p>
                    <w:p w14:paraId="203D3B96" w14:textId="77777777" w:rsidR="002E5195" w:rsidRPr="00F03E9E" w:rsidRDefault="002E5195" w:rsidP="005B1AB7">
                      <w:pPr>
                        <w:spacing w:after="0" w:line="240" w:lineRule="auto"/>
                        <w:jc w:val="both"/>
                        <w:rPr>
                          <w:rFonts w:ascii="Times New Roman" w:hAnsi="Times New Roman"/>
                          <w:b/>
                          <w:color w:val="E2751D" w:themeColor="accent3"/>
                        </w:rPr>
                      </w:pPr>
                    </w:p>
                    <w:p w14:paraId="3ECE1B8A" w14:textId="3B05B28D" w:rsidR="002E5195" w:rsidRDefault="002E5195" w:rsidP="005B1AB7">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Provision of productive assets;</w:t>
                      </w:r>
                    </w:p>
                    <w:p w14:paraId="04034704" w14:textId="03120D7E" w:rsidR="002E5195" w:rsidRDefault="002E5195" w:rsidP="005B1AB7">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Training in entrepreneurship;</w:t>
                      </w:r>
                    </w:p>
                    <w:p w14:paraId="5CB23AE5" w14:textId="6FE97010" w:rsidR="002E5195" w:rsidRDefault="002E5195" w:rsidP="005B1AB7">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Consumption support;</w:t>
                      </w:r>
                    </w:p>
                    <w:p w14:paraId="0DF71C94" w14:textId="2234798B" w:rsidR="002E5195" w:rsidRDefault="002E5195" w:rsidP="005B1AB7">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Coaching/mentorship;</w:t>
                      </w:r>
                    </w:p>
                    <w:p w14:paraId="2EC300EF" w14:textId="0A07AF03" w:rsidR="002E5195" w:rsidRDefault="002E5195" w:rsidP="005B1AB7">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Savings promotion; and</w:t>
                      </w:r>
                    </w:p>
                    <w:p w14:paraId="190D6278" w14:textId="1E5B5579" w:rsidR="002E5195" w:rsidRPr="009B1610" w:rsidRDefault="002E5195" w:rsidP="009B1610">
                      <w:pPr>
                        <w:pStyle w:val="ListParagraph"/>
                        <w:numPr>
                          <w:ilvl w:val="1"/>
                          <w:numId w:val="24"/>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Health empowerment.</w:t>
                      </w:r>
                    </w:p>
                    <w:p w14:paraId="1A62E26F" w14:textId="77777777" w:rsidR="002E5195" w:rsidRDefault="002E5195" w:rsidP="009B1610">
                      <w:pPr>
                        <w:spacing w:after="0" w:line="240" w:lineRule="auto"/>
                        <w:jc w:val="both"/>
                        <w:rPr>
                          <w:rFonts w:ascii="Times New Roman" w:hAnsi="Times New Roman"/>
                          <w:color w:val="FFFFFF" w:themeColor="background1"/>
                          <w:sz w:val="12"/>
                          <w:szCs w:val="12"/>
                        </w:rPr>
                      </w:pPr>
                    </w:p>
                    <w:p w14:paraId="5F087AA9" w14:textId="77777777" w:rsidR="002E5195" w:rsidRDefault="002E5195" w:rsidP="009B1610">
                      <w:pPr>
                        <w:spacing w:after="0" w:line="240" w:lineRule="auto"/>
                        <w:jc w:val="both"/>
                        <w:rPr>
                          <w:rFonts w:ascii="Times New Roman" w:hAnsi="Times New Roman"/>
                          <w:color w:val="FFFFFF" w:themeColor="background1"/>
                          <w:sz w:val="12"/>
                          <w:szCs w:val="12"/>
                        </w:rPr>
                      </w:pPr>
                    </w:p>
                    <w:p w14:paraId="63569BDB" w14:textId="6823B099" w:rsidR="002E5195" w:rsidRDefault="002E5195" w:rsidP="00F03E9E">
                      <w:pPr>
                        <w:spacing w:after="0" w:line="240" w:lineRule="auto"/>
                        <w:rPr>
                          <w:rFonts w:ascii="Times New Roman" w:hAnsi="Times New Roman"/>
                          <w:b/>
                          <w:i/>
                          <w:color w:val="E2751D" w:themeColor="accent3"/>
                        </w:rPr>
                      </w:pPr>
                      <w:r w:rsidRPr="00F03E9E">
                        <w:rPr>
                          <w:rFonts w:ascii="Times New Roman" w:hAnsi="Times New Roman"/>
                          <w:b/>
                          <w:i/>
                          <w:color w:val="E2751D" w:themeColor="accent3"/>
                        </w:rPr>
                        <w:t>Target 2</w:t>
                      </w:r>
                    </w:p>
                    <w:p w14:paraId="3C3AC5E2" w14:textId="77777777" w:rsidR="002E5195" w:rsidRPr="00F03E9E" w:rsidRDefault="002E5195" w:rsidP="00F03E9E">
                      <w:pPr>
                        <w:spacing w:after="0" w:line="240" w:lineRule="auto"/>
                        <w:rPr>
                          <w:rFonts w:ascii="Times New Roman" w:hAnsi="Times New Roman"/>
                          <w:i/>
                          <w:color w:val="E2751D" w:themeColor="accent3"/>
                        </w:rPr>
                      </w:pPr>
                    </w:p>
                    <w:p w14:paraId="278FAA65" w14:textId="02DE25A1" w:rsidR="002E5195" w:rsidRPr="008B267E"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Provision of productive assets;</w:t>
                      </w:r>
                    </w:p>
                    <w:p w14:paraId="4D88A7FA" w14:textId="4E01EDFD" w:rsidR="002E5195" w:rsidRPr="008B267E"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 xml:space="preserve">Provision of </w:t>
                      </w:r>
                      <w:proofErr w:type="spellStart"/>
                      <w:r>
                        <w:rPr>
                          <w:rFonts w:ascii="Times New Roman" w:hAnsi="Times New Roman"/>
                          <w:color w:val="FFFFFF" w:themeColor="background1"/>
                        </w:rPr>
                        <w:t>lifeskills</w:t>
                      </w:r>
                      <w:proofErr w:type="spellEnd"/>
                      <w:r>
                        <w:rPr>
                          <w:rFonts w:ascii="Times New Roman" w:hAnsi="Times New Roman"/>
                          <w:color w:val="FFFFFF" w:themeColor="background1"/>
                        </w:rPr>
                        <w:t xml:space="preserve"> trainings;</w:t>
                      </w:r>
                    </w:p>
                    <w:p w14:paraId="0EA10002" w14:textId="06089B7C" w:rsidR="002E5195"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Consumption support</w:t>
                      </w:r>
                      <w:r w:rsidR="00A422CF">
                        <w:rPr>
                          <w:rFonts w:ascii="Times New Roman" w:hAnsi="Times New Roman"/>
                          <w:color w:val="FFFFFF" w:themeColor="background1"/>
                        </w:rPr>
                        <w:t xml:space="preserve"> (need-based merit </w:t>
                      </w:r>
                      <w:proofErr w:type="spellStart"/>
                      <w:r w:rsidR="00A422CF">
                        <w:rPr>
                          <w:rFonts w:ascii="Times New Roman" w:hAnsi="Times New Roman"/>
                          <w:color w:val="FFFFFF" w:themeColor="background1"/>
                        </w:rPr>
                        <w:t>scholraships</w:t>
                      </w:r>
                      <w:proofErr w:type="spellEnd"/>
                      <w:r w:rsidR="00A422CF">
                        <w:rPr>
                          <w:rFonts w:ascii="Times New Roman" w:hAnsi="Times New Roman"/>
                          <w:color w:val="FFFFFF" w:themeColor="background1"/>
                        </w:rPr>
                        <w:t>, educational support, etc.)</w:t>
                      </w:r>
                      <w:r>
                        <w:rPr>
                          <w:rFonts w:ascii="Times New Roman" w:hAnsi="Times New Roman"/>
                          <w:color w:val="FFFFFF" w:themeColor="background1"/>
                        </w:rPr>
                        <w:t>;</w:t>
                      </w:r>
                    </w:p>
                    <w:p w14:paraId="02F76FB6" w14:textId="5BACF265" w:rsidR="002E5195"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Savings promotion;</w:t>
                      </w:r>
                    </w:p>
                    <w:p w14:paraId="3AF4C817" w14:textId="52277D6C" w:rsidR="002E5195"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Coaching/</w:t>
                      </w:r>
                      <w:proofErr w:type="spellStart"/>
                      <w:r>
                        <w:rPr>
                          <w:rFonts w:ascii="Times New Roman" w:hAnsi="Times New Roman"/>
                          <w:color w:val="FFFFFF" w:themeColor="background1"/>
                        </w:rPr>
                        <w:t>mentoriship</w:t>
                      </w:r>
                      <w:proofErr w:type="spellEnd"/>
                      <w:r>
                        <w:rPr>
                          <w:rFonts w:ascii="Times New Roman" w:hAnsi="Times New Roman"/>
                          <w:color w:val="FFFFFF" w:themeColor="background1"/>
                        </w:rPr>
                        <w:t>; and</w:t>
                      </w:r>
                    </w:p>
                    <w:p w14:paraId="14DBF6F1" w14:textId="0D638BB7" w:rsidR="002E5195" w:rsidRDefault="002E5195" w:rsidP="00F03E9E">
                      <w:pPr>
                        <w:pStyle w:val="ListParagraph"/>
                        <w:numPr>
                          <w:ilvl w:val="1"/>
                          <w:numId w:val="25"/>
                        </w:numPr>
                        <w:spacing w:after="0" w:line="240" w:lineRule="auto"/>
                        <w:ind w:left="426" w:hanging="426"/>
                        <w:rPr>
                          <w:rFonts w:ascii="Times New Roman" w:hAnsi="Times New Roman"/>
                          <w:color w:val="FFFFFF" w:themeColor="background1"/>
                        </w:rPr>
                      </w:pPr>
                      <w:r>
                        <w:rPr>
                          <w:rFonts w:ascii="Times New Roman" w:hAnsi="Times New Roman"/>
                          <w:color w:val="FFFFFF" w:themeColor="background1"/>
                        </w:rPr>
                        <w:t>Health empowerment.</w:t>
                      </w:r>
                    </w:p>
                    <w:p w14:paraId="453134FC" w14:textId="77777777" w:rsidR="002E5195" w:rsidRDefault="002E5195" w:rsidP="006E7EBB">
                      <w:pPr>
                        <w:spacing w:after="0" w:line="240" w:lineRule="auto"/>
                        <w:jc w:val="both"/>
                        <w:rPr>
                          <w:rFonts w:ascii="Times New Roman" w:hAnsi="Times New Roman"/>
                          <w:color w:val="FFFFFF" w:themeColor="background1"/>
                        </w:rPr>
                      </w:pPr>
                    </w:p>
                    <w:p w14:paraId="518A0C91" w14:textId="022CEB94" w:rsidR="002E5195" w:rsidRDefault="002E5195" w:rsidP="00F03E9E">
                      <w:pPr>
                        <w:spacing w:after="0" w:line="240" w:lineRule="auto"/>
                        <w:jc w:val="both"/>
                        <w:rPr>
                          <w:rFonts w:ascii="Times New Roman" w:hAnsi="Times New Roman"/>
                          <w:b/>
                          <w:i/>
                          <w:color w:val="E2751D" w:themeColor="accent3"/>
                        </w:rPr>
                      </w:pPr>
                      <w:r w:rsidRPr="00F03E9E">
                        <w:rPr>
                          <w:rFonts w:ascii="Times New Roman" w:hAnsi="Times New Roman"/>
                          <w:b/>
                          <w:i/>
                          <w:color w:val="E2751D" w:themeColor="accent3"/>
                        </w:rPr>
                        <w:t>Target 3</w:t>
                      </w:r>
                    </w:p>
                    <w:p w14:paraId="10563E12" w14:textId="77777777" w:rsidR="002E5195" w:rsidRPr="00F03E9E" w:rsidRDefault="002E5195" w:rsidP="00F03E9E">
                      <w:pPr>
                        <w:spacing w:after="0" w:line="240" w:lineRule="auto"/>
                        <w:jc w:val="both"/>
                        <w:rPr>
                          <w:rFonts w:ascii="Times New Roman" w:hAnsi="Times New Roman"/>
                          <w:i/>
                          <w:color w:val="E2751D" w:themeColor="accent3"/>
                        </w:rPr>
                      </w:pPr>
                    </w:p>
                    <w:p w14:paraId="3810E739" w14:textId="50309E86" w:rsidR="002E5195" w:rsidRPr="008B267E"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Provision of capital for enterprise development;</w:t>
                      </w:r>
                    </w:p>
                    <w:p w14:paraId="7B8359A8" w14:textId="313E9133" w:rsidR="002E5195" w:rsidRPr="008B267E"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Training in bio-briquetting enterprise and value chains and, in related skills;</w:t>
                      </w:r>
                    </w:p>
                    <w:p w14:paraId="79138E12" w14:textId="2BF4764D" w:rsidR="002E5195" w:rsidRPr="008B267E"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Coaching/mentorship;</w:t>
                      </w:r>
                    </w:p>
                    <w:p w14:paraId="31A88F26" w14:textId="77777777" w:rsidR="002E5195"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 xml:space="preserve">Savings promotion; </w:t>
                      </w:r>
                    </w:p>
                    <w:p w14:paraId="7E3E351B" w14:textId="50BFF980" w:rsidR="002E5195" w:rsidRPr="008B267E"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Upgrade of educational facilities and community-based climate action; and</w:t>
                      </w:r>
                    </w:p>
                    <w:p w14:paraId="61024BF2" w14:textId="164A0CA6" w:rsidR="002E5195" w:rsidRDefault="002E5195" w:rsidP="005B1AB7">
                      <w:pPr>
                        <w:pStyle w:val="ListParagraph"/>
                        <w:numPr>
                          <w:ilvl w:val="1"/>
                          <w:numId w:val="23"/>
                        </w:numPr>
                        <w:spacing w:after="0" w:line="240" w:lineRule="auto"/>
                        <w:ind w:left="426" w:hanging="426"/>
                        <w:jc w:val="both"/>
                        <w:rPr>
                          <w:rFonts w:ascii="Times New Roman" w:hAnsi="Times New Roman"/>
                          <w:color w:val="FFFFFF" w:themeColor="background1"/>
                        </w:rPr>
                      </w:pPr>
                      <w:r>
                        <w:rPr>
                          <w:rFonts w:ascii="Times New Roman" w:hAnsi="Times New Roman"/>
                          <w:color w:val="FFFFFF" w:themeColor="background1"/>
                        </w:rPr>
                        <w:t>Planning, digitalisation of processes (supply chains, etc.), monitoring, and support supervision.</w:t>
                      </w:r>
                    </w:p>
                    <w:p w14:paraId="57E169F9" w14:textId="77777777" w:rsidR="002E5195" w:rsidRDefault="002E5195" w:rsidP="00293AAE">
                      <w:pPr>
                        <w:spacing w:after="0" w:line="240" w:lineRule="auto"/>
                        <w:jc w:val="both"/>
                        <w:rPr>
                          <w:rFonts w:ascii="Times New Roman" w:hAnsi="Times New Roman"/>
                          <w:color w:val="FFFFFF" w:themeColor="background1"/>
                        </w:rPr>
                      </w:pPr>
                    </w:p>
                    <w:p w14:paraId="0AC6BAD9" w14:textId="77777777" w:rsidR="002E5195" w:rsidRPr="00293AAE" w:rsidRDefault="002E5195" w:rsidP="00293AAE">
                      <w:pPr>
                        <w:spacing w:after="0" w:line="240" w:lineRule="auto"/>
                        <w:jc w:val="both"/>
                        <w:rPr>
                          <w:rFonts w:ascii="Times New Roman" w:hAnsi="Times New Roman"/>
                          <w:color w:val="FFFFFF" w:themeColor="background1"/>
                        </w:rPr>
                      </w:pPr>
                    </w:p>
                    <w:p w14:paraId="3028733C" w14:textId="77777777" w:rsidR="002E5195" w:rsidRPr="008B267E" w:rsidRDefault="002E5195" w:rsidP="005B1AB7">
                      <w:pPr>
                        <w:spacing w:after="0" w:line="240" w:lineRule="auto"/>
                        <w:jc w:val="both"/>
                        <w:rPr>
                          <w:rFonts w:ascii="Times New Roman" w:hAnsi="Times New Roman"/>
                          <w:color w:val="FFFFFF" w:themeColor="background1"/>
                        </w:rPr>
                      </w:pPr>
                    </w:p>
                    <w:p w14:paraId="1AD982FD" w14:textId="77777777" w:rsidR="002E5195" w:rsidRPr="00E718ED" w:rsidRDefault="002E5195" w:rsidP="005B1AB7">
                      <w:pPr>
                        <w:spacing w:after="0" w:line="240" w:lineRule="auto"/>
                        <w:jc w:val="both"/>
                        <w:rPr>
                          <w:rFonts w:ascii="Times New Roman" w:hAnsi="Times New Roman"/>
                          <w:color w:val="FFFFFF" w:themeColor="background1"/>
                          <w:sz w:val="24"/>
                          <w:szCs w:val="24"/>
                        </w:rPr>
                      </w:pPr>
                    </w:p>
                  </w:txbxContent>
                </v:textbox>
                <w10:wrap type="through"/>
              </v:shape>
            </w:pict>
          </mc:Fallback>
        </mc:AlternateContent>
      </w:r>
      <w:r w:rsidR="00D81EA1">
        <w:rPr>
          <w:rFonts w:ascii="Times New Roman" w:hAnsi="Times New Roman"/>
        </w:rPr>
        <w:tab/>
      </w:r>
    </w:p>
    <w:p w14:paraId="53B5745C" w14:textId="77777777" w:rsidR="00A270FF" w:rsidRPr="009904FF" w:rsidRDefault="00A270FF" w:rsidP="009904FF">
      <w:pPr>
        <w:sectPr w:rsidR="00A270FF" w:rsidRPr="009904FF" w:rsidSect="001C2334">
          <w:headerReference w:type="default" r:id="rId23"/>
          <w:footerReference w:type="even" r:id="rId24"/>
          <w:footerReference w:type="default" r:id="rId25"/>
          <w:pgSz w:w="11901" w:h="16840"/>
          <w:pgMar w:top="1440" w:right="1712" w:bottom="993" w:left="1712" w:header="720" w:footer="720" w:gutter="0"/>
          <w:pgNumType w:start="0"/>
          <w:cols w:space="720"/>
          <w:titlePg/>
          <w:docGrid w:linePitch="360"/>
        </w:sectPr>
      </w:pPr>
    </w:p>
    <w:p w14:paraId="217FC376" w14:textId="50FA1802" w:rsidR="00A63CFB" w:rsidRPr="009619A3" w:rsidRDefault="00A63CFB" w:rsidP="00BD4959">
      <w:pPr>
        <w:pStyle w:val="ListParagraph"/>
        <w:numPr>
          <w:ilvl w:val="1"/>
          <w:numId w:val="7"/>
        </w:numPr>
        <w:spacing w:after="0" w:line="360" w:lineRule="auto"/>
        <w:ind w:left="426" w:hanging="142"/>
        <w:jc w:val="both"/>
        <w:rPr>
          <w:rFonts w:ascii="Times New Roman" w:hAnsi="Times New Roman"/>
          <w:b/>
        </w:rPr>
      </w:pPr>
      <w:r w:rsidRPr="009619A3">
        <w:rPr>
          <w:rFonts w:ascii="Times New Roman" w:hAnsi="Times New Roman"/>
          <w:b/>
        </w:rPr>
        <w:lastRenderedPageBreak/>
        <w:t>Intervention Logic</w:t>
      </w:r>
      <w:r w:rsidR="00876982" w:rsidRPr="009619A3">
        <w:rPr>
          <w:rFonts w:ascii="Times New Roman" w:hAnsi="Times New Roman"/>
          <w:b/>
        </w:rPr>
        <w:t xml:space="preserve"> </w:t>
      </w:r>
    </w:p>
    <w:tbl>
      <w:tblPr>
        <w:tblStyle w:val="MediumGrid1-Accent3"/>
        <w:tblW w:w="0" w:type="auto"/>
        <w:tblInd w:w="392" w:type="dxa"/>
        <w:tblLook w:val="04A0" w:firstRow="1" w:lastRow="0" w:firstColumn="1" w:lastColumn="0" w:noHBand="0" w:noVBand="1"/>
      </w:tblPr>
      <w:tblGrid>
        <w:gridCol w:w="5103"/>
        <w:gridCol w:w="3118"/>
        <w:gridCol w:w="1701"/>
        <w:gridCol w:w="3686"/>
      </w:tblGrid>
      <w:tr w:rsidR="00512633" w14:paraId="16D73268" w14:textId="77777777" w:rsidTr="00AC07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000090"/>
          </w:tcPr>
          <w:p w14:paraId="291B56D4" w14:textId="61B2B515" w:rsidR="00A270FF" w:rsidRPr="009619A3" w:rsidRDefault="00A270FF" w:rsidP="00855351">
            <w:pPr>
              <w:spacing w:line="220" w:lineRule="exact"/>
              <w:rPr>
                <w:rFonts w:ascii="Times New Roman" w:hAnsi="Times New Roman"/>
              </w:rPr>
            </w:pPr>
            <w:r w:rsidRPr="009619A3">
              <w:rPr>
                <w:rFonts w:ascii="Times New Roman" w:hAnsi="Times New Roman"/>
              </w:rPr>
              <w:t>Project Summary</w:t>
            </w:r>
          </w:p>
        </w:tc>
        <w:tc>
          <w:tcPr>
            <w:tcW w:w="3118" w:type="dxa"/>
            <w:shd w:val="clear" w:color="auto" w:fill="000090"/>
          </w:tcPr>
          <w:p w14:paraId="18DECA93" w14:textId="1FD9CC75" w:rsidR="00A270FF" w:rsidRPr="009619A3" w:rsidRDefault="00A270FF" w:rsidP="001F423C">
            <w:pPr>
              <w:spacing w:line="2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Performance Indicators</w:t>
            </w:r>
          </w:p>
        </w:tc>
        <w:tc>
          <w:tcPr>
            <w:tcW w:w="1701" w:type="dxa"/>
            <w:shd w:val="clear" w:color="auto" w:fill="000090"/>
          </w:tcPr>
          <w:p w14:paraId="360E2EC9" w14:textId="01857894" w:rsidR="00A270FF" w:rsidRPr="009619A3" w:rsidRDefault="00A270FF" w:rsidP="00855351">
            <w:pPr>
              <w:spacing w:line="2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Means of Verification</w:t>
            </w:r>
          </w:p>
        </w:tc>
        <w:tc>
          <w:tcPr>
            <w:tcW w:w="3686" w:type="dxa"/>
            <w:shd w:val="clear" w:color="auto" w:fill="000090"/>
          </w:tcPr>
          <w:p w14:paraId="5925B680" w14:textId="786F7198" w:rsidR="00A270FF" w:rsidRPr="009619A3" w:rsidRDefault="00A270FF" w:rsidP="00F61F7E">
            <w:pPr>
              <w:spacing w:line="2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Key Risks &amp; Assumptions</w:t>
            </w:r>
          </w:p>
        </w:tc>
      </w:tr>
      <w:tr w:rsidR="00512633" w14:paraId="31246B7C" w14:textId="77777777" w:rsidTr="00AC0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665DE63" w14:textId="6D115F3E" w:rsidR="00A270FF" w:rsidRPr="009619A3" w:rsidRDefault="00A270FF" w:rsidP="00855351">
            <w:pPr>
              <w:spacing w:line="220" w:lineRule="exact"/>
              <w:rPr>
                <w:rFonts w:ascii="Times New Roman" w:hAnsi="Times New Roman"/>
              </w:rPr>
            </w:pPr>
            <w:r w:rsidRPr="009619A3">
              <w:rPr>
                <w:rFonts w:ascii="Times New Roman" w:hAnsi="Times New Roman"/>
              </w:rPr>
              <w:t>Purpose:</w:t>
            </w:r>
          </w:p>
          <w:p w14:paraId="58B57474" w14:textId="5749D08F" w:rsidR="009619A3" w:rsidRPr="00742242" w:rsidRDefault="00C53C60" w:rsidP="00855351">
            <w:pPr>
              <w:spacing w:line="220" w:lineRule="exact"/>
              <w:rPr>
                <w:rFonts w:ascii="Times New Roman" w:hAnsi="Times New Roman"/>
                <w:b w:val="0"/>
              </w:rPr>
            </w:pPr>
            <w:r>
              <w:rPr>
                <w:rFonts w:ascii="Times New Roman" w:hAnsi="Times New Roman"/>
                <w:b w:val="0"/>
              </w:rPr>
              <w:t>To secure, through engagement in and promotion of, bio-briquetting, inclusive and equitable education (ECD, primary, and seco</w:t>
            </w:r>
            <w:r w:rsidR="00742242">
              <w:rPr>
                <w:rFonts w:ascii="Times New Roman" w:hAnsi="Times New Roman"/>
                <w:b w:val="0"/>
              </w:rPr>
              <w:t>ndary) for Kenyan children from disadvantaged backgrounds, the lifting of Kenyan youths out of poverty, and grassroots-inspired climate action.</w:t>
            </w:r>
          </w:p>
        </w:tc>
        <w:tc>
          <w:tcPr>
            <w:tcW w:w="3118" w:type="dxa"/>
          </w:tcPr>
          <w:p w14:paraId="44417A94" w14:textId="77777777" w:rsidR="00A270FF" w:rsidRPr="009619A3" w:rsidRDefault="00A270FF" w:rsidP="00855351">
            <w:pPr>
              <w:spacing w:line="2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701" w:type="dxa"/>
          </w:tcPr>
          <w:p w14:paraId="1F0863F2" w14:textId="77777777" w:rsidR="00A270FF" w:rsidRPr="009619A3" w:rsidRDefault="00A270FF" w:rsidP="00855351">
            <w:pPr>
              <w:spacing w:line="2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3686" w:type="dxa"/>
          </w:tcPr>
          <w:p w14:paraId="1FEF0F23" w14:textId="77777777" w:rsidR="00A270FF" w:rsidRPr="009619A3" w:rsidRDefault="00A270FF" w:rsidP="00855351">
            <w:pPr>
              <w:spacing w:line="2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512633" w14:paraId="10399383" w14:textId="77777777" w:rsidTr="00AC0724">
        <w:tc>
          <w:tcPr>
            <w:cnfStyle w:val="001000000000" w:firstRow="0" w:lastRow="0" w:firstColumn="1" w:lastColumn="0" w:oddVBand="0" w:evenVBand="0" w:oddHBand="0" w:evenHBand="0" w:firstRowFirstColumn="0" w:firstRowLastColumn="0" w:lastRowFirstColumn="0" w:lastRowLastColumn="0"/>
            <w:tcW w:w="5103" w:type="dxa"/>
          </w:tcPr>
          <w:p w14:paraId="57D8C43D" w14:textId="444B7674" w:rsidR="00A270FF" w:rsidRPr="009619A3" w:rsidRDefault="00742242" w:rsidP="00F84846">
            <w:pPr>
              <w:spacing w:line="200" w:lineRule="exact"/>
              <w:jc w:val="both"/>
              <w:rPr>
                <w:rFonts w:ascii="Times New Roman" w:hAnsi="Times New Roman"/>
              </w:rPr>
            </w:pPr>
            <w:r>
              <w:rPr>
                <w:rFonts w:ascii="Times New Roman" w:hAnsi="Times New Roman"/>
              </w:rPr>
              <w:t>Targets</w:t>
            </w:r>
          </w:p>
          <w:p w14:paraId="5A082214" w14:textId="49BFE090" w:rsidR="00F84846" w:rsidRDefault="00F10A49" w:rsidP="001C1C60">
            <w:pPr>
              <w:pStyle w:val="ListParagraph"/>
              <w:numPr>
                <w:ilvl w:val="0"/>
                <w:numId w:val="23"/>
              </w:numPr>
              <w:spacing w:line="200" w:lineRule="exact"/>
              <w:rPr>
                <w:rFonts w:ascii="Times New Roman" w:hAnsi="Times New Roman"/>
                <w:b w:val="0"/>
              </w:rPr>
            </w:pPr>
            <w:r>
              <w:rPr>
                <w:rFonts w:ascii="Times New Roman" w:hAnsi="Times New Roman"/>
                <w:b w:val="0"/>
              </w:rPr>
              <w:t>At least 195 ultra-poor women and at least 105 ultra-poor men (ages 15-35)</w:t>
            </w:r>
            <w:r w:rsidR="00B054FC">
              <w:rPr>
                <w:rFonts w:ascii="Times New Roman" w:hAnsi="Times New Roman"/>
                <w:b w:val="0"/>
              </w:rPr>
              <w:t xml:space="preserve"> empowered with technical and vocational skills in the bio-briquetting value chain, underpinned by the </w:t>
            </w:r>
            <w:proofErr w:type="spellStart"/>
            <w:r w:rsidR="00B054FC">
              <w:rPr>
                <w:rFonts w:ascii="Times New Roman" w:hAnsi="Times New Roman"/>
                <w:b w:val="0"/>
              </w:rPr>
              <w:t>Brac’s</w:t>
            </w:r>
            <w:proofErr w:type="spellEnd"/>
            <w:r w:rsidR="00B054FC">
              <w:rPr>
                <w:rFonts w:ascii="Times New Roman" w:hAnsi="Times New Roman"/>
                <w:b w:val="0"/>
              </w:rPr>
              <w:t xml:space="preserve"> Graduation Approach framework, for employment and/or enhanced income generation, by the end of 2021</w:t>
            </w:r>
            <w:r w:rsidR="003045C7">
              <w:rPr>
                <w:rFonts w:ascii="Times New Roman" w:hAnsi="Times New Roman"/>
                <w:b w:val="0"/>
              </w:rPr>
              <w:t>.</w:t>
            </w:r>
          </w:p>
          <w:p w14:paraId="16EC854F" w14:textId="77777777" w:rsidR="0084386B" w:rsidRDefault="0084386B" w:rsidP="0084386B">
            <w:pPr>
              <w:pStyle w:val="ListParagraph"/>
              <w:spacing w:line="200" w:lineRule="exact"/>
              <w:ind w:left="360"/>
              <w:rPr>
                <w:rFonts w:ascii="Times New Roman" w:hAnsi="Times New Roman"/>
                <w:b w:val="0"/>
              </w:rPr>
            </w:pPr>
          </w:p>
          <w:p w14:paraId="0AC2E272" w14:textId="77777777" w:rsidR="0084386B" w:rsidRDefault="0084386B" w:rsidP="0084386B">
            <w:pPr>
              <w:pStyle w:val="ListParagraph"/>
              <w:spacing w:line="200" w:lineRule="exact"/>
              <w:ind w:left="360"/>
              <w:rPr>
                <w:rFonts w:ascii="Times New Roman" w:hAnsi="Times New Roman"/>
                <w:b w:val="0"/>
              </w:rPr>
            </w:pPr>
          </w:p>
          <w:p w14:paraId="7175F279" w14:textId="77777777" w:rsidR="0084386B" w:rsidRDefault="0084386B" w:rsidP="0084386B">
            <w:pPr>
              <w:pStyle w:val="ListParagraph"/>
              <w:spacing w:line="200" w:lineRule="exact"/>
              <w:ind w:left="360"/>
              <w:rPr>
                <w:rFonts w:ascii="Times New Roman" w:hAnsi="Times New Roman"/>
                <w:b w:val="0"/>
              </w:rPr>
            </w:pPr>
          </w:p>
          <w:p w14:paraId="54E3FB99" w14:textId="77777777" w:rsidR="0084386B" w:rsidRDefault="0084386B" w:rsidP="0084386B">
            <w:pPr>
              <w:pStyle w:val="ListParagraph"/>
              <w:spacing w:line="200" w:lineRule="exact"/>
              <w:ind w:left="360"/>
              <w:rPr>
                <w:rFonts w:ascii="Times New Roman" w:hAnsi="Times New Roman"/>
                <w:b w:val="0"/>
              </w:rPr>
            </w:pPr>
          </w:p>
          <w:p w14:paraId="49380F4C" w14:textId="77777777" w:rsidR="0084386B" w:rsidRDefault="0084386B" w:rsidP="0084386B">
            <w:pPr>
              <w:pStyle w:val="ListParagraph"/>
              <w:spacing w:line="200" w:lineRule="exact"/>
              <w:ind w:left="360"/>
              <w:rPr>
                <w:rFonts w:ascii="Times New Roman" w:hAnsi="Times New Roman"/>
                <w:b w:val="0"/>
              </w:rPr>
            </w:pPr>
          </w:p>
          <w:p w14:paraId="06AFB3F9" w14:textId="77777777" w:rsidR="0084386B" w:rsidRDefault="0084386B" w:rsidP="0084386B">
            <w:pPr>
              <w:pStyle w:val="ListParagraph"/>
              <w:spacing w:line="200" w:lineRule="exact"/>
              <w:ind w:left="360"/>
              <w:rPr>
                <w:rFonts w:ascii="Times New Roman" w:hAnsi="Times New Roman"/>
                <w:b w:val="0"/>
              </w:rPr>
            </w:pPr>
          </w:p>
          <w:p w14:paraId="1D981760" w14:textId="77777777" w:rsidR="0084386B" w:rsidRDefault="0084386B" w:rsidP="0084386B">
            <w:pPr>
              <w:pStyle w:val="ListParagraph"/>
              <w:spacing w:line="200" w:lineRule="exact"/>
              <w:ind w:left="360"/>
              <w:rPr>
                <w:rFonts w:ascii="Times New Roman" w:hAnsi="Times New Roman"/>
                <w:b w:val="0"/>
              </w:rPr>
            </w:pPr>
          </w:p>
          <w:p w14:paraId="6EC56F07" w14:textId="77777777" w:rsidR="0084386B" w:rsidRDefault="0084386B" w:rsidP="0084386B">
            <w:pPr>
              <w:pStyle w:val="ListParagraph"/>
              <w:spacing w:line="200" w:lineRule="exact"/>
              <w:ind w:left="360"/>
              <w:rPr>
                <w:rFonts w:ascii="Times New Roman" w:hAnsi="Times New Roman"/>
                <w:b w:val="0"/>
              </w:rPr>
            </w:pPr>
          </w:p>
          <w:p w14:paraId="27413F61" w14:textId="77777777" w:rsidR="0084386B" w:rsidRDefault="0084386B" w:rsidP="0084386B">
            <w:pPr>
              <w:pStyle w:val="ListParagraph"/>
              <w:spacing w:line="200" w:lineRule="exact"/>
              <w:ind w:left="360"/>
              <w:rPr>
                <w:rFonts w:ascii="Times New Roman" w:hAnsi="Times New Roman"/>
                <w:b w:val="0"/>
              </w:rPr>
            </w:pPr>
          </w:p>
          <w:p w14:paraId="0D292C01" w14:textId="77777777" w:rsidR="0084386B" w:rsidRDefault="0084386B" w:rsidP="0084386B">
            <w:pPr>
              <w:pStyle w:val="ListParagraph"/>
              <w:spacing w:line="200" w:lineRule="exact"/>
              <w:ind w:left="360"/>
              <w:rPr>
                <w:rFonts w:ascii="Times New Roman" w:hAnsi="Times New Roman"/>
                <w:b w:val="0"/>
              </w:rPr>
            </w:pPr>
          </w:p>
          <w:p w14:paraId="7F89EBF0" w14:textId="77777777" w:rsidR="0084386B" w:rsidRDefault="0084386B" w:rsidP="0084386B">
            <w:pPr>
              <w:pStyle w:val="ListParagraph"/>
              <w:spacing w:line="200" w:lineRule="exact"/>
              <w:ind w:left="360"/>
              <w:rPr>
                <w:rFonts w:ascii="Times New Roman" w:hAnsi="Times New Roman"/>
                <w:b w:val="0"/>
              </w:rPr>
            </w:pPr>
          </w:p>
          <w:p w14:paraId="692D64A0" w14:textId="77777777" w:rsidR="0084386B" w:rsidRDefault="0084386B" w:rsidP="0084386B">
            <w:pPr>
              <w:pStyle w:val="ListParagraph"/>
              <w:spacing w:line="200" w:lineRule="exact"/>
              <w:ind w:left="360"/>
              <w:rPr>
                <w:rFonts w:ascii="Times New Roman" w:hAnsi="Times New Roman"/>
                <w:b w:val="0"/>
              </w:rPr>
            </w:pPr>
          </w:p>
          <w:p w14:paraId="0D7A3382" w14:textId="77777777" w:rsidR="0084386B" w:rsidRDefault="0084386B" w:rsidP="0084386B">
            <w:pPr>
              <w:pStyle w:val="ListParagraph"/>
              <w:spacing w:line="200" w:lineRule="exact"/>
              <w:ind w:left="360"/>
              <w:rPr>
                <w:rFonts w:ascii="Times New Roman" w:hAnsi="Times New Roman"/>
                <w:b w:val="0"/>
              </w:rPr>
            </w:pPr>
          </w:p>
          <w:p w14:paraId="2416AC7D" w14:textId="77777777" w:rsidR="0084386B" w:rsidRDefault="0084386B" w:rsidP="0084386B">
            <w:pPr>
              <w:pStyle w:val="ListParagraph"/>
              <w:spacing w:line="200" w:lineRule="exact"/>
              <w:ind w:left="360"/>
              <w:rPr>
                <w:rFonts w:ascii="Times New Roman" w:hAnsi="Times New Roman"/>
                <w:b w:val="0"/>
              </w:rPr>
            </w:pPr>
          </w:p>
          <w:p w14:paraId="14E3FBF9" w14:textId="77777777" w:rsidR="0084386B" w:rsidRDefault="0084386B" w:rsidP="0084386B">
            <w:pPr>
              <w:pStyle w:val="ListParagraph"/>
              <w:spacing w:line="200" w:lineRule="exact"/>
              <w:ind w:left="360"/>
              <w:rPr>
                <w:rFonts w:ascii="Times New Roman" w:hAnsi="Times New Roman"/>
                <w:b w:val="0"/>
              </w:rPr>
            </w:pPr>
          </w:p>
          <w:p w14:paraId="09463AA7" w14:textId="77777777" w:rsidR="0084386B" w:rsidRDefault="0084386B" w:rsidP="0084386B">
            <w:pPr>
              <w:pStyle w:val="ListParagraph"/>
              <w:spacing w:line="200" w:lineRule="exact"/>
              <w:ind w:left="360"/>
              <w:rPr>
                <w:rFonts w:ascii="Times New Roman" w:hAnsi="Times New Roman"/>
                <w:b w:val="0"/>
              </w:rPr>
            </w:pPr>
          </w:p>
          <w:p w14:paraId="6644DF2C" w14:textId="77777777" w:rsidR="0084386B" w:rsidRPr="009619A3" w:rsidRDefault="0084386B" w:rsidP="0084386B">
            <w:pPr>
              <w:pStyle w:val="ListParagraph"/>
              <w:spacing w:line="200" w:lineRule="exact"/>
              <w:ind w:left="360"/>
              <w:rPr>
                <w:rFonts w:ascii="Times New Roman" w:hAnsi="Times New Roman"/>
                <w:b w:val="0"/>
              </w:rPr>
            </w:pPr>
          </w:p>
          <w:p w14:paraId="05103428" w14:textId="4BC46E14" w:rsidR="00F84846" w:rsidRPr="009619A3" w:rsidRDefault="003045C7" w:rsidP="001C1C60">
            <w:pPr>
              <w:pStyle w:val="ListParagraph"/>
              <w:numPr>
                <w:ilvl w:val="0"/>
                <w:numId w:val="23"/>
              </w:numPr>
              <w:spacing w:line="200" w:lineRule="exact"/>
              <w:rPr>
                <w:rFonts w:ascii="Times New Roman" w:hAnsi="Times New Roman"/>
                <w:b w:val="0"/>
              </w:rPr>
            </w:pPr>
            <w:r>
              <w:rPr>
                <w:rFonts w:ascii="Times New Roman" w:hAnsi="Times New Roman"/>
                <w:b w:val="0"/>
              </w:rPr>
              <w:t xml:space="preserve">At least 195 girls and at least 105 boys from ultra-poor households supported, based on the </w:t>
            </w:r>
            <w:proofErr w:type="spellStart"/>
            <w:r>
              <w:rPr>
                <w:rFonts w:ascii="Times New Roman" w:hAnsi="Times New Roman"/>
                <w:b w:val="0"/>
              </w:rPr>
              <w:t>Brac’s</w:t>
            </w:r>
            <w:proofErr w:type="spellEnd"/>
            <w:r>
              <w:rPr>
                <w:rFonts w:ascii="Times New Roman" w:hAnsi="Times New Roman"/>
                <w:b w:val="0"/>
              </w:rPr>
              <w:t xml:space="preserve"> Graduation Approach framework, to achieve top-level literacy and numeracy, by the end of 2021.</w:t>
            </w:r>
          </w:p>
          <w:p w14:paraId="30D01169" w14:textId="77777777" w:rsidR="00C42E92" w:rsidRDefault="00C42E92" w:rsidP="00C42E92">
            <w:pPr>
              <w:pStyle w:val="ListParagraph"/>
              <w:spacing w:line="200" w:lineRule="exact"/>
              <w:ind w:left="360"/>
              <w:rPr>
                <w:rFonts w:ascii="Times New Roman" w:hAnsi="Times New Roman"/>
                <w:b w:val="0"/>
              </w:rPr>
            </w:pPr>
          </w:p>
          <w:p w14:paraId="3938AF6E" w14:textId="77777777" w:rsidR="00C42E92" w:rsidRDefault="00C42E92" w:rsidP="00C42E92">
            <w:pPr>
              <w:pStyle w:val="ListParagraph"/>
              <w:spacing w:line="200" w:lineRule="exact"/>
              <w:ind w:left="360"/>
              <w:rPr>
                <w:rFonts w:ascii="Times New Roman" w:hAnsi="Times New Roman"/>
                <w:b w:val="0"/>
              </w:rPr>
            </w:pPr>
          </w:p>
          <w:p w14:paraId="4EAED0F9" w14:textId="77777777" w:rsidR="00C42E92" w:rsidRDefault="00C42E92" w:rsidP="00C42E92">
            <w:pPr>
              <w:pStyle w:val="ListParagraph"/>
              <w:spacing w:line="200" w:lineRule="exact"/>
              <w:ind w:left="360"/>
              <w:rPr>
                <w:rFonts w:ascii="Times New Roman" w:hAnsi="Times New Roman"/>
                <w:b w:val="0"/>
              </w:rPr>
            </w:pPr>
          </w:p>
          <w:p w14:paraId="2393BB46" w14:textId="77777777" w:rsidR="00C42E92" w:rsidRDefault="00C42E92" w:rsidP="00C42E92">
            <w:pPr>
              <w:pStyle w:val="ListParagraph"/>
              <w:spacing w:line="200" w:lineRule="exact"/>
              <w:ind w:left="360"/>
              <w:rPr>
                <w:rFonts w:ascii="Times New Roman" w:hAnsi="Times New Roman"/>
                <w:b w:val="0"/>
              </w:rPr>
            </w:pPr>
          </w:p>
          <w:p w14:paraId="75842599" w14:textId="77777777" w:rsidR="00C42E92" w:rsidRDefault="00C42E92" w:rsidP="00C42E92">
            <w:pPr>
              <w:pStyle w:val="ListParagraph"/>
              <w:spacing w:line="200" w:lineRule="exact"/>
              <w:ind w:left="360"/>
              <w:rPr>
                <w:rFonts w:ascii="Times New Roman" w:hAnsi="Times New Roman"/>
                <w:b w:val="0"/>
              </w:rPr>
            </w:pPr>
          </w:p>
          <w:p w14:paraId="69A34F1F" w14:textId="77777777" w:rsidR="00C42E92" w:rsidRDefault="00C42E92" w:rsidP="00C42E92">
            <w:pPr>
              <w:pStyle w:val="ListParagraph"/>
              <w:spacing w:line="200" w:lineRule="exact"/>
              <w:ind w:left="360"/>
              <w:rPr>
                <w:rFonts w:ascii="Times New Roman" w:hAnsi="Times New Roman"/>
                <w:b w:val="0"/>
              </w:rPr>
            </w:pPr>
          </w:p>
          <w:p w14:paraId="391F51DF" w14:textId="77777777" w:rsidR="00C42E92" w:rsidRDefault="00C42E92" w:rsidP="00C42E92">
            <w:pPr>
              <w:pStyle w:val="ListParagraph"/>
              <w:spacing w:line="200" w:lineRule="exact"/>
              <w:ind w:left="360"/>
              <w:rPr>
                <w:rFonts w:ascii="Times New Roman" w:hAnsi="Times New Roman"/>
                <w:b w:val="0"/>
              </w:rPr>
            </w:pPr>
          </w:p>
          <w:p w14:paraId="0194AA4A" w14:textId="77777777" w:rsidR="00C42E92" w:rsidRDefault="00C42E92" w:rsidP="00C42E92">
            <w:pPr>
              <w:pStyle w:val="ListParagraph"/>
              <w:spacing w:line="200" w:lineRule="exact"/>
              <w:ind w:left="360"/>
              <w:rPr>
                <w:rFonts w:ascii="Times New Roman" w:hAnsi="Times New Roman"/>
                <w:b w:val="0"/>
              </w:rPr>
            </w:pPr>
          </w:p>
          <w:p w14:paraId="3F5576EE" w14:textId="77777777" w:rsidR="00C42E92" w:rsidRDefault="00C42E92" w:rsidP="00C42E92">
            <w:pPr>
              <w:pStyle w:val="ListParagraph"/>
              <w:spacing w:line="200" w:lineRule="exact"/>
              <w:ind w:left="360"/>
              <w:rPr>
                <w:rFonts w:ascii="Times New Roman" w:hAnsi="Times New Roman"/>
                <w:b w:val="0"/>
              </w:rPr>
            </w:pPr>
          </w:p>
          <w:p w14:paraId="4CC05C15" w14:textId="77777777" w:rsidR="00C42E92" w:rsidRDefault="00C42E92" w:rsidP="00C42E92">
            <w:pPr>
              <w:pStyle w:val="ListParagraph"/>
              <w:spacing w:line="200" w:lineRule="exact"/>
              <w:ind w:left="360"/>
              <w:rPr>
                <w:rFonts w:ascii="Times New Roman" w:hAnsi="Times New Roman"/>
                <w:b w:val="0"/>
              </w:rPr>
            </w:pPr>
          </w:p>
          <w:p w14:paraId="0A996BD9" w14:textId="77777777" w:rsidR="00C42E92" w:rsidRDefault="00C42E92" w:rsidP="00C42E92">
            <w:pPr>
              <w:pStyle w:val="ListParagraph"/>
              <w:spacing w:line="200" w:lineRule="exact"/>
              <w:ind w:left="360"/>
              <w:rPr>
                <w:rFonts w:ascii="Times New Roman" w:hAnsi="Times New Roman"/>
                <w:b w:val="0"/>
              </w:rPr>
            </w:pPr>
          </w:p>
          <w:p w14:paraId="3ACB0B9F" w14:textId="77777777" w:rsidR="00C42E92" w:rsidRDefault="00C42E92" w:rsidP="00C42E92">
            <w:pPr>
              <w:pStyle w:val="ListParagraph"/>
              <w:spacing w:line="200" w:lineRule="exact"/>
              <w:ind w:left="360"/>
              <w:rPr>
                <w:rFonts w:ascii="Times New Roman" w:hAnsi="Times New Roman"/>
                <w:b w:val="0"/>
              </w:rPr>
            </w:pPr>
          </w:p>
          <w:p w14:paraId="1A89978C" w14:textId="77777777" w:rsidR="00C42E92" w:rsidRDefault="00C42E92" w:rsidP="00C42E92">
            <w:pPr>
              <w:pStyle w:val="ListParagraph"/>
              <w:spacing w:line="200" w:lineRule="exact"/>
              <w:ind w:left="360"/>
              <w:rPr>
                <w:rFonts w:ascii="Times New Roman" w:hAnsi="Times New Roman"/>
                <w:b w:val="0"/>
              </w:rPr>
            </w:pPr>
          </w:p>
          <w:p w14:paraId="2B87A5F6" w14:textId="77777777" w:rsidR="00C42E92" w:rsidRDefault="00C42E92" w:rsidP="00C42E92">
            <w:pPr>
              <w:pStyle w:val="ListParagraph"/>
              <w:spacing w:line="200" w:lineRule="exact"/>
              <w:ind w:left="360"/>
              <w:rPr>
                <w:rFonts w:ascii="Times New Roman" w:hAnsi="Times New Roman"/>
                <w:b w:val="0"/>
              </w:rPr>
            </w:pPr>
          </w:p>
          <w:p w14:paraId="0DF68884" w14:textId="77777777" w:rsidR="00C42E92" w:rsidRDefault="00C42E92" w:rsidP="00C42E92">
            <w:pPr>
              <w:pStyle w:val="ListParagraph"/>
              <w:spacing w:line="200" w:lineRule="exact"/>
              <w:ind w:left="360"/>
              <w:rPr>
                <w:rFonts w:ascii="Times New Roman" w:hAnsi="Times New Roman"/>
                <w:b w:val="0"/>
              </w:rPr>
            </w:pPr>
          </w:p>
          <w:p w14:paraId="45DFE1A1" w14:textId="77777777" w:rsidR="00C42E92" w:rsidRDefault="00C42E92" w:rsidP="00C42E92">
            <w:pPr>
              <w:pStyle w:val="ListParagraph"/>
              <w:spacing w:line="200" w:lineRule="exact"/>
              <w:ind w:left="360"/>
              <w:rPr>
                <w:rFonts w:ascii="Times New Roman" w:hAnsi="Times New Roman"/>
                <w:b w:val="0"/>
              </w:rPr>
            </w:pPr>
          </w:p>
          <w:p w14:paraId="38DFC7BD" w14:textId="77777777" w:rsidR="00C42E92" w:rsidRDefault="00C42E92" w:rsidP="00C42E92">
            <w:pPr>
              <w:pStyle w:val="ListParagraph"/>
              <w:spacing w:line="200" w:lineRule="exact"/>
              <w:ind w:left="360"/>
              <w:rPr>
                <w:rFonts w:ascii="Times New Roman" w:hAnsi="Times New Roman"/>
                <w:b w:val="0"/>
              </w:rPr>
            </w:pPr>
          </w:p>
          <w:p w14:paraId="47C584E0" w14:textId="77777777" w:rsidR="00AC0724" w:rsidRDefault="00AC0724" w:rsidP="00C42E92">
            <w:pPr>
              <w:pStyle w:val="ListParagraph"/>
              <w:spacing w:line="200" w:lineRule="exact"/>
              <w:ind w:left="360"/>
              <w:rPr>
                <w:rFonts w:ascii="Times New Roman" w:hAnsi="Times New Roman"/>
                <w:b w:val="0"/>
              </w:rPr>
            </w:pPr>
          </w:p>
          <w:p w14:paraId="7BFE66DD" w14:textId="77777777" w:rsidR="00C42E92" w:rsidRDefault="00C42E92" w:rsidP="00C42E92">
            <w:pPr>
              <w:pStyle w:val="ListParagraph"/>
              <w:spacing w:line="200" w:lineRule="exact"/>
              <w:ind w:left="360"/>
              <w:rPr>
                <w:rFonts w:ascii="Times New Roman" w:hAnsi="Times New Roman"/>
                <w:b w:val="0"/>
              </w:rPr>
            </w:pPr>
          </w:p>
          <w:p w14:paraId="5D3C4F9C" w14:textId="641B9AF3" w:rsidR="00F84846" w:rsidRPr="009619A3" w:rsidRDefault="003045C7" w:rsidP="003045C7">
            <w:pPr>
              <w:pStyle w:val="ListParagraph"/>
              <w:numPr>
                <w:ilvl w:val="0"/>
                <w:numId w:val="23"/>
              </w:numPr>
              <w:spacing w:line="200" w:lineRule="exact"/>
              <w:rPr>
                <w:rFonts w:ascii="Times New Roman" w:hAnsi="Times New Roman"/>
                <w:b w:val="0"/>
              </w:rPr>
            </w:pPr>
            <w:r>
              <w:rPr>
                <w:rFonts w:ascii="Times New Roman" w:hAnsi="Times New Roman"/>
                <w:b w:val="0"/>
              </w:rPr>
              <w:t xml:space="preserve">By the end of 2021, the capacity to develop and/or scale up bio-briquetting enterprises and value chains by APC and 6 LLAs in West </w:t>
            </w:r>
            <w:proofErr w:type="spellStart"/>
            <w:r>
              <w:rPr>
                <w:rFonts w:ascii="Times New Roman" w:hAnsi="Times New Roman"/>
                <w:b w:val="0"/>
              </w:rPr>
              <w:t>Pokot</w:t>
            </w:r>
            <w:proofErr w:type="spellEnd"/>
            <w:r>
              <w:rPr>
                <w:rFonts w:ascii="Times New Roman" w:hAnsi="Times New Roman"/>
                <w:b w:val="0"/>
              </w:rPr>
              <w:t xml:space="preserve">, </w:t>
            </w:r>
            <w:proofErr w:type="spellStart"/>
            <w:r>
              <w:rPr>
                <w:rFonts w:ascii="Times New Roman" w:hAnsi="Times New Roman"/>
                <w:b w:val="0"/>
              </w:rPr>
              <w:t>Vihiga</w:t>
            </w:r>
            <w:proofErr w:type="spellEnd"/>
            <w:r>
              <w:rPr>
                <w:rFonts w:ascii="Times New Roman" w:hAnsi="Times New Roman"/>
                <w:b w:val="0"/>
              </w:rPr>
              <w:t xml:space="preserve">, and </w:t>
            </w:r>
            <w:proofErr w:type="spellStart"/>
            <w:r>
              <w:rPr>
                <w:rFonts w:ascii="Times New Roman" w:hAnsi="Times New Roman"/>
                <w:b w:val="0"/>
              </w:rPr>
              <w:t>Kitui</w:t>
            </w:r>
            <w:proofErr w:type="spellEnd"/>
            <w:r>
              <w:rPr>
                <w:rFonts w:ascii="Times New Roman" w:hAnsi="Times New Roman"/>
                <w:b w:val="0"/>
              </w:rPr>
              <w:t xml:space="preserve"> Counties in Kenya enhanced so as to enable them effectively participate in the upgrading of educational facilities attended by children targeted in Target 2 (</w:t>
            </w:r>
            <w:r w:rsidR="001F423C">
              <w:rPr>
                <w:rFonts w:ascii="Times New Roman" w:hAnsi="Times New Roman"/>
                <w:b w:val="0"/>
              </w:rPr>
              <w:t xml:space="preserve">with </w:t>
            </w:r>
            <w:r>
              <w:rPr>
                <w:rFonts w:ascii="Times New Roman" w:hAnsi="Times New Roman"/>
                <w:b w:val="0"/>
              </w:rPr>
              <w:t>focus on hygienic latrines, electricity, safe water, and basic</w:t>
            </w:r>
            <w:r w:rsidR="00BD4959">
              <w:rPr>
                <w:rFonts w:ascii="Times New Roman" w:hAnsi="Times New Roman"/>
                <w:b w:val="0"/>
              </w:rPr>
              <w:t xml:space="preserve"> teaching tools) for inclusive and effective learning, as well as improved grassroots-inspired climate action.</w:t>
            </w:r>
            <w:r w:rsidR="00F84846" w:rsidRPr="009619A3">
              <w:rPr>
                <w:rFonts w:ascii="Times New Roman" w:hAnsi="Times New Roman"/>
                <w:b w:val="0"/>
              </w:rPr>
              <w:t xml:space="preserve"> </w:t>
            </w:r>
          </w:p>
        </w:tc>
        <w:tc>
          <w:tcPr>
            <w:tcW w:w="3118" w:type="dxa"/>
          </w:tcPr>
          <w:p w14:paraId="0D21E7B4" w14:textId="77777777" w:rsidR="00A270FF" w:rsidRPr="009619A3" w:rsidRDefault="00A270FF" w:rsidP="00F84846">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697273F" w14:textId="0E76C235" w:rsidR="00B65BA8" w:rsidRPr="009619A3" w:rsidRDefault="007D423F" w:rsidP="000E3954">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of productive assets provided and their beneficiaries disaggregated by gender</w:t>
            </w:r>
          </w:p>
          <w:p w14:paraId="4AE97BDB" w14:textId="4F032912" w:rsidR="00B65BA8" w:rsidRPr="009619A3" w:rsidRDefault="007D423F" w:rsidP="000E3954">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Proportion of beneficiaries of entrepreneurship trainings venturing i</w:t>
            </w:r>
            <w:r w:rsidR="006E0178">
              <w:rPr>
                <w:rFonts w:ascii="Times New Roman" w:hAnsi="Times New Roman"/>
              </w:rPr>
              <w:t xml:space="preserve">nto active entrepreneurship, </w:t>
            </w:r>
            <w:r>
              <w:rPr>
                <w:rFonts w:ascii="Times New Roman" w:hAnsi="Times New Roman"/>
              </w:rPr>
              <w:t>by gender</w:t>
            </w:r>
          </w:p>
          <w:p w14:paraId="40A78797" w14:textId="0C397B56" w:rsidR="00C052EB" w:rsidRPr="009619A3" w:rsidRDefault="007D423F" w:rsidP="000E3954">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Type and extend </w:t>
            </w:r>
            <w:r w:rsidR="006E0178">
              <w:rPr>
                <w:rFonts w:ascii="Times New Roman" w:hAnsi="Times New Roman"/>
              </w:rPr>
              <w:t xml:space="preserve">of consumption support provided, and their </w:t>
            </w:r>
            <w:r>
              <w:rPr>
                <w:rFonts w:ascii="Times New Roman" w:hAnsi="Times New Roman"/>
              </w:rPr>
              <w:t>beneficiari</w:t>
            </w:r>
            <w:r w:rsidR="006E0178">
              <w:rPr>
                <w:rFonts w:ascii="Times New Roman" w:hAnsi="Times New Roman"/>
              </w:rPr>
              <w:t>es</w:t>
            </w:r>
            <w:r>
              <w:rPr>
                <w:rFonts w:ascii="Times New Roman" w:hAnsi="Times New Roman"/>
              </w:rPr>
              <w:t xml:space="preserve"> by gender</w:t>
            </w:r>
          </w:p>
          <w:p w14:paraId="4B728412" w14:textId="6FCA284F" w:rsidR="00476189" w:rsidRDefault="007D423F" w:rsidP="000E3954">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and extend of coaching/</w:t>
            </w:r>
            <w:proofErr w:type="spellStart"/>
            <w:r>
              <w:rPr>
                <w:rFonts w:ascii="Times New Roman" w:hAnsi="Times New Roman"/>
              </w:rPr>
              <w:t>mentoriship</w:t>
            </w:r>
            <w:proofErr w:type="spellEnd"/>
            <w:r>
              <w:rPr>
                <w:rFonts w:ascii="Times New Roman" w:hAnsi="Times New Roman"/>
              </w:rPr>
              <w:t xml:space="preserve"> provided</w:t>
            </w:r>
            <w:r w:rsidR="006E0178">
              <w:rPr>
                <w:rFonts w:ascii="Times New Roman" w:hAnsi="Times New Roman"/>
              </w:rPr>
              <w:t xml:space="preserve">, and their beneficiaries </w:t>
            </w:r>
            <w:r>
              <w:rPr>
                <w:rFonts w:ascii="Times New Roman" w:hAnsi="Times New Roman"/>
              </w:rPr>
              <w:t>by gender</w:t>
            </w:r>
          </w:p>
          <w:p w14:paraId="64B2056E" w14:textId="7C2CE46C" w:rsidR="007D423F" w:rsidRDefault="00651000" w:rsidP="00651000">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Amount of individual savings made by project beneficiaries</w:t>
            </w:r>
            <w:r w:rsidR="006E0178">
              <w:rPr>
                <w:rFonts w:ascii="Times New Roman" w:hAnsi="Times New Roman"/>
              </w:rPr>
              <w:t xml:space="preserve"> disaggregated </w:t>
            </w:r>
            <w:r w:rsidR="000F39C1">
              <w:rPr>
                <w:rFonts w:ascii="Times New Roman" w:hAnsi="Times New Roman"/>
              </w:rPr>
              <w:t>by gender</w:t>
            </w:r>
          </w:p>
          <w:p w14:paraId="7B329843" w14:textId="36B28B03" w:rsidR="000F39C1" w:rsidRDefault="000F39C1" w:rsidP="00651000">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and extend of health empowerment provided</w:t>
            </w:r>
            <w:r w:rsidR="006E0178">
              <w:rPr>
                <w:rFonts w:ascii="Times New Roman" w:hAnsi="Times New Roman"/>
              </w:rPr>
              <w:t>, and their</w:t>
            </w:r>
            <w:r>
              <w:rPr>
                <w:rFonts w:ascii="Times New Roman" w:hAnsi="Times New Roman"/>
              </w:rPr>
              <w:t xml:space="preserve"> </w:t>
            </w:r>
            <w:r w:rsidR="006E0178">
              <w:rPr>
                <w:rFonts w:ascii="Times New Roman" w:hAnsi="Times New Roman"/>
              </w:rPr>
              <w:t>beneficiaries</w:t>
            </w:r>
            <w:r>
              <w:rPr>
                <w:rFonts w:ascii="Times New Roman" w:hAnsi="Times New Roman"/>
              </w:rPr>
              <w:t xml:space="preserve"> by gender</w:t>
            </w:r>
          </w:p>
          <w:p w14:paraId="7ADAEB62" w14:textId="77777777" w:rsidR="0084386B" w:rsidRDefault="0084386B" w:rsidP="0084386B">
            <w:pPr>
              <w:pStyle w:val="ListParagraph"/>
              <w:spacing w:line="200" w:lineRule="exact"/>
              <w:ind w:left="318"/>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F5A6B7F" w14:textId="77777777" w:rsidR="0084386B" w:rsidRPr="009619A3" w:rsidRDefault="0084386B" w:rsidP="0084386B">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of productive assets provided and their beneficiaries disaggregated by gender</w:t>
            </w:r>
          </w:p>
          <w:p w14:paraId="2246ED03" w14:textId="1B19EDEF" w:rsidR="0084386B" w:rsidRDefault="0084386B" w:rsidP="00651000">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Type and extend of </w:t>
            </w:r>
            <w:proofErr w:type="spellStart"/>
            <w:r>
              <w:rPr>
                <w:rFonts w:ascii="Times New Roman" w:hAnsi="Times New Roman"/>
              </w:rPr>
              <w:t>lifeskills</w:t>
            </w:r>
            <w:proofErr w:type="spellEnd"/>
            <w:r>
              <w:rPr>
                <w:rFonts w:ascii="Times New Roman" w:hAnsi="Times New Roman"/>
              </w:rPr>
              <w:t xml:space="preserve"> </w:t>
            </w:r>
            <w:r>
              <w:rPr>
                <w:rFonts w:ascii="Times New Roman" w:hAnsi="Times New Roman"/>
              </w:rPr>
              <w:lastRenderedPageBreak/>
              <w:t>trainings provided to the children, disaggregated by gender</w:t>
            </w:r>
            <w:r w:rsidR="00891D50">
              <w:rPr>
                <w:rFonts w:ascii="Times New Roman" w:hAnsi="Times New Roman"/>
              </w:rPr>
              <w:t>.</w:t>
            </w:r>
          </w:p>
          <w:p w14:paraId="7F894910" w14:textId="04E332A1" w:rsidR="0084386B" w:rsidRPr="009619A3" w:rsidRDefault="0084386B" w:rsidP="0084386B">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and extend of consumption support provided</w:t>
            </w:r>
            <w:r w:rsidR="006E0178">
              <w:rPr>
                <w:rFonts w:ascii="Times New Roman" w:hAnsi="Times New Roman"/>
              </w:rPr>
              <w:t>, and</w:t>
            </w:r>
            <w:r>
              <w:rPr>
                <w:rFonts w:ascii="Times New Roman" w:hAnsi="Times New Roman"/>
              </w:rPr>
              <w:t xml:space="preserve"> </w:t>
            </w:r>
            <w:r w:rsidR="006E0178">
              <w:rPr>
                <w:rFonts w:ascii="Times New Roman" w:hAnsi="Times New Roman"/>
              </w:rPr>
              <w:t>beneficiaries</w:t>
            </w:r>
            <w:r w:rsidR="00891D50">
              <w:rPr>
                <w:rFonts w:ascii="Times New Roman" w:hAnsi="Times New Roman"/>
              </w:rPr>
              <w:t>.</w:t>
            </w:r>
            <w:r>
              <w:rPr>
                <w:rFonts w:ascii="Times New Roman" w:hAnsi="Times New Roman"/>
              </w:rPr>
              <w:t xml:space="preserve"> </w:t>
            </w:r>
            <w:proofErr w:type="gramStart"/>
            <w:r>
              <w:rPr>
                <w:rFonts w:ascii="Times New Roman" w:hAnsi="Times New Roman"/>
              </w:rPr>
              <w:t>disaggregated</w:t>
            </w:r>
            <w:proofErr w:type="gramEnd"/>
            <w:r>
              <w:rPr>
                <w:rFonts w:ascii="Times New Roman" w:hAnsi="Times New Roman"/>
              </w:rPr>
              <w:t xml:space="preserve"> by gender</w:t>
            </w:r>
          </w:p>
          <w:p w14:paraId="576A1070" w14:textId="7913BA68" w:rsidR="00C42E92" w:rsidRDefault="00C42E92" w:rsidP="00C42E92">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Amount of individual savings made by project beneficiaries, by gender</w:t>
            </w:r>
            <w:r w:rsidR="00891D50">
              <w:rPr>
                <w:rFonts w:ascii="Times New Roman" w:hAnsi="Times New Roman"/>
              </w:rPr>
              <w:t>.</w:t>
            </w:r>
          </w:p>
          <w:p w14:paraId="3EBEEBE9" w14:textId="1CE4300A" w:rsidR="00C42E92" w:rsidRDefault="00C42E92" w:rsidP="00C42E92">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and extend of coaching/</w:t>
            </w:r>
            <w:proofErr w:type="spellStart"/>
            <w:r>
              <w:rPr>
                <w:rFonts w:ascii="Times New Roman" w:hAnsi="Times New Roman"/>
              </w:rPr>
              <w:t>mentoriship</w:t>
            </w:r>
            <w:proofErr w:type="spellEnd"/>
            <w:r>
              <w:rPr>
                <w:rFonts w:ascii="Times New Roman" w:hAnsi="Times New Roman"/>
              </w:rPr>
              <w:t xml:space="preserve"> provided to project beneficiaries, by gender</w:t>
            </w:r>
            <w:r w:rsidR="00891D50">
              <w:rPr>
                <w:rFonts w:ascii="Times New Roman" w:hAnsi="Times New Roman"/>
              </w:rPr>
              <w:t>.</w:t>
            </w:r>
          </w:p>
          <w:p w14:paraId="578B9F6C" w14:textId="513FEFED" w:rsidR="0084386B" w:rsidRDefault="00C42E92" w:rsidP="00C42E92">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and extend of health empowerment provided to beneficiaries, by gender</w:t>
            </w:r>
            <w:r w:rsidR="00891D50">
              <w:rPr>
                <w:rFonts w:ascii="Times New Roman" w:hAnsi="Times New Roman"/>
              </w:rPr>
              <w:t>.</w:t>
            </w:r>
          </w:p>
          <w:p w14:paraId="21FE952A" w14:textId="77777777" w:rsidR="006E0178" w:rsidRPr="006E0178" w:rsidRDefault="006E0178" w:rsidP="006E0178">
            <w:p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A69A01B" w14:textId="5C0968DD" w:rsidR="008108C9" w:rsidRPr="009619A3" w:rsidRDefault="00D41B26" w:rsidP="008108C9">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Type of capital </w:t>
            </w:r>
            <w:r w:rsidR="008108C9">
              <w:rPr>
                <w:rFonts w:ascii="Times New Roman" w:hAnsi="Times New Roman"/>
              </w:rPr>
              <w:t xml:space="preserve">provided and </w:t>
            </w:r>
            <w:r w:rsidR="001C2D67">
              <w:rPr>
                <w:rFonts w:ascii="Times New Roman" w:hAnsi="Times New Roman"/>
              </w:rPr>
              <w:t>the beneficiary entities and geographical locations</w:t>
            </w:r>
          </w:p>
          <w:p w14:paraId="3C6D6B27" w14:textId="1EFFD231" w:rsidR="009E7413" w:rsidRDefault="00891D50" w:rsidP="00C42E92">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and extend of training in bio-briquetting, associated enterprises, value chains, and related skills.</w:t>
            </w:r>
          </w:p>
          <w:p w14:paraId="2E8F2293" w14:textId="10D38E1E" w:rsidR="00891D50" w:rsidRDefault="00891D50" w:rsidP="00891D50">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and extend of coaching/</w:t>
            </w:r>
            <w:proofErr w:type="spellStart"/>
            <w:r>
              <w:rPr>
                <w:rFonts w:ascii="Times New Roman" w:hAnsi="Times New Roman"/>
              </w:rPr>
              <w:t>mentoriship</w:t>
            </w:r>
            <w:proofErr w:type="spellEnd"/>
            <w:r>
              <w:rPr>
                <w:rFonts w:ascii="Times New Roman" w:hAnsi="Times New Roman"/>
              </w:rPr>
              <w:t xml:space="preserve"> provided, and their beneficiaries by gender.</w:t>
            </w:r>
          </w:p>
          <w:p w14:paraId="3CC8E984" w14:textId="74B2A88A" w:rsidR="00891D50" w:rsidRDefault="00891D50" w:rsidP="00891D50">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Amount of individual savings made by </w:t>
            </w:r>
            <w:r w:rsidR="00B96C08">
              <w:rPr>
                <w:rFonts w:ascii="Times New Roman" w:hAnsi="Times New Roman"/>
              </w:rPr>
              <w:t>the targeted 6 LLAs</w:t>
            </w:r>
          </w:p>
          <w:p w14:paraId="2FAC0240" w14:textId="0CDC333A" w:rsidR="00F516BB" w:rsidRDefault="00F516BB" w:rsidP="00891D50">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and extend of upgrades made to educational facilities (to foster child-, disability-, safety-, non-</w:t>
            </w:r>
            <w:proofErr w:type="spellStart"/>
            <w:r>
              <w:rPr>
                <w:rFonts w:ascii="Times New Roman" w:hAnsi="Times New Roman"/>
              </w:rPr>
              <w:t>violelnce</w:t>
            </w:r>
            <w:proofErr w:type="spellEnd"/>
            <w:r>
              <w:rPr>
                <w:rFonts w:ascii="Times New Roman" w:hAnsi="Times New Roman"/>
              </w:rPr>
              <w:t xml:space="preserve">-, inclusive-, and effective-learning environments and, grassroots </w:t>
            </w:r>
            <w:r>
              <w:rPr>
                <w:rFonts w:ascii="Times New Roman" w:hAnsi="Times New Roman"/>
              </w:rPr>
              <w:lastRenderedPageBreak/>
              <w:t>climate action.</w:t>
            </w:r>
          </w:p>
          <w:p w14:paraId="6DC6EC29" w14:textId="605120E4" w:rsidR="00891D50" w:rsidRPr="00C42E92" w:rsidRDefault="00891D50" w:rsidP="00C42E92">
            <w:pPr>
              <w:pStyle w:val="ListParagraph"/>
              <w:numPr>
                <w:ilvl w:val="0"/>
                <w:numId w:val="35"/>
              </w:numPr>
              <w:spacing w:line="200" w:lineRule="exact"/>
              <w:ind w:left="318"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and extend of planning, digitisation of processes (e.g., supply chains, etc.), monitoring, and support supervision.</w:t>
            </w:r>
          </w:p>
        </w:tc>
        <w:tc>
          <w:tcPr>
            <w:tcW w:w="1701" w:type="dxa"/>
          </w:tcPr>
          <w:p w14:paraId="3A0CAD4E" w14:textId="77777777" w:rsidR="00A270FF" w:rsidRPr="009619A3" w:rsidRDefault="00A270FF" w:rsidP="00F84846">
            <w:p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35BD6EA" w14:textId="77777777" w:rsidR="00B65BA8" w:rsidRPr="009619A3" w:rsidRDefault="00B65BA8" w:rsidP="000E3954">
            <w:pPr>
              <w:pStyle w:val="ListParagraph"/>
              <w:numPr>
                <w:ilvl w:val="0"/>
                <w:numId w:val="34"/>
              </w:numPr>
              <w:spacing w:line="200" w:lineRule="exact"/>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 xml:space="preserve"> APC Financial Records</w:t>
            </w:r>
          </w:p>
          <w:p w14:paraId="0550A7BA" w14:textId="5F92C7CC" w:rsidR="00A8142A" w:rsidRPr="009619A3" w:rsidRDefault="007F7ED1" w:rsidP="000E3954">
            <w:pPr>
              <w:pStyle w:val="ListParagraph"/>
              <w:numPr>
                <w:ilvl w:val="0"/>
                <w:numId w:val="34"/>
              </w:numPr>
              <w:spacing w:line="200" w:lineRule="exact"/>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 xml:space="preserve"> </w:t>
            </w:r>
            <w:r w:rsidR="00A8142A" w:rsidRPr="009619A3">
              <w:rPr>
                <w:rFonts w:ascii="Times New Roman" w:hAnsi="Times New Roman"/>
              </w:rPr>
              <w:t>APC Programme Reports</w:t>
            </w:r>
          </w:p>
          <w:p w14:paraId="4F981FE4" w14:textId="1D07C1E4" w:rsidR="00A8142A" w:rsidRPr="009619A3" w:rsidRDefault="007F7ED1" w:rsidP="000E3954">
            <w:pPr>
              <w:pStyle w:val="ListParagraph"/>
              <w:numPr>
                <w:ilvl w:val="0"/>
                <w:numId w:val="34"/>
              </w:numPr>
              <w:spacing w:line="200" w:lineRule="exact"/>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 xml:space="preserve"> </w:t>
            </w:r>
            <w:r w:rsidR="00A8142A" w:rsidRPr="009619A3">
              <w:rPr>
                <w:rFonts w:ascii="Times New Roman" w:hAnsi="Times New Roman"/>
              </w:rPr>
              <w:t xml:space="preserve">Reports of the 6 </w:t>
            </w:r>
            <w:proofErr w:type="spellStart"/>
            <w:r w:rsidR="00A8142A" w:rsidRPr="009619A3">
              <w:rPr>
                <w:rFonts w:ascii="Times New Roman" w:hAnsi="Times New Roman"/>
              </w:rPr>
              <w:t>targetted</w:t>
            </w:r>
            <w:proofErr w:type="spellEnd"/>
            <w:r w:rsidR="00A8142A" w:rsidRPr="009619A3">
              <w:rPr>
                <w:rFonts w:ascii="Times New Roman" w:hAnsi="Times New Roman"/>
              </w:rPr>
              <w:t xml:space="preserve"> LLAs</w:t>
            </w:r>
          </w:p>
          <w:p w14:paraId="035ECE98" w14:textId="74911967" w:rsidR="00A8142A" w:rsidRPr="009619A3" w:rsidRDefault="007F7ED1" w:rsidP="00465D33">
            <w:pPr>
              <w:pStyle w:val="ListParagraph"/>
              <w:numPr>
                <w:ilvl w:val="0"/>
                <w:numId w:val="34"/>
              </w:numPr>
              <w:spacing w:line="200" w:lineRule="exact"/>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 xml:space="preserve"> </w:t>
            </w:r>
            <w:r w:rsidR="00A8142A" w:rsidRPr="009619A3">
              <w:rPr>
                <w:rFonts w:ascii="Times New Roman" w:hAnsi="Times New Roman"/>
              </w:rPr>
              <w:t>Reports</w:t>
            </w:r>
            <w:r w:rsidR="00465D33">
              <w:rPr>
                <w:rFonts w:ascii="Times New Roman" w:hAnsi="Times New Roman"/>
              </w:rPr>
              <w:t xml:space="preserve"> by supporters of the project</w:t>
            </w:r>
          </w:p>
        </w:tc>
        <w:tc>
          <w:tcPr>
            <w:tcW w:w="3686" w:type="dxa"/>
          </w:tcPr>
          <w:p w14:paraId="4E4F9BD8" w14:textId="1F82F405" w:rsidR="00A270FF" w:rsidRPr="009619A3" w:rsidRDefault="00476189" w:rsidP="00476189">
            <w:pPr>
              <w:spacing w:line="200" w:lineRule="exact"/>
              <w:ind w:left="373"/>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9619A3">
              <w:rPr>
                <w:rFonts w:ascii="Times New Roman" w:hAnsi="Times New Roman"/>
                <w:b/>
              </w:rPr>
              <w:t>Risks</w:t>
            </w:r>
          </w:p>
          <w:p w14:paraId="55D7441B" w14:textId="0C218D71" w:rsidR="007F7ED1" w:rsidRPr="009619A3" w:rsidRDefault="007F7ED1" w:rsidP="000E3954">
            <w:pPr>
              <w:pStyle w:val="ListParagraph"/>
              <w:numPr>
                <w:ilvl w:val="0"/>
                <w:numId w:val="33"/>
              </w:numPr>
              <w:spacing w:line="20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Weak APC donor</w:t>
            </w:r>
            <w:r w:rsidR="009619A3">
              <w:rPr>
                <w:rFonts w:ascii="Times New Roman" w:hAnsi="Times New Roman"/>
              </w:rPr>
              <w:t>/investor</w:t>
            </w:r>
            <w:r w:rsidRPr="009619A3">
              <w:rPr>
                <w:rFonts w:ascii="Times New Roman" w:hAnsi="Times New Roman"/>
              </w:rPr>
              <w:t xml:space="preserve"> base</w:t>
            </w:r>
          </w:p>
          <w:p w14:paraId="7DD81710" w14:textId="77777777" w:rsidR="007F7ED1" w:rsidRPr="009619A3" w:rsidRDefault="007F7ED1" w:rsidP="000E3954">
            <w:pPr>
              <w:pStyle w:val="ListParagraph"/>
              <w:numPr>
                <w:ilvl w:val="0"/>
                <w:numId w:val="33"/>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 xml:space="preserve">Expectations from targeted villages following their involvement in </w:t>
            </w:r>
            <w:r w:rsidR="00DD4556" w:rsidRPr="009619A3">
              <w:rPr>
                <w:rFonts w:ascii="Times New Roman" w:hAnsi="Times New Roman"/>
              </w:rPr>
              <w:t xml:space="preserve">enterprise </w:t>
            </w:r>
            <w:proofErr w:type="spellStart"/>
            <w:r w:rsidR="00DD4556" w:rsidRPr="009619A3">
              <w:rPr>
                <w:rFonts w:ascii="Times New Roman" w:hAnsi="Times New Roman"/>
              </w:rPr>
              <w:t>prioritasation</w:t>
            </w:r>
            <w:proofErr w:type="spellEnd"/>
            <w:r w:rsidR="00DD4556" w:rsidRPr="009619A3">
              <w:rPr>
                <w:rFonts w:ascii="Times New Roman" w:hAnsi="Times New Roman"/>
              </w:rPr>
              <w:t xml:space="preserve"> process that shaped this proposal</w:t>
            </w:r>
          </w:p>
          <w:p w14:paraId="7971439B" w14:textId="77777777" w:rsidR="00476189" w:rsidRPr="009619A3" w:rsidRDefault="00476189" w:rsidP="000E3954">
            <w:pPr>
              <w:pStyle w:val="ListParagraph"/>
              <w:numPr>
                <w:ilvl w:val="0"/>
                <w:numId w:val="33"/>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Members of targeted LLAs not taking anti-poverty efforts if the project fails to be realized</w:t>
            </w:r>
          </w:p>
          <w:p w14:paraId="368259EF" w14:textId="77777777" w:rsidR="00512633" w:rsidRPr="009619A3" w:rsidRDefault="00512633" w:rsidP="000E3954">
            <w:pPr>
              <w:pStyle w:val="ListParagraph"/>
              <w:numPr>
                <w:ilvl w:val="0"/>
                <w:numId w:val="33"/>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High initial investment costs</w:t>
            </w:r>
          </w:p>
          <w:p w14:paraId="41C10715" w14:textId="77777777" w:rsidR="00512633" w:rsidRPr="009619A3" w:rsidRDefault="00512633" w:rsidP="000E3954">
            <w:pPr>
              <w:pStyle w:val="ListParagraph"/>
              <w:numPr>
                <w:ilvl w:val="0"/>
                <w:numId w:val="33"/>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Lack of knowledge and skills in bio-briquetting enterprise</w:t>
            </w:r>
          </w:p>
          <w:p w14:paraId="2A2EBE87" w14:textId="4035B805" w:rsidR="00512633" w:rsidRPr="009619A3" w:rsidRDefault="00512633" w:rsidP="000E3954">
            <w:pPr>
              <w:pStyle w:val="ListParagraph"/>
              <w:numPr>
                <w:ilvl w:val="0"/>
                <w:numId w:val="33"/>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Lack of access to credit and markets</w:t>
            </w:r>
          </w:p>
          <w:p w14:paraId="4BBE6F23" w14:textId="63BA7BBD" w:rsidR="00512633" w:rsidRPr="009619A3" w:rsidRDefault="00512633" w:rsidP="000E3954">
            <w:pPr>
              <w:pStyle w:val="ListParagraph"/>
              <w:numPr>
                <w:ilvl w:val="0"/>
                <w:numId w:val="33"/>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Transfers for purchase of productive assets likely to be spent on basic needs if appropriate safeguards are not put in place</w:t>
            </w:r>
          </w:p>
          <w:p w14:paraId="0429DC54" w14:textId="54F62DC0" w:rsidR="00512633" w:rsidRPr="009619A3" w:rsidRDefault="00512633" w:rsidP="000E3954">
            <w:pPr>
              <w:pStyle w:val="ListParagraph"/>
              <w:numPr>
                <w:ilvl w:val="0"/>
                <w:numId w:val="33"/>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Effects of market impacts like inflation</w:t>
            </w:r>
          </w:p>
          <w:p w14:paraId="0345F12D" w14:textId="2D41F755" w:rsidR="00512633" w:rsidRPr="009619A3" w:rsidRDefault="00512633" w:rsidP="000E3954">
            <w:pPr>
              <w:pStyle w:val="ListParagraph"/>
              <w:numPr>
                <w:ilvl w:val="0"/>
                <w:numId w:val="33"/>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Proliferation of the informal sector</w:t>
            </w:r>
          </w:p>
          <w:p w14:paraId="42B3217B" w14:textId="5439197E" w:rsidR="00512633" w:rsidRPr="009619A3" w:rsidRDefault="00512633" w:rsidP="000E3954">
            <w:pPr>
              <w:pStyle w:val="ListParagraph"/>
              <w:numPr>
                <w:ilvl w:val="0"/>
                <w:numId w:val="33"/>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Time lag between investment in productive assets and generation of incomes</w:t>
            </w:r>
          </w:p>
          <w:p w14:paraId="2D93DE1A" w14:textId="1CBC516E" w:rsidR="00512633" w:rsidRPr="009619A3" w:rsidRDefault="00512633" w:rsidP="000E3954">
            <w:pPr>
              <w:pStyle w:val="ListParagraph"/>
              <w:numPr>
                <w:ilvl w:val="0"/>
                <w:numId w:val="33"/>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 xml:space="preserve">High illiteracy levels, especially among women and </w:t>
            </w:r>
            <w:r w:rsidRPr="009619A3">
              <w:rPr>
                <w:rFonts w:ascii="Times New Roman" w:hAnsi="Times New Roman"/>
              </w:rPr>
              <w:lastRenderedPageBreak/>
              <w:t>girls</w:t>
            </w:r>
          </w:p>
          <w:p w14:paraId="7A6A4AE1" w14:textId="77777777" w:rsidR="00476189" w:rsidRPr="009619A3" w:rsidRDefault="00476189" w:rsidP="00476189">
            <w:p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AC7814A" w14:textId="51D627A3" w:rsidR="00476189" w:rsidRPr="009619A3" w:rsidRDefault="00476189" w:rsidP="00476189">
            <w:pPr>
              <w:spacing w:line="200" w:lineRule="exact"/>
              <w:ind w:left="373"/>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proofErr w:type="spellStart"/>
            <w:r w:rsidRPr="009619A3">
              <w:rPr>
                <w:rFonts w:ascii="Times New Roman" w:hAnsi="Times New Roman"/>
                <w:b/>
              </w:rPr>
              <w:t>Assmptions</w:t>
            </w:r>
            <w:proofErr w:type="spellEnd"/>
          </w:p>
          <w:p w14:paraId="7F8CB576" w14:textId="77777777" w:rsidR="00476189" w:rsidRPr="009619A3" w:rsidRDefault="00476189" w:rsidP="000E3954">
            <w:pPr>
              <w:pStyle w:val="ListParagraph"/>
              <w:numPr>
                <w:ilvl w:val="0"/>
                <w:numId w:val="36"/>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 xml:space="preserve">APC’s work with </w:t>
            </w:r>
            <w:proofErr w:type="spellStart"/>
            <w:r w:rsidRPr="009619A3">
              <w:rPr>
                <w:rFonts w:ascii="Times New Roman" w:hAnsi="Times New Roman"/>
              </w:rPr>
              <w:t>Maseno</w:t>
            </w:r>
            <w:proofErr w:type="spellEnd"/>
            <w:r w:rsidRPr="009619A3">
              <w:rPr>
                <w:rFonts w:ascii="Times New Roman" w:hAnsi="Times New Roman"/>
              </w:rPr>
              <w:t xml:space="preserve"> University will leverage its position in encouraging support for the project</w:t>
            </w:r>
          </w:p>
          <w:p w14:paraId="67284DB2" w14:textId="4B332EFC" w:rsidR="00512633" w:rsidRPr="009619A3" w:rsidRDefault="00512633" w:rsidP="000E3954">
            <w:pPr>
              <w:pStyle w:val="ListParagraph"/>
              <w:numPr>
                <w:ilvl w:val="0"/>
                <w:numId w:val="36"/>
              </w:numPr>
              <w:spacing w:line="20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619A3">
              <w:rPr>
                <w:rFonts w:ascii="Times New Roman" w:hAnsi="Times New Roman"/>
              </w:rPr>
              <w:t xml:space="preserve">APC will be able to get supporters that are keen on ensuring the innovative approach of dealing with barriers of poverty to education with action that </w:t>
            </w:r>
            <w:r w:rsidR="00F57AEB" w:rsidRPr="009619A3">
              <w:rPr>
                <w:rFonts w:ascii="Times New Roman" w:hAnsi="Times New Roman"/>
              </w:rPr>
              <w:t>simultaneously contributes to climate action by the poor, takes shape</w:t>
            </w:r>
          </w:p>
        </w:tc>
      </w:tr>
      <w:tr w:rsidR="00512633" w14:paraId="098F8374" w14:textId="77777777" w:rsidTr="00AC0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85DFE06" w14:textId="0A07F9B0" w:rsidR="00E2440A" w:rsidRPr="009619A3" w:rsidRDefault="00597790" w:rsidP="00855351">
            <w:pPr>
              <w:spacing w:line="200" w:lineRule="exact"/>
              <w:rPr>
                <w:rFonts w:ascii="Times New Roman" w:hAnsi="Times New Roman"/>
                <w:b w:val="0"/>
              </w:rPr>
            </w:pPr>
            <w:r>
              <w:rPr>
                <w:rFonts w:ascii="Times New Roman" w:hAnsi="Times New Roman"/>
                <w:b w:val="0"/>
              </w:rPr>
              <w:lastRenderedPageBreak/>
              <w:t>Thrusts</w:t>
            </w:r>
            <w:r w:rsidR="00855351" w:rsidRPr="009619A3">
              <w:rPr>
                <w:rFonts w:ascii="Times New Roman" w:hAnsi="Times New Roman"/>
                <w:b w:val="0"/>
              </w:rPr>
              <w:t>:</w:t>
            </w:r>
          </w:p>
          <w:p w14:paraId="5C27B234" w14:textId="37ABAAFE" w:rsidR="00E2440A" w:rsidRDefault="00AC0724" w:rsidP="00855351">
            <w:pPr>
              <w:pStyle w:val="ListParagraph"/>
              <w:numPr>
                <w:ilvl w:val="1"/>
                <w:numId w:val="24"/>
              </w:numPr>
              <w:spacing w:line="200" w:lineRule="exact"/>
              <w:ind w:left="426" w:hanging="426"/>
              <w:rPr>
                <w:rFonts w:ascii="Times New Roman" w:hAnsi="Times New Roman"/>
                <w:b w:val="0"/>
              </w:rPr>
            </w:pPr>
            <w:r>
              <w:rPr>
                <w:rFonts w:ascii="Times New Roman" w:hAnsi="Times New Roman"/>
                <w:b w:val="0"/>
              </w:rPr>
              <w:t>Productive assets - 195 women, 105 men</w:t>
            </w:r>
          </w:p>
          <w:p w14:paraId="63C5CCBD" w14:textId="52F2CD94" w:rsidR="00597790" w:rsidRDefault="009C5940" w:rsidP="00855351">
            <w:pPr>
              <w:pStyle w:val="ListParagraph"/>
              <w:numPr>
                <w:ilvl w:val="1"/>
                <w:numId w:val="24"/>
              </w:numPr>
              <w:spacing w:line="200" w:lineRule="exact"/>
              <w:ind w:left="426" w:hanging="426"/>
              <w:rPr>
                <w:rFonts w:ascii="Times New Roman" w:hAnsi="Times New Roman"/>
                <w:b w:val="0"/>
              </w:rPr>
            </w:pPr>
            <w:r>
              <w:rPr>
                <w:rFonts w:ascii="Times New Roman" w:hAnsi="Times New Roman"/>
                <w:b w:val="0"/>
              </w:rPr>
              <w:t>Entrepreneur</w:t>
            </w:r>
            <w:r w:rsidR="00AC0724">
              <w:rPr>
                <w:rFonts w:ascii="Times New Roman" w:hAnsi="Times New Roman"/>
                <w:b w:val="0"/>
              </w:rPr>
              <w:t>ship training - 195 women, 105 men</w:t>
            </w:r>
          </w:p>
          <w:p w14:paraId="43510FA9" w14:textId="082B8958" w:rsidR="009C5940" w:rsidRDefault="009C5940" w:rsidP="00855351">
            <w:pPr>
              <w:pStyle w:val="ListParagraph"/>
              <w:numPr>
                <w:ilvl w:val="1"/>
                <w:numId w:val="24"/>
              </w:numPr>
              <w:spacing w:line="200" w:lineRule="exact"/>
              <w:ind w:left="426" w:hanging="426"/>
              <w:rPr>
                <w:rFonts w:ascii="Times New Roman" w:hAnsi="Times New Roman"/>
                <w:b w:val="0"/>
              </w:rPr>
            </w:pPr>
            <w:r>
              <w:rPr>
                <w:rFonts w:ascii="Times New Roman" w:hAnsi="Times New Roman"/>
                <w:b w:val="0"/>
              </w:rPr>
              <w:t>Consum</w:t>
            </w:r>
            <w:r w:rsidR="00AC0724">
              <w:rPr>
                <w:rFonts w:ascii="Times New Roman" w:hAnsi="Times New Roman"/>
                <w:b w:val="0"/>
              </w:rPr>
              <w:t>ption support - 195 women, 105 men</w:t>
            </w:r>
          </w:p>
          <w:p w14:paraId="1855089E" w14:textId="5D305B74" w:rsidR="009C5940" w:rsidRDefault="009C5940" w:rsidP="00855351">
            <w:pPr>
              <w:pStyle w:val="ListParagraph"/>
              <w:numPr>
                <w:ilvl w:val="1"/>
                <w:numId w:val="24"/>
              </w:numPr>
              <w:spacing w:line="200" w:lineRule="exact"/>
              <w:ind w:left="426" w:hanging="426"/>
              <w:rPr>
                <w:rFonts w:ascii="Times New Roman" w:hAnsi="Times New Roman"/>
                <w:b w:val="0"/>
              </w:rPr>
            </w:pPr>
            <w:r>
              <w:rPr>
                <w:rFonts w:ascii="Times New Roman" w:hAnsi="Times New Roman"/>
                <w:b w:val="0"/>
              </w:rPr>
              <w:t>Coachi</w:t>
            </w:r>
            <w:r w:rsidR="00AC0724">
              <w:rPr>
                <w:rFonts w:ascii="Times New Roman" w:hAnsi="Times New Roman"/>
                <w:b w:val="0"/>
              </w:rPr>
              <w:t>ng/mentorship - 195 women &amp; 105 men</w:t>
            </w:r>
          </w:p>
          <w:p w14:paraId="3A4C1AD6" w14:textId="1A2F1BA3" w:rsidR="009C5940" w:rsidRDefault="009C5940" w:rsidP="00855351">
            <w:pPr>
              <w:pStyle w:val="ListParagraph"/>
              <w:numPr>
                <w:ilvl w:val="1"/>
                <w:numId w:val="24"/>
              </w:numPr>
              <w:spacing w:line="200" w:lineRule="exact"/>
              <w:ind w:left="426" w:hanging="426"/>
              <w:rPr>
                <w:rFonts w:ascii="Times New Roman" w:hAnsi="Times New Roman"/>
                <w:b w:val="0"/>
              </w:rPr>
            </w:pPr>
            <w:r>
              <w:rPr>
                <w:rFonts w:ascii="Times New Roman" w:hAnsi="Times New Roman"/>
                <w:b w:val="0"/>
              </w:rPr>
              <w:t xml:space="preserve">Savings promotion among </w:t>
            </w:r>
            <w:r w:rsidR="00AC0724">
              <w:rPr>
                <w:rFonts w:ascii="Times New Roman" w:hAnsi="Times New Roman"/>
                <w:b w:val="0"/>
              </w:rPr>
              <w:t>195 women, 105 men</w:t>
            </w:r>
          </w:p>
          <w:p w14:paraId="012C0497" w14:textId="7F452992" w:rsidR="009C5940" w:rsidRDefault="00AC0724" w:rsidP="00855351">
            <w:pPr>
              <w:pStyle w:val="ListParagraph"/>
              <w:numPr>
                <w:ilvl w:val="1"/>
                <w:numId w:val="24"/>
              </w:numPr>
              <w:spacing w:line="200" w:lineRule="exact"/>
              <w:ind w:left="426" w:hanging="426"/>
              <w:rPr>
                <w:rFonts w:ascii="Times New Roman" w:hAnsi="Times New Roman"/>
                <w:b w:val="0"/>
              </w:rPr>
            </w:pPr>
            <w:r>
              <w:rPr>
                <w:rFonts w:ascii="Times New Roman" w:hAnsi="Times New Roman"/>
                <w:b w:val="0"/>
              </w:rPr>
              <w:t>Health empowerment – 195 women, 105 men</w:t>
            </w:r>
          </w:p>
          <w:p w14:paraId="026E55E2" w14:textId="5DE172F3" w:rsidR="004E03D7" w:rsidRPr="009619A3" w:rsidRDefault="004E03D7" w:rsidP="00855351">
            <w:pPr>
              <w:pStyle w:val="ListParagraph"/>
              <w:numPr>
                <w:ilvl w:val="1"/>
                <w:numId w:val="24"/>
              </w:numPr>
              <w:spacing w:line="200" w:lineRule="exact"/>
              <w:ind w:left="426" w:hanging="426"/>
              <w:rPr>
                <w:rFonts w:ascii="Times New Roman" w:hAnsi="Times New Roman"/>
                <w:b w:val="0"/>
              </w:rPr>
            </w:pPr>
            <w:proofErr w:type="spellStart"/>
            <w:r>
              <w:rPr>
                <w:rFonts w:ascii="Times New Roman" w:hAnsi="Times New Roman"/>
                <w:b w:val="0"/>
              </w:rPr>
              <w:t>Adminstrative</w:t>
            </w:r>
            <w:proofErr w:type="spellEnd"/>
            <w:r>
              <w:rPr>
                <w:rFonts w:ascii="Times New Roman" w:hAnsi="Times New Roman"/>
                <w:b w:val="0"/>
              </w:rPr>
              <w:t xml:space="preserve"> support, digitisation, monitoring, and support supervision</w:t>
            </w:r>
          </w:p>
          <w:p w14:paraId="79EC50D3" w14:textId="77777777" w:rsidR="00E2440A" w:rsidRPr="009619A3" w:rsidRDefault="00E2440A" w:rsidP="00855351">
            <w:pPr>
              <w:pStyle w:val="ListParagraph"/>
              <w:spacing w:line="200" w:lineRule="exact"/>
              <w:ind w:left="426"/>
              <w:rPr>
                <w:rFonts w:ascii="Times New Roman" w:hAnsi="Times New Roman"/>
                <w:b w:val="0"/>
              </w:rPr>
            </w:pPr>
          </w:p>
          <w:p w14:paraId="79E5A9FB" w14:textId="6DED2FC4" w:rsidR="00E2440A" w:rsidRPr="009619A3" w:rsidRDefault="00AC0724" w:rsidP="00855351">
            <w:pPr>
              <w:pStyle w:val="ListParagraph"/>
              <w:numPr>
                <w:ilvl w:val="1"/>
                <w:numId w:val="25"/>
              </w:numPr>
              <w:spacing w:line="200" w:lineRule="exact"/>
              <w:ind w:left="426" w:hanging="426"/>
              <w:rPr>
                <w:rFonts w:ascii="Times New Roman" w:hAnsi="Times New Roman"/>
                <w:b w:val="0"/>
              </w:rPr>
            </w:pPr>
            <w:r>
              <w:rPr>
                <w:rFonts w:ascii="Times New Roman" w:hAnsi="Times New Roman"/>
                <w:b w:val="0"/>
              </w:rPr>
              <w:t>Productive assets – 195 girls, 105 boys</w:t>
            </w:r>
          </w:p>
          <w:p w14:paraId="7AB701C9" w14:textId="054F6FB6" w:rsidR="00E2440A" w:rsidRPr="009619A3" w:rsidRDefault="00AC0724" w:rsidP="00855351">
            <w:pPr>
              <w:pStyle w:val="ListParagraph"/>
              <w:numPr>
                <w:ilvl w:val="1"/>
                <w:numId w:val="25"/>
              </w:numPr>
              <w:spacing w:line="200" w:lineRule="exact"/>
              <w:ind w:left="426" w:hanging="426"/>
              <w:rPr>
                <w:rFonts w:ascii="Times New Roman" w:hAnsi="Times New Roman"/>
                <w:b w:val="0"/>
              </w:rPr>
            </w:pPr>
            <w:proofErr w:type="spellStart"/>
            <w:r>
              <w:rPr>
                <w:rFonts w:ascii="Times New Roman" w:hAnsi="Times New Roman"/>
                <w:b w:val="0"/>
              </w:rPr>
              <w:t>Lifeskills</w:t>
            </w:r>
            <w:proofErr w:type="spellEnd"/>
            <w:r>
              <w:rPr>
                <w:rFonts w:ascii="Times New Roman" w:hAnsi="Times New Roman"/>
                <w:b w:val="0"/>
              </w:rPr>
              <w:t xml:space="preserve"> training – 195 girls, 105 boys</w:t>
            </w:r>
          </w:p>
          <w:p w14:paraId="59CC62BF" w14:textId="14489D15" w:rsidR="00E2440A" w:rsidRPr="009619A3" w:rsidRDefault="00AC0724" w:rsidP="00855351">
            <w:pPr>
              <w:pStyle w:val="ListParagraph"/>
              <w:numPr>
                <w:ilvl w:val="1"/>
                <w:numId w:val="25"/>
              </w:numPr>
              <w:spacing w:line="200" w:lineRule="exact"/>
              <w:ind w:left="426" w:hanging="426"/>
              <w:rPr>
                <w:rFonts w:ascii="Times New Roman" w:hAnsi="Times New Roman"/>
                <w:b w:val="0"/>
              </w:rPr>
            </w:pPr>
            <w:r>
              <w:rPr>
                <w:rFonts w:ascii="Times New Roman" w:hAnsi="Times New Roman"/>
                <w:b w:val="0"/>
              </w:rPr>
              <w:t>Consumption support – 195 girls, 105 boys</w:t>
            </w:r>
          </w:p>
          <w:p w14:paraId="10F5146E" w14:textId="7861DB8B" w:rsidR="00E2440A" w:rsidRDefault="00AC0724" w:rsidP="00855351">
            <w:pPr>
              <w:pStyle w:val="ListParagraph"/>
              <w:numPr>
                <w:ilvl w:val="1"/>
                <w:numId w:val="25"/>
              </w:numPr>
              <w:spacing w:line="200" w:lineRule="exact"/>
              <w:ind w:left="426" w:hanging="426"/>
              <w:rPr>
                <w:rFonts w:ascii="Times New Roman" w:hAnsi="Times New Roman"/>
                <w:b w:val="0"/>
              </w:rPr>
            </w:pPr>
            <w:r>
              <w:rPr>
                <w:rFonts w:ascii="Times New Roman" w:hAnsi="Times New Roman"/>
                <w:b w:val="0"/>
              </w:rPr>
              <w:t>Savings promotion for 195 girls, 105 boys</w:t>
            </w:r>
          </w:p>
          <w:p w14:paraId="23316A01" w14:textId="77777777" w:rsidR="00AC0724" w:rsidRDefault="00AC0724" w:rsidP="00855351">
            <w:pPr>
              <w:pStyle w:val="ListParagraph"/>
              <w:numPr>
                <w:ilvl w:val="1"/>
                <w:numId w:val="25"/>
              </w:numPr>
              <w:spacing w:line="200" w:lineRule="exact"/>
              <w:ind w:left="426" w:hanging="426"/>
              <w:rPr>
                <w:rFonts w:ascii="Times New Roman" w:hAnsi="Times New Roman"/>
                <w:b w:val="0"/>
              </w:rPr>
            </w:pPr>
            <w:r>
              <w:rPr>
                <w:rFonts w:ascii="Times New Roman" w:hAnsi="Times New Roman"/>
                <w:b w:val="0"/>
              </w:rPr>
              <w:t>Coaching/</w:t>
            </w:r>
            <w:proofErr w:type="spellStart"/>
            <w:r>
              <w:rPr>
                <w:rFonts w:ascii="Times New Roman" w:hAnsi="Times New Roman"/>
                <w:b w:val="0"/>
              </w:rPr>
              <w:t>mentoriship</w:t>
            </w:r>
            <w:proofErr w:type="spellEnd"/>
            <w:r>
              <w:rPr>
                <w:rFonts w:ascii="Times New Roman" w:hAnsi="Times New Roman"/>
                <w:b w:val="0"/>
              </w:rPr>
              <w:t xml:space="preserve"> to 195 girls, 105 boys</w:t>
            </w:r>
          </w:p>
          <w:p w14:paraId="39BC5B51" w14:textId="6F027E72" w:rsidR="00AC0724" w:rsidRDefault="00AC0724" w:rsidP="00855351">
            <w:pPr>
              <w:pStyle w:val="ListParagraph"/>
              <w:numPr>
                <w:ilvl w:val="1"/>
                <w:numId w:val="25"/>
              </w:numPr>
              <w:spacing w:line="200" w:lineRule="exact"/>
              <w:ind w:left="426" w:hanging="426"/>
              <w:rPr>
                <w:rFonts w:ascii="Times New Roman" w:hAnsi="Times New Roman"/>
                <w:b w:val="0"/>
              </w:rPr>
            </w:pPr>
            <w:r>
              <w:rPr>
                <w:rFonts w:ascii="Times New Roman" w:hAnsi="Times New Roman"/>
                <w:b w:val="0"/>
              </w:rPr>
              <w:t>Health empowerment to 195 girls, 105 boys</w:t>
            </w:r>
          </w:p>
          <w:p w14:paraId="2A5334CE" w14:textId="67AE84B6" w:rsidR="0003053A" w:rsidRPr="009619A3" w:rsidRDefault="0003053A" w:rsidP="00855351">
            <w:pPr>
              <w:pStyle w:val="ListParagraph"/>
              <w:numPr>
                <w:ilvl w:val="1"/>
                <w:numId w:val="25"/>
              </w:numPr>
              <w:spacing w:line="200" w:lineRule="exact"/>
              <w:ind w:left="426" w:hanging="426"/>
              <w:rPr>
                <w:rFonts w:ascii="Times New Roman" w:hAnsi="Times New Roman"/>
                <w:b w:val="0"/>
              </w:rPr>
            </w:pPr>
            <w:proofErr w:type="spellStart"/>
            <w:r>
              <w:rPr>
                <w:rFonts w:ascii="Times New Roman" w:hAnsi="Times New Roman"/>
                <w:b w:val="0"/>
              </w:rPr>
              <w:t>Adminstrative</w:t>
            </w:r>
            <w:proofErr w:type="spellEnd"/>
            <w:r>
              <w:rPr>
                <w:rFonts w:ascii="Times New Roman" w:hAnsi="Times New Roman"/>
                <w:b w:val="0"/>
              </w:rPr>
              <w:t xml:space="preserve"> support, digitisation, monitoring, and support supervision</w:t>
            </w:r>
          </w:p>
          <w:p w14:paraId="251D67AD" w14:textId="77777777" w:rsidR="00E2440A" w:rsidRPr="009619A3" w:rsidRDefault="00E2440A" w:rsidP="00855351">
            <w:pPr>
              <w:pStyle w:val="ListParagraph"/>
              <w:spacing w:line="200" w:lineRule="exact"/>
              <w:ind w:left="426"/>
              <w:rPr>
                <w:rFonts w:ascii="Times New Roman" w:hAnsi="Times New Roman"/>
                <w:b w:val="0"/>
              </w:rPr>
            </w:pPr>
          </w:p>
          <w:p w14:paraId="741F15A9" w14:textId="1AAF1D06" w:rsidR="00E2440A" w:rsidRPr="009619A3" w:rsidRDefault="00D41B26" w:rsidP="00855351">
            <w:pPr>
              <w:pStyle w:val="ListParagraph"/>
              <w:numPr>
                <w:ilvl w:val="1"/>
                <w:numId w:val="23"/>
              </w:numPr>
              <w:spacing w:line="200" w:lineRule="exact"/>
              <w:ind w:left="426" w:hanging="426"/>
              <w:rPr>
                <w:rFonts w:ascii="Times New Roman" w:hAnsi="Times New Roman"/>
                <w:b w:val="0"/>
              </w:rPr>
            </w:pPr>
            <w:r>
              <w:rPr>
                <w:rFonts w:ascii="Times New Roman" w:hAnsi="Times New Roman"/>
                <w:b w:val="0"/>
              </w:rPr>
              <w:t xml:space="preserve">Capital for enterprise </w:t>
            </w:r>
            <w:r w:rsidR="00B96C08">
              <w:rPr>
                <w:rFonts w:ascii="Times New Roman" w:hAnsi="Times New Roman"/>
                <w:b w:val="0"/>
              </w:rPr>
              <w:t>– APC, 6 LLAs</w:t>
            </w:r>
          </w:p>
          <w:p w14:paraId="678EEEFA" w14:textId="5F1158F3" w:rsidR="00E2440A" w:rsidRPr="009619A3" w:rsidRDefault="00B96C08" w:rsidP="00855351">
            <w:pPr>
              <w:pStyle w:val="ListParagraph"/>
              <w:numPr>
                <w:ilvl w:val="1"/>
                <w:numId w:val="23"/>
              </w:numPr>
              <w:spacing w:line="200" w:lineRule="exact"/>
              <w:ind w:left="426" w:hanging="426"/>
              <w:rPr>
                <w:rFonts w:ascii="Times New Roman" w:hAnsi="Times New Roman"/>
                <w:b w:val="0"/>
              </w:rPr>
            </w:pPr>
            <w:r>
              <w:rPr>
                <w:rFonts w:ascii="Times New Roman" w:hAnsi="Times New Roman"/>
                <w:b w:val="0"/>
              </w:rPr>
              <w:t>Training in bio-briquetting – 6LLAs</w:t>
            </w:r>
          </w:p>
          <w:p w14:paraId="7172CCF3" w14:textId="451DAA2C" w:rsidR="00E2440A" w:rsidRPr="009619A3" w:rsidRDefault="00B96C08" w:rsidP="00855351">
            <w:pPr>
              <w:pStyle w:val="ListParagraph"/>
              <w:numPr>
                <w:ilvl w:val="1"/>
                <w:numId w:val="23"/>
              </w:numPr>
              <w:spacing w:line="200" w:lineRule="exact"/>
              <w:ind w:left="426" w:hanging="426"/>
              <w:rPr>
                <w:rFonts w:ascii="Times New Roman" w:hAnsi="Times New Roman"/>
                <w:b w:val="0"/>
              </w:rPr>
            </w:pPr>
            <w:r>
              <w:rPr>
                <w:rFonts w:ascii="Times New Roman" w:hAnsi="Times New Roman"/>
                <w:b w:val="0"/>
              </w:rPr>
              <w:t>Coaching/mentorship – 6 LLAs</w:t>
            </w:r>
          </w:p>
          <w:p w14:paraId="5C2D8834" w14:textId="1254967D" w:rsidR="00E2440A" w:rsidRPr="009619A3" w:rsidRDefault="00B96C08" w:rsidP="00855351">
            <w:pPr>
              <w:pStyle w:val="ListParagraph"/>
              <w:numPr>
                <w:ilvl w:val="1"/>
                <w:numId w:val="23"/>
              </w:numPr>
              <w:spacing w:line="200" w:lineRule="exact"/>
              <w:ind w:left="426" w:hanging="426"/>
              <w:rPr>
                <w:rFonts w:ascii="Times New Roman" w:hAnsi="Times New Roman"/>
                <w:b w:val="0"/>
              </w:rPr>
            </w:pPr>
            <w:r>
              <w:rPr>
                <w:rFonts w:ascii="Times New Roman" w:hAnsi="Times New Roman"/>
                <w:b w:val="0"/>
              </w:rPr>
              <w:t>Savings promotion – 6 LLAs</w:t>
            </w:r>
          </w:p>
          <w:p w14:paraId="59CF0B88" w14:textId="55CB03BA" w:rsidR="00E2440A" w:rsidRPr="009619A3" w:rsidRDefault="00B96C08" w:rsidP="00855351">
            <w:pPr>
              <w:pStyle w:val="ListParagraph"/>
              <w:numPr>
                <w:ilvl w:val="1"/>
                <w:numId w:val="23"/>
              </w:numPr>
              <w:spacing w:line="200" w:lineRule="exact"/>
              <w:ind w:left="426" w:hanging="426"/>
              <w:rPr>
                <w:rFonts w:ascii="Times New Roman" w:hAnsi="Times New Roman"/>
                <w:b w:val="0"/>
              </w:rPr>
            </w:pPr>
            <w:r>
              <w:rPr>
                <w:rFonts w:ascii="Times New Roman" w:hAnsi="Times New Roman"/>
                <w:b w:val="0"/>
              </w:rPr>
              <w:t>Upgrades to educational facilities</w:t>
            </w:r>
          </w:p>
          <w:p w14:paraId="76FA35AC" w14:textId="01D15D1A" w:rsidR="00E2440A" w:rsidRPr="009619A3" w:rsidRDefault="00B96C08" w:rsidP="00855351">
            <w:pPr>
              <w:pStyle w:val="ListParagraph"/>
              <w:numPr>
                <w:ilvl w:val="1"/>
                <w:numId w:val="23"/>
              </w:numPr>
              <w:spacing w:line="200" w:lineRule="exact"/>
              <w:ind w:left="426" w:hanging="426"/>
              <w:rPr>
                <w:rFonts w:ascii="Times New Roman" w:hAnsi="Times New Roman"/>
                <w:b w:val="0"/>
              </w:rPr>
            </w:pPr>
            <w:r>
              <w:rPr>
                <w:rFonts w:ascii="Times New Roman" w:hAnsi="Times New Roman"/>
                <w:b w:val="0"/>
              </w:rPr>
              <w:t>Community-based climate action</w:t>
            </w:r>
          </w:p>
          <w:p w14:paraId="0BDCC702" w14:textId="293A2B48" w:rsidR="00A270FF" w:rsidRPr="009619A3" w:rsidRDefault="0003053A" w:rsidP="00855351">
            <w:pPr>
              <w:pStyle w:val="ListParagraph"/>
              <w:numPr>
                <w:ilvl w:val="1"/>
                <w:numId w:val="23"/>
              </w:numPr>
              <w:spacing w:line="200" w:lineRule="exact"/>
              <w:ind w:left="426" w:hanging="426"/>
              <w:rPr>
                <w:rFonts w:ascii="Times New Roman" w:hAnsi="Times New Roman"/>
                <w:b w:val="0"/>
              </w:rPr>
            </w:pPr>
            <w:proofErr w:type="spellStart"/>
            <w:r>
              <w:rPr>
                <w:rFonts w:ascii="Times New Roman" w:hAnsi="Times New Roman"/>
                <w:b w:val="0"/>
              </w:rPr>
              <w:t>Adminstrative</w:t>
            </w:r>
            <w:proofErr w:type="spellEnd"/>
            <w:r>
              <w:rPr>
                <w:rFonts w:ascii="Times New Roman" w:hAnsi="Times New Roman"/>
                <w:b w:val="0"/>
              </w:rPr>
              <w:t xml:space="preserve"> support</w:t>
            </w:r>
            <w:r w:rsidR="00B96C08">
              <w:rPr>
                <w:rFonts w:ascii="Times New Roman" w:hAnsi="Times New Roman"/>
                <w:b w:val="0"/>
              </w:rPr>
              <w:t>, digitisation, monitoring, and support supervision</w:t>
            </w:r>
          </w:p>
        </w:tc>
        <w:tc>
          <w:tcPr>
            <w:tcW w:w="3118" w:type="dxa"/>
          </w:tcPr>
          <w:p w14:paraId="67ECAE7B" w14:textId="2F570AF0" w:rsidR="00DB5AC9" w:rsidRPr="009619A3" w:rsidRDefault="00FA2EF5" w:rsidP="00DB5AC9">
            <w:pPr>
              <w:spacing w:line="2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b/>
              </w:rPr>
              <w:t>Inputs:</w:t>
            </w:r>
          </w:p>
          <w:p w14:paraId="2662A954" w14:textId="77777777" w:rsidR="00DB5C43" w:rsidRDefault="00DB5C43" w:rsidP="00DB5AC9">
            <w:pPr>
              <w:spacing w:line="2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29DEAE7" w14:textId="5F498166" w:rsidR="00826430" w:rsidRPr="00826430" w:rsidRDefault="00826430" w:rsidP="00DB5AC9">
            <w:pPr>
              <w:spacing w:line="2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(See Separate Budget)</w:t>
            </w:r>
          </w:p>
          <w:p w14:paraId="35EE173D" w14:textId="77777777" w:rsidR="00742B95" w:rsidRPr="009619A3" w:rsidRDefault="00742B95" w:rsidP="00742B95">
            <w:pPr>
              <w:pStyle w:val="ListParagraph"/>
              <w:spacing w:line="200" w:lineRule="exact"/>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u w:val="single"/>
              </w:rPr>
            </w:pPr>
          </w:p>
          <w:p w14:paraId="6F309157" w14:textId="77777777" w:rsidR="00DB5C43" w:rsidRPr="009619A3" w:rsidRDefault="00DB5C43" w:rsidP="00742B95">
            <w:pPr>
              <w:pStyle w:val="ListParagraph"/>
              <w:spacing w:line="200" w:lineRule="exact"/>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u w:val="single"/>
              </w:rPr>
            </w:pPr>
          </w:p>
          <w:p w14:paraId="2FCB56F8" w14:textId="71003F78" w:rsidR="007A0C1D" w:rsidRPr="009619A3" w:rsidRDefault="007A0C1D" w:rsidP="00DB5C43">
            <w:pPr>
              <w:pStyle w:val="ListParagraph"/>
              <w:spacing w:line="200" w:lineRule="exact"/>
              <w:ind w:left="360" w:firstLine="99"/>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u w:val="single"/>
              </w:rPr>
            </w:pPr>
          </w:p>
        </w:tc>
        <w:tc>
          <w:tcPr>
            <w:tcW w:w="1701" w:type="dxa"/>
          </w:tcPr>
          <w:p w14:paraId="26D42743" w14:textId="77777777" w:rsidR="00A270FF" w:rsidRPr="009619A3" w:rsidRDefault="00A270FF" w:rsidP="00F84846">
            <w:pPr>
              <w:spacing w:line="20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3686" w:type="dxa"/>
          </w:tcPr>
          <w:p w14:paraId="33F2ED8A" w14:textId="049FF34B" w:rsidR="00A270FF" w:rsidRPr="009619A3" w:rsidRDefault="00A270FF" w:rsidP="00F84846">
            <w:pPr>
              <w:spacing w:line="20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bl>
    <w:p w14:paraId="683F5557" w14:textId="77777777" w:rsidR="00766084" w:rsidRDefault="00766084" w:rsidP="00A146EC">
      <w:pPr>
        <w:spacing w:after="0" w:line="360" w:lineRule="auto"/>
        <w:jc w:val="both"/>
        <w:rPr>
          <w:rFonts w:ascii="Times New Roman" w:hAnsi="Times New Roman"/>
          <w:sz w:val="24"/>
          <w:szCs w:val="24"/>
        </w:rPr>
        <w:sectPr w:rsidR="00766084" w:rsidSect="009F7F07">
          <w:pgSz w:w="16840" w:h="11900" w:orient="landscape"/>
          <w:pgMar w:top="1712" w:right="993" w:bottom="1712" w:left="1440" w:header="720" w:footer="720" w:gutter="0"/>
          <w:pgNumType w:start="13"/>
          <w:cols w:space="720"/>
          <w:titlePg/>
          <w:docGrid w:linePitch="360"/>
        </w:sectPr>
      </w:pPr>
    </w:p>
    <w:p w14:paraId="059C1B7D" w14:textId="2367A74B" w:rsidR="00C1677B" w:rsidRDefault="00C1677B" w:rsidP="008D1240">
      <w:pPr>
        <w:spacing w:line="240" w:lineRule="exact"/>
        <w:rPr>
          <w:rFonts w:ascii="Times New Roman" w:hAnsi="Times New Roman"/>
          <w:b/>
          <w:sz w:val="28"/>
          <w:szCs w:val="28"/>
        </w:rPr>
      </w:pPr>
      <w:r w:rsidRPr="008B267E">
        <w:rPr>
          <w:noProof/>
          <w:lang w:val="en-US"/>
        </w:rPr>
        <w:lastRenderedPageBreak/>
        <mc:AlternateContent>
          <mc:Choice Requires="wps">
            <w:drawing>
              <wp:anchor distT="0" distB="0" distL="114300" distR="114300" simplePos="0" relativeHeight="252737536" behindDoc="0" locked="0" layoutInCell="1" allowOverlap="1" wp14:anchorId="4DA2C4C8" wp14:editId="46B49C2E">
                <wp:simplePos x="0" y="0"/>
                <wp:positionH relativeFrom="column">
                  <wp:posOffset>-139700</wp:posOffset>
                </wp:positionH>
                <wp:positionV relativeFrom="paragraph">
                  <wp:posOffset>-342900</wp:posOffset>
                </wp:positionV>
                <wp:extent cx="5834380" cy="8915400"/>
                <wp:effectExtent l="0" t="0" r="0" b="0"/>
                <wp:wrapThrough wrapText="bothSides">
                  <wp:wrapPolygon edited="0">
                    <wp:start x="94" y="0"/>
                    <wp:lineTo x="94" y="21538"/>
                    <wp:lineTo x="21440" y="21538"/>
                    <wp:lineTo x="21440" y="0"/>
                    <wp:lineTo x="94" y="0"/>
                  </wp:wrapPolygon>
                </wp:wrapThrough>
                <wp:docPr id="1104" name="Text Box 1104"/>
                <wp:cNvGraphicFramePr/>
                <a:graphic xmlns:a="http://schemas.openxmlformats.org/drawingml/2006/main">
                  <a:graphicData uri="http://schemas.microsoft.com/office/word/2010/wordprocessingShape">
                    <wps:wsp>
                      <wps:cNvSpPr txBox="1"/>
                      <wps:spPr>
                        <a:xfrm>
                          <a:off x="0" y="0"/>
                          <a:ext cx="5834380" cy="8915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3E4A1" w14:textId="77777777" w:rsidR="002E5195" w:rsidRDefault="002E5195" w:rsidP="00C1677B">
                            <w:pPr>
                              <w:spacing w:after="0" w:line="360" w:lineRule="auto"/>
                              <w:jc w:val="both"/>
                              <w:rPr>
                                <w:rFonts w:ascii="Times New Roman" w:hAnsi="Times New Roman"/>
                                <w:b/>
                                <w:color w:val="E2751D" w:themeColor="accent3"/>
                              </w:rPr>
                            </w:pPr>
                          </w:p>
                          <w:p w14:paraId="7956DF7C" w14:textId="45D1E59C" w:rsidR="002E5195" w:rsidRDefault="002E5195" w:rsidP="00C1677B">
                            <w:pPr>
                              <w:spacing w:after="0" w:line="360" w:lineRule="auto"/>
                              <w:jc w:val="both"/>
                              <w:rPr>
                                <w:rFonts w:ascii="Times New Roman" w:hAnsi="Times New Roman"/>
                                <w:b/>
                                <w:color w:val="E2751D" w:themeColor="accent3"/>
                              </w:rPr>
                            </w:pPr>
                            <w:r w:rsidRPr="008B267E">
                              <w:rPr>
                                <w:rFonts w:ascii="Times New Roman" w:hAnsi="Times New Roman"/>
                                <w:b/>
                                <w:color w:val="E2751D" w:themeColor="accent3"/>
                              </w:rPr>
                              <w:t xml:space="preserve">THE </w:t>
                            </w:r>
                            <w:r>
                              <w:rPr>
                                <w:rFonts w:ascii="Times New Roman" w:hAnsi="Times New Roman"/>
                                <w:b/>
                                <w:color w:val="E2751D" w:themeColor="accent3"/>
                              </w:rPr>
                              <w:t>PRODUCT</w:t>
                            </w:r>
                          </w:p>
                          <w:p w14:paraId="2DF7CD02" w14:textId="77777777" w:rsidR="007E7736" w:rsidRDefault="007E7736" w:rsidP="00C1677B">
                            <w:pPr>
                              <w:spacing w:after="0" w:line="360" w:lineRule="auto"/>
                              <w:jc w:val="both"/>
                              <w:rPr>
                                <w:rFonts w:ascii="Times New Roman" w:hAnsi="Times New Roman"/>
                                <w:b/>
                                <w:color w:val="E2751D" w:themeColor="accent3"/>
                              </w:rPr>
                            </w:pPr>
                          </w:p>
                          <w:p w14:paraId="205F5F2C" w14:textId="77777777" w:rsidR="002E5195" w:rsidRDefault="002E5195" w:rsidP="00C1677B">
                            <w:pPr>
                              <w:spacing w:after="0" w:line="360" w:lineRule="auto"/>
                              <w:jc w:val="both"/>
                              <w:rPr>
                                <w:rFonts w:ascii="Times New Roman" w:hAnsi="Times New Roman"/>
                                <w:b/>
                                <w:color w:val="E2751D" w:themeColor="accent3"/>
                              </w:rPr>
                            </w:pPr>
                          </w:p>
                          <w:p w14:paraId="05D2CC37" w14:textId="090FCC1E" w:rsidR="002E5195" w:rsidRDefault="007E7736" w:rsidP="00C1677B">
                            <w:pPr>
                              <w:spacing w:after="0" w:line="360" w:lineRule="auto"/>
                              <w:jc w:val="both"/>
                              <w:rPr>
                                <w:rFonts w:ascii="Times New Roman" w:hAnsi="Times New Roman"/>
                                <w:b/>
                                <w:color w:val="E2751D" w:themeColor="accent3"/>
                              </w:rPr>
                            </w:pPr>
                            <w:r>
                              <w:rPr>
                                <w:rFonts w:ascii="Times New Roman" w:hAnsi="Times New Roman"/>
                                <w:b/>
                                <w:noProof/>
                                <w:color w:val="E2751D" w:themeColor="accent3"/>
                                <w:lang w:val="en-US"/>
                              </w:rPr>
                              <w:drawing>
                                <wp:inline distT="0" distB="0" distL="0" distR="0" wp14:anchorId="3366B256" wp14:editId="1244D14A">
                                  <wp:extent cx="5568950" cy="36880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8950" cy="3688080"/>
                                          </a:xfrm>
                                          <a:prstGeom prst="rect">
                                            <a:avLst/>
                                          </a:prstGeom>
                                          <a:noFill/>
                                          <a:ln>
                                            <a:noFill/>
                                          </a:ln>
                                        </pic:spPr>
                                      </pic:pic>
                                    </a:graphicData>
                                  </a:graphic>
                                </wp:inline>
                              </w:drawing>
                            </w:r>
                          </w:p>
                          <w:p w14:paraId="44C78841" w14:textId="5CD84D17" w:rsidR="002E5195" w:rsidRDefault="002E5195" w:rsidP="00C1677B">
                            <w:pPr>
                              <w:spacing w:after="0" w:line="240" w:lineRule="auto"/>
                              <w:jc w:val="both"/>
                              <w:rPr>
                                <w:rFonts w:ascii="Times New Roman" w:hAnsi="Times New Roman"/>
                                <w:b/>
                                <w:color w:val="E2751D" w:themeColor="accent3"/>
                              </w:rPr>
                            </w:pPr>
                          </w:p>
                          <w:p w14:paraId="35C2F5A3" w14:textId="77777777" w:rsidR="002E5195" w:rsidRDefault="002E5195" w:rsidP="00C1677B">
                            <w:pPr>
                              <w:spacing w:after="0" w:line="240" w:lineRule="auto"/>
                              <w:jc w:val="both"/>
                              <w:rPr>
                                <w:rFonts w:ascii="Times New Roman" w:hAnsi="Times New Roman"/>
                                <w:b/>
                                <w:color w:val="E2751D" w:themeColor="accent3"/>
                              </w:rPr>
                            </w:pPr>
                          </w:p>
                          <w:p w14:paraId="135647C2" w14:textId="783ADDDA" w:rsidR="002E5195" w:rsidRDefault="007E7736" w:rsidP="00C1677B">
                            <w:pPr>
                              <w:spacing w:after="0" w:line="240" w:lineRule="auto"/>
                              <w:jc w:val="both"/>
                              <w:rPr>
                                <w:rFonts w:ascii="Times New Roman" w:hAnsi="Times New Roman"/>
                                <w:b/>
                                <w:color w:val="E2751D" w:themeColor="accent3"/>
                              </w:rPr>
                            </w:pPr>
                            <w:r>
                              <w:rPr>
                                <w:rFonts w:ascii="Times New Roman" w:hAnsi="Times New Roman"/>
                                <w:b/>
                                <w:noProof/>
                                <w:color w:val="E2751D" w:themeColor="accent3"/>
                                <w:lang w:val="en-US"/>
                              </w:rPr>
                              <w:drawing>
                                <wp:inline distT="0" distB="0" distL="0" distR="0" wp14:anchorId="69CB111C" wp14:editId="0255BB1C">
                                  <wp:extent cx="5568950" cy="40614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8950" cy="4061460"/>
                                          </a:xfrm>
                                          <a:prstGeom prst="rect">
                                            <a:avLst/>
                                          </a:prstGeom>
                                          <a:noFill/>
                                          <a:ln>
                                            <a:noFill/>
                                          </a:ln>
                                        </pic:spPr>
                                      </pic:pic>
                                    </a:graphicData>
                                  </a:graphic>
                                </wp:inline>
                              </w:drawing>
                            </w:r>
                          </w:p>
                          <w:p w14:paraId="700B9346" w14:textId="77777777" w:rsidR="002E5195" w:rsidRDefault="002E5195" w:rsidP="00C1677B">
                            <w:pPr>
                              <w:spacing w:after="0" w:line="240" w:lineRule="auto"/>
                              <w:jc w:val="both"/>
                              <w:rPr>
                                <w:rFonts w:ascii="Times New Roman" w:hAnsi="Times New Roman"/>
                                <w:b/>
                                <w:color w:val="E2751D" w:themeColor="accent3"/>
                              </w:rPr>
                            </w:pPr>
                          </w:p>
                          <w:p w14:paraId="071DCE4F" w14:textId="77777777" w:rsidR="002E5195" w:rsidRDefault="002E5195" w:rsidP="00C1677B">
                            <w:pPr>
                              <w:spacing w:after="0" w:line="240" w:lineRule="auto"/>
                              <w:jc w:val="both"/>
                              <w:rPr>
                                <w:rFonts w:ascii="Times New Roman" w:hAnsi="Times New Roman"/>
                                <w:b/>
                                <w:color w:val="E2751D" w:themeColor="accent3"/>
                              </w:rPr>
                            </w:pPr>
                          </w:p>
                          <w:p w14:paraId="1D805324" w14:textId="4BB26E18" w:rsidR="002E5195" w:rsidRDefault="002E5195" w:rsidP="00C1677B">
                            <w:pPr>
                              <w:spacing w:after="0" w:line="240" w:lineRule="auto"/>
                              <w:jc w:val="both"/>
                              <w:rPr>
                                <w:rFonts w:ascii="Times New Roman" w:hAnsi="Times New Roman"/>
                                <w:b/>
                                <w:color w:val="E2751D" w:themeColor="accent3"/>
                              </w:rPr>
                            </w:pPr>
                          </w:p>
                          <w:p w14:paraId="5F024685" w14:textId="77777777" w:rsidR="002E5195" w:rsidRDefault="002E5195" w:rsidP="00C1677B">
                            <w:pPr>
                              <w:spacing w:after="0" w:line="240" w:lineRule="auto"/>
                              <w:jc w:val="both"/>
                              <w:rPr>
                                <w:rFonts w:ascii="Times New Roman" w:hAnsi="Times New Roman"/>
                                <w:b/>
                                <w:color w:val="E2751D" w:themeColor="accent3"/>
                              </w:rPr>
                            </w:pPr>
                          </w:p>
                          <w:p w14:paraId="7558503A" w14:textId="1537DED3" w:rsidR="002E5195" w:rsidRDefault="002E5195" w:rsidP="00C1677B">
                            <w:pPr>
                              <w:spacing w:after="0" w:line="240" w:lineRule="auto"/>
                              <w:jc w:val="both"/>
                              <w:rPr>
                                <w:rFonts w:ascii="Times New Roman" w:hAnsi="Times New Roman"/>
                                <w:b/>
                                <w:color w:val="E2751D" w:themeColor="accent3"/>
                              </w:rPr>
                            </w:pPr>
                          </w:p>
                          <w:p w14:paraId="580AC132" w14:textId="77777777" w:rsidR="002E5195" w:rsidRDefault="002E5195" w:rsidP="00C1677B">
                            <w:pPr>
                              <w:spacing w:after="0" w:line="240" w:lineRule="auto"/>
                              <w:jc w:val="both"/>
                              <w:rPr>
                                <w:rFonts w:ascii="Times New Roman" w:hAnsi="Times New Roman"/>
                                <w:b/>
                                <w:color w:val="E2751D" w:themeColor="accent3"/>
                              </w:rPr>
                            </w:pPr>
                          </w:p>
                          <w:p w14:paraId="2FA28C62" w14:textId="77777777" w:rsidR="002E5195" w:rsidRDefault="002E5195" w:rsidP="00C1677B">
                            <w:pPr>
                              <w:spacing w:after="0" w:line="240" w:lineRule="auto"/>
                              <w:jc w:val="both"/>
                              <w:rPr>
                                <w:rFonts w:ascii="Times New Roman" w:hAnsi="Times New Roman"/>
                                <w:b/>
                                <w:color w:val="E2751D" w:themeColor="accent3"/>
                              </w:rPr>
                            </w:pPr>
                          </w:p>
                          <w:p w14:paraId="3AF62689" w14:textId="77777777" w:rsidR="002E5195" w:rsidRDefault="002E5195" w:rsidP="00C1677B">
                            <w:pPr>
                              <w:spacing w:after="0" w:line="240" w:lineRule="auto"/>
                              <w:jc w:val="both"/>
                              <w:rPr>
                                <w:rFonts w:ascii="Times New Roman" w:hAnsi="Times New Roman"/>
                                <w:color w:val="FFFFFF" w:themeColor="background1"/>
                              </w:rPr>
                            </w:pPr>
                          </w:p>
                          <w:p w14:paraId="10311B4E" w14:textId="77777777" w:rsidR="002E5195" w:rsidRPr="00293AAE" w:rsidRDefault="002E5195" w:rsidP="00C1677B">
                            <w:pPr>
                              <w:spacing w:after="0" w:line="240" w:lineRule="auto"/>
                              <w:jc w:val="both"/>
                              <w:rPr>
                                <w:rFonts w:ascii="Times New Roman" w:hAnsi="Times New Roman"/>
                                <w:color w:val="FFFFFF" w:themeColor="background1"/>
                              </w:rPr>
                            </w:pPr>
                          </w:p>
                          <w:p w14:paraId="46F14864" w14:textId="77777777" w:rsidR="002E5195" w:rsidRPr="008B267E" w:rsidRDefault="002E5195" w:rsidP="00C1677B">
                            <w:pPr>
                              <w:spacing w:after="0" w:line="240" w:lineRule="auto"/>
                              <w:jc w:val="both"/>
                              <w:rPr>
                                <w:rFonts w:ascii="Times New Roman" w:hAnsi="Times New Roman"/>
                                <w:color w:val="FFFFFF" w:themeColor="background1"/>
                              </w:rPr>
                            </w:pPr>
                          </w:p>
                          <w:p w14:paraId="317301FD" w14:textId="1181B551" w:rsidR="002E5195" w:rsidRPr="00E718ED" w:rsidRDefault="002E5195" w:rsidP="00C1677B">
                            <w:pPr>
                              <w:spacing w:after="0" w:line="240" w:lineRule="auto"/>
                              <w:jc w:val="both"/>
                              <w:rPr>
                                <w:rFonts w:ascii="Times New Roman" w:hAnsi="Times New Roman"/>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4" o:spid="_x0000_s1065" type="#_x0000_t202" style="position:absolute;margin-left:-10.95pt;margin-top:-26.95pt;width:459.4pt;height:702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6NydYCAAAd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" filled="f" stroked="f">
                <v:textbox>
                  <w:txbxContent>
                    <w:p w14:paraId="7DB3E4A1" w14:textId="77777777" w:rsidR="002E5195" w:rsidRDefault="002E5195" w:rsidP="00C1677B">
                      <w:pPr>
                        <w:spacing w:after="0" w:line="360" w:lineRule="auto"/>
                        <w:jc w:val="both"/>
                        <w:rPr>
                          <w:rFonts w:ascii="Times New Roman" w:hAnsi="Times New Roman"/>
                          <w:b/>
                          <w:color w:val="E2751D" w:themeColor="accent3"/>
                        </w:rPr>
                      </w:pPr>
                    </w:p>
                    <w:p w14:paraId="7956DF7C" w14:textId="45D1E59C" w:rsidR="002E5195" w:rsidRDefault="002E5195" w:rsidP="00C1677B">
                      <w:pPr>
                        <w:spacing w:after="0" w:line="360" w:lineRule="auto"/>
                        <w:jc w:val="both"/>
                        <w:rPr>
                          <w:rFonts w:ascii="Times New Roman" w:hAnsi="Times New Roman"/>
                          <w:b/>
                          <w:color w:val="E2751D" w:themeColor="accent3"/>
                        </w:rPr>
                      </w:pPr>
                      <w:r w:rsidRPr="008B267E">
                        <w:rPr>
                          <w:rFonts w:ascii="Times New Roman" w:hAnsi="Times New Roman"/>
                          <w:b/>
                          <w:color w:val="E2751D" w:themeColor="accent3"/>
                        </w:rPr>
                        <w:t xml:space="preserve">THE </w:t>
                      </w:r>
                      <w:r>
                        <w:rPr>
                          <w:rFonts w:ascii="Times New Roman" w:hAnsi="Times New Roman"/>
                          <w:b/>
                          <w:color w:val="E2751D" w:themeColor="accent3"/>
                        </w:rPr>
                        <w:t>PRODUCT</w:t>
                      </w:r>
                    </w:p>
                    <w:p w14:paraId="2DF7CD02" w14:textId="77777777" w:rsidR="007E7736" w:rsidRDefault="007E7736" w:rsidP="00C1677B">
                      <w:pPr>
                        <w:spacing w:after="0" w:line="360" w:lineRule="auto"/>
                        <w:jc w:val="both"/>
                        <w:rPr>
                          <w:rFonts w:ascii="Times New Roman" w:hAnsi="Times New Roman"/>
                          <w:b/>
                          <w:color w:val="E2751D" w:themeColor="accent3"/>
                        </w:rPr>
                      </w:pPr>
                    </w:p>
                    <w:p w14:paraId="205F5F2C" w14:textId="77777777" w:rsidR="002E5195" w:rsidRDefault="002E5195" w:rsidP="00C1677B">
                      <w:pPr>
                        <w:spacing w:after="0" w:line="360" w:lineRule="auto"/>
                        <w:jc w:val="both"/>
                        <w:rPr>
                          <w:rFonts w:ascii="Times New Roman" w:hAnsi="Times New Roman"/>
                          <w:b/>
                          <w:color w:val="E2751D" w:themeColor="accent3"/>
                        </w:rPr>
                      </w:pPr>
                    </w:p>
                    <w:p w14:paraId="05D2CC37" w14:textId="090FCC1E" w:rsidR="002E5195" w:rsidRDefault="007E7736" w:rsidP="00C1677B">
                      <w:pPr>
                        <w:spacing w:after="0" w:line="360" w:lineRule="auto"/>
                        <w:jc w:val="both"/>
                        <w:rPr>
                          <w:rFonts w:ascii="Times New Roman" w:hAnsi="Times New Roman"/>
                          <w:b/>
                          <w:color w:val="E2751D" w:themeColor="accent3"/>
                        </w:rPr>
                      </w:pPr>
                      <w:r>
                        <w:rPr>
                          <w:rFonts w:ascii="Times New Roman" w:hAnsi="Times New Roman"/>
                          <w:b/>
                          <w:noProof/>
                          <w:color w:val="E2751D" w:themeColor="accent3"/>
                          <w:lang w:val="en-US"/>
                        </w:rPr>
                        <w:drawing>
                          <wp:inline distT="0" distB="0" distL="0" distR="0" wp14:anchorId="3366B256" wp14:editId="1244D14A">
                            <wp:extent cx="5568950" cy="36880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8950" cy="3688080"/>
                                    </a:xfrm>
                                    <a:prstGeom prst="rect">
                                      <a:avLst/>
                                    </a:prstGeom>
                                    <a:noFill/>
                                    <a:ln>
                                      <a:noFill/>
                                    </a:ln>
                                  </pic:spPr>
                                </pic:pic>
                              </a:graphicData>
                            </a:graphic>
                          </wp:inline>
                        </w:drawing>
                      </w:r>
                    </w:p>
                    <w:p w14:paraId="44C78841" w14:textId="5CD84D17" w:rsidR="002E5195" w:rsidRDefault="002E5195" w:rsidP="00C1677B">
                      <w:pPr>
                        <w:spacing w:after="0" w:line="240" w:lineRule="auto"/>
                        <w:jc w:val="both"/>
                        <w:rPr>
                          <w:rFonts w:ascii="Times New Roman" w:hAnsi="Times New Roman"/>
                          <w:b/>
                          <w:color w:val="E2751D" w:themeColor="accent3"/>
                        </w:rPr>
                      </w:pPr>
                    </w:p>
                    <w:p w14:paraId="35C2F5A3" w14:textId="77777777" w:rsidR="002E5195" w:rsidRDefault="002E5195" w:rsidP="00C1677B">
                      <w:pPr>
                        <w:spacing w:after="0" w:line="240" w:lineRule="auto"/>
                        <w:jc w:val="both"/>
                        <w:rPr>
                          <w:rFonts w:ascii="Times New Roman" w:hAnsi="Times New Roman"/>
                          <w:b/>
                          <w:color w:val="E2751D" w:themeColor="accent3"/>
                        </w:rPr>
                      </w:pPr>
                    </w:p>
                    <w:p w14:paraId="135647C2" w14:textId="783ADDDA" w:rsidR="002E5195" w:rsidRDefault="007E7736" w:rsidP="00C1677B">
                      <w:pPr>
                        <w:spacing w:after="0" w:line="240" w:lineRule="auto"/>
                        <w:jc w:val="both"/>
                        <w:rPr>
                          <w:rFonts w:ascii="Times New Roman" w:hAnsi="Times New Roman"/>
                          <w:b/>
                          <w:color w:val="E2751D" w:themeColor="accent3"/>
                        </w:rPr>
                      </w:pPr>
                      <w:r>
                        <w:rPr>
                          <w:rFonts w:ascii="Times New Roman" w:hAnsi="Times New Roman"/>
                          <w:b/>
                          <w:noProof/>
                          <w:color w:val="E2751D" w:themeColor="accent3"/>
                          <w:lang w:val="en-US"/>
                        </w:rPr>
                        <w:drawing>
                          <wp:inline distT="0" distB="0" distL="0" distR="0" wp14:anchorId="69CB111C" wp14:editId="0255BB1C">
                            <wp:extent cx="5568950" cy="40614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8950" cy="4061460"/>
                                    </a:xfrm>
                                    <a:prstGeom prst="rect">
                                      <a:avLst/>
                                    </a:prstGeom>
                                    <a:noFill/>
                                    <a:ln>
                                      <a:noFill/>
                                    </a:ln>
                                  </pic:spPr>
                                </pic:pic>
                              </a:graphicData>
                            </a:graphic>
                          </wp:inline>
                        </w:drawing>
                      </w:r>
                    </w:p>
                    <w:p w14:paraId="700B9346" w14:textId="77777777" w:rsidR="002E5195" w:rsidRDefault="002E5195" w:rsidP="00C1677B">
                      <w:pPr>
                        <w:spacing w:after="0" w:line="240" w:lineRule="auto"/>
                        <w:jc w:val="both"/>
                        <w:rPr>
                          <w:rFonts w:ascii="Times New Roman" w:hAnsi="Times New Roman"/>
                          <w:b/>
                          <w:color w:val="E2751D" w:themeColor="accent3"/>
                        </w:rPr>
                      </w:pPr>
                    </w:p>
                    <w:p w14:paraId="071DCE4F" w14:textId="77777777" w:rsidR="002E5195" w:rsidRDefault="002E5195" w:rsidP="00C1677B">
                      <w:pPr>
                        <w:spacing w:after="0" w:line="240" w:lineRule="auto"/>
                        <w:jc w:val="both"/>
                        <w:rPr>
                          <w:rFonts w:ascii="Times New Roman" w:hAnsi="Times New Roman"/>
                          <w:b/>
                          <w:color w:val="E2751D" w:themeColor="accent3"/>
                        </w:rPr>
                      </w:pPr>
                    </w:p>
                    <w:p w14:paraId="1D805324" w14:textId="4BB26E18" w:rsidR="002E5195" w:rsidRDefault="002E5195" w:rsidP="00C1677B">
                      <w:pPr>
                        <w:spacing w:after="0" w:line="240" w:lineRule="auto"/>
                        <w:jc w:val="both"/>
                        <w:rPr>
                          <w:rFonts w:ascii="Times New Roman" w:hAnsi="Times New Roman"/>
                          <w:b/>
                          <w:color w:val="E2751D" w:themeColor="accent3"/>
                        </w:rPr>
                      </w:pPr>
                    </w:p>
                    <w:p w14:paraId="5F024685" w14:textId="77777777" w:rsidR="002E5195" w:rsidRDefault="002E5195" w:rsidP="00C1677B">
                      <w:pPr>
                        <w:spacing w:after="0" w:line="240" w:lineRule="auto"/>
                        <w:jc w:val="both"/>
                        <w:rPr>
                          <w:rFonts w:ascii="Times New Roman" w:hAnsi="Times New Roman"/>
                          <w:b/>
                          <w:color w:val="E2751D" w:themeColor="accent3"/>
                        </w:rPr>
                      </w:pPr>
                    </w:p>
                    <w:p w14:paraId="7558503A" w14:textId="1537DED3" w:rsidR="002E5195" w:rsidRDefault="002E5195" w:rsidP="00C1677B">
                      <w:pPr>
                        <w:spacing w:after="0" w:line="240" w:lineRule="auto"/>
                        <w:jc w:val="both"/>
                        <w:rPr>
                          <w:rFonts w:ascii="Times New Roman" w:hAnsi="Times New Roman"/>
                          <w:b/>
                          <w:color w:val="E2751D" w:themeColor="accent3"/>
                        </w:rPr>
                      </w:pPr>
                    </w:p>
                    <w:p w14:paraId="580AC132" w14:textId="77777777" w:rsidR="002E5195" w:rsidRDefault="002E5195" w:rsidP="00C1677B">
                      <w:pPr>
                        <w:spacing w:after="0" w:line="240" w:lineRule="auto"/>
                        <w:jc w:val="both"/>
                        <w:rPr>
                          <w:rFonts w:ascii="Times New Roman" w:hAnsi="Times New Roman"/>
                          <w:b/>
                          <w:color w:val="E2751D" w:themeColor="accent3"/>
                        </w:rPr>
                      </w:pPr>
                    </w:p>
                    <w:p w14:paraId="2FA28C62" w14:textId="77777777" w:rsidR="002E5195" w:rsidRDefault="002E5195" w:rsidP="00C1677B">
                      <w:pPr>
                        <w:spacing w:after="0" w:line="240" w:lineRule="auto"/>
                        <w:jc w:val="both"/>
                        <w:rPr>
                          <w:rFonts w:ascii="Times New Roman" w:hAnsi="Times New Roman"/>
                          <w:b/>
                          <w:color w:val="E2751D" w:themeColor="accent3"/>
                        </w:rPr>
                      </w:pPr>
                    </w:p>
                    <w:p w14:paraId="3AF62689" w14:textId="77777777" w:rsidR="002E5195" w:rsidRDefault="002E5195" w:rsidP="00C1677B">
                      <w:pPr>
                        <w:spacing w:after="0" w:line="240" w:lineRule="auto"/>
                        <w:jc w:val="both"/>
                        <w:rPr>
                          <w:rFonts w:ascii="Times New Roman" w:hAnsi="Times New Roman"/>
                          <w:color w:val="FFFFFF" w:themeColor="background1"/>
                        </w:rPr>
                      </w:pPr>
                    </w:p>
                    <w:p w14:paraId="10311B4E" w14:textId="77777777" w:rsidR="002E5195" w:rsidRPr="00293AAE" w:rsidRDefault="002E5195" w:rsidP="00C1677B">
                      <w:pPr>
                        <w:spacing w:after="0" w:line="240" w:lineRule="auto"/>
                        <w:jc w:val="both"/>
                        <w:rPr>
                          <w:rFonts w:ascii="Times New Roman" w:hAnsi="Times New Roman"/>
                          <w:color w:val="FFFFFF" w:themeColor="background1"/>
                        </w:rPr>
                      </w:pPr>
                    </w:p>
                    <w:p w14:paraId="46F14864" w14:textId="77777777" w:rsidR="002E5195" w:rsidRPr="008B267E" w:rsidRDefault="002E5195" w:rsidP="00C1677B">
                      <w:pPr>
                        <w:spacing w:after="0" w:line="240" w:lineRule="auto"/>
                        <w:jc w:val="both"/>
                        <w:rPr>
                          <w:rFonts w:ascii="Times New Roman" w:hAnsi="Times New Roman"/>
                          <w:color w:val="FFFFFF" w:themeColor="background1"/>
                        </w:rPr>
                      </w:pPr>
                    </w:p>
                    <w:p w14:paraId="317301FD" w14:textId="1181B551" w:rsidR="002E5195" w:rsidRPr="00E718ED" w:rsidRDefault="002E5195" w:rsidP="00C1677B">
                      <w:pPr>
                        <w:spacing w:after="0" w:line="240" w:lineRule="auto"/>
                        <w:jc w:val="both"/>
                        <w:rPr>
                          <w:rFonts w:ascii="Times New Roman" w:hAnsi="Times New Roman"/>
                          <w:color w:val="FFFFFF" w:themeColor="background1"/>
                          <w:sz w:val="24"/>
                          <w:szCs w:val="24"/>
                        </w:rPr>
                      </w:pPr>
                    </w:p>
                  </w:txbxContent>
                </v:textbox>
                <w10:wrap type="through"/>
              </v:shape>
            </w:pict>
          </mc:Fallback>
        </mc:AlternateContent>
      </w:r>
      <w:r w:rsidRPr="008B267E">
        <w:rPr>
          <w:rFonts w:ascii="Times New Roman" w:hAnsi="Times New Roman"/>
          <w:noProof/>
          <w:lang w:val="en-US"/>
        </w:rPr>
        <mc:AlternateContent>
          <mc:Choice Requires="wps">
            <w:drawing>
              <wp:anchor distT="0" distB="0" distL="114300" distR="114300" simplePos="0" relativeHeight="252735488" behindDoc="0" locked="0" layoutInCell="1" allowOverlap="1" wp14:anchorId="45A399B8" wp14:editId="780B60CF">
                <wp:simplePos x="0" y="0"/>
                <wp:positionH relativeFrom="column">
                  <wp:posOffset>-1087120</wp:posOffset>
                </wp:positionH>
                <wp:positionV relativeFrom="paragraph">
                  <wp:posOffset>-914400</wp:posOffset>
                </wp:positionV>
                <wp:extent cx="7613650" cy="10744200"/>
                <wp:effectExtent l="0" t="0" r="6350" b="0"/>
                <wp:wrapThrough wrapText="bothSides">
                  <wp:wrapPolygon edited="0">
                    <wp:start x="0" y="0"/>
                    <wp:lineTo x="0" y="21549"/>
                    <wp:lineTo x="21546" y="21549"/>
                    <wp:lineTo x="21546" y="0"/>
                    <wp:lineTo x="0" y="0"/>
                  </wp:wrapPolygon>
                </wp:wrapThrough>
                <wp:docPr id="1103" name="Text Box 1103"/>
                <wp:cNvGraphicFramePr/>
                <a:graphic xmlns:a="http://schemas.openxmlformats.org/drawingml/2006/main">
                  <a:graphicData uri="http://schemas.microsoft.com/office/word/2010/wordprocessingShape">
                    <wps:wsp>
                      <wps:cNvSpPr txBox="1"/>
                      <wps:spPr>
                        <a:xfrm>
                          <a:off x="0" y="0"/>
                          <a:ext cx="7613650" cy="10744200"/>
                        </a:xfrm>
                        <a:prstGeom prst="rect">
                          <a:avLst/>
                        </a:prstGeom>
                        <a:solidFill>
                          <a:schemeClr val="tx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C49F6C" w14:textId="77777777" w:rsidR="002E5195" w:rsidRDefault="002E5195" w:rsidP="00C16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3" o:spid="_x0000_s1066" type="#_x0000_t202" style="position:absolute;margin-left:-85.55pt;margin-top:-71.95pt;width:599.5pt;height:846pt;z-index:25273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" fillcolor="#09213b [3215]" stroked="f">
                <v:textbox>
                  <w:txbxContent>
                    <w:p w14:paraId="76C49F6C" w14:textId="77777777" w:rsidR="002E5195" w:rsidRDefault="002E5195" w:rsidP="00C1677B"/>
                  </w:txbxContent>
                </v:textbox>
                <w10:wrap type="through"/>
              </v:shape>
            </w:pict>
          </mc:Fallback>
        </mc:AlternateContent>
      </w:r>
    </w:p>
    <w:p w14:paraId="7198A22E" w14:textId="7474431C" w:rsidR="00AC74A0" w:rsidRPr="008D1240" w:rsidRDefault="00AC74A0" w:rsidP="008D1240">
      <w:pPr>
        <w:spacing w:line="240" w:lineRule="exact"/>
        <w:rPr>
          <w:rFonts w:ascii="Avenir Book" w:hAnsi="Avenir Book"/>
          <w:sz w:val="24"/>
          <w:szCs w:val="24"/>
        </w:rPr>
      </w:pPr>
      <w:r>
        <w:rPr>
          <w:rFonts w:ascii="Times New Roman" w:hAnsi="Times New Roman"/>
          <w:b/>
          <w:sz w:val="28"/>
          <w:szCs w:val="28"/>
        </w:rPr>
        <w:lastRenderedPageBreak/>
        <w:t>REFERENCES</w:t>
      </w:r>
    </w:p>
    <w:sdt>
      <w:sdtPr>
        <w:rPr>
          <w:rFonts w:ascii="Calibri" w:eastAsia="Calibri" w:hAnsi="Calibri"/>
          <w:b w:val="0"/>
          <w:bCs w:val="0"/>
          <w:sz w:val="22"/>
          <w:szCs w:val="22"/>
          <w:lang w:val="en-GB"/>
        </w:rPr>
        <w:id w:val="621265559"/>
        <w:docPartObj>
          <w:docPartGallery w:val="Bibliographies"/>
          <w:docPartUnique/>
        </w:docPartObj>
      </w:sdtPr>
      <w:sdtEndPr/>
      <w:sdtContent>
        <w:p w14:paraId="7C976DF1" w14:textId="3E79257D" w:rsidR="00EA6673" w:rsidRPr="008D1240" w:rsidRDefault="00EA6673" w:rsidP="00EA6673">
          <w:pPr>
            <w:pStyle w:val="Heading1"/>
            <w:rPr>
              <w:sz w:val="22"/>
              <w:szCs w:val="22"/>
            </w:rPr>
          </w:pPr>
        </w:p>
        <w:p w14:paraId="24F2826C" w14:textId="158C68C8" w:rsidR="00294E4B" w:rsidRPr="00294E4B" w:rsidRDefault="00294E4B" w:rsidP="00294E4B">
          <w:pPr>
            <w:rPr>
              <w:rFonts w:ascii="Times New Roman" w:eastAsia="Times New Roman" w:hAnsi="Times New Roman"/>
            </w:rPr>
          </w:pPr>
          <w:r w:rsidRPr="00294E4B">
            <w:rPr>
              <w:rFonts w:ascii="Times New Roman" w:hAnsi="Times New Roman"/>
              <w:noProof/>
            </w:rPr>
            <w:t xml:space="preserve">Aga Khan University (2016). The Kenya Youth Survey 2016. </w:t>
          </w:r>
          <w:r w:rsidRPr="00294E4B">
            <w:rPr>
              <w:rFonts w:ascii="Times New Roman" w:hAnsi="Times New Roman"/>
              <w:i/>
              <w:iCs/>
              <w:noProof/>
            </w:rPr>
            <w:t xml:space="preserve">The East Africa Institute - </w:t>
          </w:r>
          <w:hyperlink r:id="rId28" w:history="1">
            <w:r w:rsidRPr="00294E4B">
              <w:rPr>
                <w:rStyle w:val="Hyperlink"/>
                <w:rFonts w:ascii="Times New Roman" w:eastAsia="Times New Roman" w:hAnsi="Times New Roman"/>
              </w:rPr>
              <w:t>https://www.aku.edu/eai/Pages/kenya.aspx</w:t>
            </w:r>
          </w:hyperlink>
          <w:r>
            <w:rPr>
              <w:rFonts w:ascii="Times New Roman" w:eastAsia="Times New Roman" w:hAnsi="Times New Roman"/>
            </w:rPr>
            <w:t xml:space="preserve"> (Date of Use: 27 September 2019).</w:t>
          </w:r>
        </w:p>
        <w:p w14:paraId="06ED8692" w14:textId="785940F1" w:rsidR="00EA6673" w:rsidRPr="008D1240" w:rsidRDefault="00EA6673" w:rsidP="00EA6673">
          <w:pPr>
            <w:pStyle w:val="Bibliography"/>
            <w:rPr>
              <w:rFonts w:ascii="Times New Roman" w:hAnsi="Times New Roman"/>
              <w:noProof/>
              <w:sz w:val="22"/>
              <w:szCs w:val="22"/>
            </w:rPr>
          </w:pPr>
          <w:r w:rsidRPr="008D1240">
            <w:rPr>
              <w:rFonts w:ascii="Times New Roman" w:hAnsi="Times New Roman"/>
              <w:noProof/>
              <w:sz w:val="22"/>
              <w:szCs w:val="22"/>
            </w:rPr>
            <w:t xml:space="preserve">Bock, G., Zmud, R., Kim, Y., &amp; Lee, J. (2005). Behavioural Intention Formation in Knowledge Sharing: Examining the Roles of Extrinsic Motivators, Social-Psuchological Forces, and Organizational Climate. </w:t>
          </w:r>
          <w:r w:rsidRPr="008D1240">
            <w:rPr>
              <w:rFonts w:ascii="Times New Roman" w:hAnsi="Times New Roman"/>
              <w:i/>
              <w:iCs/>
              <w:noProof/>
              <w:sz w:val="22"/>
              <w:szCs w:val="22"/>
            </w:rPr>
            <w:t>Management Information Systems (MIS) Quarterly</w:t>
          </w:r>
          <w:r w:rsidRPr="008D1240">
            <w:rPr>
              <w:rFonts w:ascii="Times New Roman" w:hAnsi="Times New Roman"/>
              <w:noProof/>
              <w:sz w:val="22"/>
              <w:szCs w:val="22"/>
            </w:rPr>
            <w:t xml:space="preserve"> </w:t>
          </w:r>
          <w:r w:rsidRPr="008D1240">
            <w:rPr>
              <w:rFonts w:ascii="Times New Roman" w:hAnsi="Times New Roman"/>
              <w:i/>
              <w:iCs/>
              <w:noProof/>
              <w:sz w:val="22"/>
              <w:szCs w:val="22"/>
            </w:rPr>
            <w:t>, 29</w:t>
          </w:r>
          <w:r w:rsidRPr="008D1240">
            <w:rPr>
              <w:rFonts w:ascii="Times New Roman" w:hAnsi="Times New Roman"/>
              <w:noProof/>
              <w:sz w:val="22"/>
              <w:szCs w:val="22"/>
            </w:rPr>
            <w:t xml:space="preserve"> (1).</w:t>
          </w:r>
        </w:p>
        <w:p w14:paraId="73FB5FFB" w14:textId="77777777" w:rsidR="00EA6673" w:rsidRPr="008D1240" w:rsidRDefault="00EA6673" w:rsidP="00EA6673">
          <w:pPr>
            <w:pStyle w:val="Bibliography"/>
            <w:rPr>
              <w:rFonts w:ascii="Times New Roman" w:hAnsi="Times New Roman"/>
              <w:noProof/>
              <w:sz w:val="22"/>
              <w:szCs w:val="22"/>
            </w:rPr>
          </w:pPr>
          <w:r w:rsidRPr="008D1240">
            <w:rPr>
              <w:rFonts w:ascii="Times New Roman" w:hAnsi="Times New Roman"/>
              <w:noProof/>
              <w:sz w:val="22"/>
              <w:szCs w:val="22"/>
            </w:rPr>
            <w:t xml:space="preserve">CapitalNews. (2015, March 26). </w:t>
          </w:r>
          <w:r w:rsidRPr="008D1240">
            <w:rPr>
              <w:rFonts w:ascii="Times New Roman" w:hAnsi="Times New Roman"/>
              <w:i/>
              <w:iCs/>
              <w:noProof/>
              <w:sz w:val="22"/>
              <w:szCs w:val="22"/>
            </w:rPr>
            <w:t>Study: Kenya loses 5.6 million trees daily</w:t>
          </w:r>
          <w:r w:rsidRPr="008D1240">
            <w:rPr>
              <w:rFonts w:ascii="Times New Roman" w:hAnsi="Times New Roman"/>
              <w:noProof/>
              <w:sz w:val="22"/>
              <w:szCs w:val="22"/>
            </w:rPr>
            <w:t>. Retrieved April 15, 2018, from http://www.capitalfm.co.ke: http://www.capitalfm.co.ke/news/2015/03/study-kenya-loses-5-6-million-trees-daily/</w:t>
          </w:r>
        </w:p>
        <w:p w14:paraId="296278C3" w14:textId="77777777" w:rsidR="00EA6673" w:rsidRPr="008D1240" w:rsidRDefault="00EA6673" w:rsidP="00EA6673">
          <w:pPr>
            <w:pStyle w:val="Bibliography"/>
            <w:rPr>
              <w:rFonts w:ascii="Times New Roman" w:hAnsi="Times New Roman"/>
              <w:noProof/>
              <w:sz w:val="22"/>
              <w:szCs w:val="22"/>
            </w:rPr>
          </w:pPr>
          <w:r w:rsidRPr="008D1240">
            <w:rPr>
              <w:rFonts w:ascii="Times New Roman" w:hAnsi="Times New Roman"/>
              <w:noProof/>
              <w:sz w:val="22"/>
              <w:szCs w:val="22"/>
            </w:rPr>
            <w:t xml:space="preserve">Cassie, S. (2015, July 17). </w:t>
          </w:r>
          <w:r w:rsidRPr="008D1240">
            <w:rPr>
              <w:rFonts w:ascii="Times New Roman" w:hAnsi="Times New Roman"/>
              <w:i/>
              <w:iCs/>
              <w:noProof/>
              <w:sz w:val="22"/>
              <w:szCs w:val="22"/>
            </w:rPr>
            <w:t>Debate: Should Scholarships by Given on Merit or Need?</w:t>
          </w:r>
          <w:r w:rsidRPr="008D1240">
            <w:rPr>
              <w:rFonts w:ascii="Times New Roman" w:hAnsi="Times New Roman"/>
              <w:noProof/>
              <w:sz w:val="22"/>
              <w:szCs w:val="22"/>
            </w:rPr>
            <w:t xml:space="preserve"> Retrieved June 29, 2019, from https://www.newtimes.co.rw: https://www.newtimes.co.rw/section/read/190686</w:t>
          </w:r>
        </w:p>
        <w:p w14:paraId="67E8582E" w14:textId="77777777" w:rsidR="00EA6673" w:rsidRPr="008D1240" w:rsidRDefault="00EA6673" w:rsidP="001C1111">
          <w:pPr>
            <w:pStyle w:val="Bibliography"/>
            <w:jc w:val="both"/>
            <w:rPr>
              <w:rFonts w:ascii="Times New Roman" w:hAnsi="Times New Roman"/>
              <w:noProof/>
              <w:sz w:val="22"/>
              <w:szCs w:val="22"/>
            </w:rPr>
          </w:pPr>
          <w:r w:rsidRPr="008D1240">
            <w:rPr>
              <w:rFonts w:ascii="Times New Roman" w:hAnsi="Times New Roman"/>
              <w:noProof/>
              <w:sz w:val="22"/>
              <w:szCs w:val="22"/>
            </w:rPr>
            <w:t xml:space="preserve">Center on Developing Child. (2007). </w:t>
          </w:r>
          <w:r w:rsidRPr="008D1240">
            <w:rPr>
              <w:rFonts w:ascii="Times New Roman" w:hAnsi="Times New Roman"/>
              <w:i/>
              <w:iCs/>
              <w:noProof/>
              <w:sz w:val="22"/>
              <w:szCs w:val="22"/>
            </w:rPr>
            <w:t>The Science of Early Childhood Development (InBrief).</w:t>
          </w:r>
          <w:r w:rsidRPr="008D1240">
            <w:rPr>
              <w:rFonts w:ascii="Times New Roman" w:hAnsi="Times New Roman"/>
              <w:noProof/>
              <w:sz w:val="22"/>
              <w:szCs w:val="22"/>
            </w:rPr>
            <w:t xml:space="preserve"> Retrieved June 27, 2019, from www.developingchild.harvard.edu: https://developingchild.harvard.edu/resources/inbrief-science-of-ecd/</w:t>
          </w:r>
        </w:p>
        <w:p w14:paraId="47F81C81" w14:textId="77777777" w:rsidR="00EA6673" w:rsidRPr="008D1240" w:rsidRDefault="00EA6673" w:rsidP="001C2B76">
          <w:pPr>
            <w:pStyle w:val="Bibliography"/>
            <w:rPr>
              <w:rFonts w:ascii="Times New Roman" w:hAnsi="Times New Roman"/>
              <w:noProof/>
              <w:sz w:val="22"/>
              <w:szCs w:val="22"/>
            </w:rPr>
          </w:pPr>
          <w:r w:rsidRPr="008D1240">
            <w:rPr>
              <w:rFonts w:ascii="Times New Roman" w:hAnsi="Times New Roman"/>
              <w:noProof/>
              <w:sz w:val="22"/>
              <w:szCs w:val="22"/>
            </w:rPr>
            <w:t xml:space="preserve">Coby, J. (2017, July 12). </w:t>
          </w:r>
          <w:r w:rsidRPr="008D1240">
            <w:rPr>
              <w:rFonts w:ascii="Times New Roman" w:hAnsi="Times New Roman"/>
              <w:i/>
              <w:iCs/>
              <w:noProof/>
              <w:sz w:val="22"/>
              <w:szCs w:val="22"/>
            </w:rPr>
            <w:t>Every Day 41,000 Girls are Married Under the Age of 18 - A New World Bank Report Shows the Economic Impact of this Problem.</w:t>
          </w:r>
          <w:r w:rsidRPr="008D1240">
            <w:rPr>
              <w:rFonts w:ascii="Times New Roman" w:hAnsi="Times New Roman"/>
              <w:noProof/>
              <w:sz w:val="22"/>
              <w:szCs w:val="22"/>
            </w:rPr>
            <w:t xml:space="preserve"> Retrieved June 30, 2019, from https://www.undispatch.com: https://www.undispatch.com/every-day-41000-girls-married-age-18-new-world-bank-report-shows-economic-impact-problem/</w:t>
          </w:r>
        </w:p>
        <w:p w14:paraId="70BEBF5D" w14:textId="77777777" w:rsidR="00EA6673" w:rsidRPr="008D1240" w:rsidRDefault="00EA6673" w:rsidP="001C2B76">
          <w:pPr>
            <w:pStyle w:val="Bibliography"/>
            <w:rPr>
              <w:rFonts w:ascii="Times New Roman" w:hAnsi="Times New Roman"/>
              <w:noProof/>
              <w:sz w:val="22"/>
              <w:szCs w:val="22"/>
            </w:rPr>
          </w:pPr>
          <w:r w:rsidRPr="008D1240">
            <w:rPr>
              <w:rFonts w:ascii="Times New Roman" w:hAnsi="Times New Roman"/>
              <w:noProof/>
              <w:sz w:val="22"/>
              <w:szCs w:val="22"/>
            </w:rPr>
            <w:t xml:space="preserve">David, E. (2018, September 17). </w:t>
          </w:r>
          <w:r w:rsidRPr="008D1240">
            <w:rPr>
              <w:rFonts w:ascii="Times New Roman" w:hAnsi="Times New Roman"/>
              <w:i/>
              <w:iCs/>
              <w:noProof/>
              <w:sz w:val="22"/>
              <w:szCs w:val="22"/>
            </w:rPr>
            <w:t>The Power of a Label: Merit Scholarships vs Needs-Based Scholarships.</w:t>
          </w:r>
          <w:r w:rsidRPr="008D1240">
            <w:rPr>
              <w:rFonts w:ascii="Times New Roman" w:hAnsi="Times New Roman"/>
              <w:noProof/>
              <w:sz w:val="22"/>
              <w:szCs w:val="22"/>
            </w:rPr>
            <w:t xml:space="preserve"> Retrieved June 29, 2019, from https://blogs.worldbank.org: https://blogs.worldbank.org/developmenttalk/power-label-merit-scholarships-vs-needs-based-scholarships</w:t>
          </w:r>
        </w:p>
        <w:p w14:paraId="36479260" w14:textId="77777777" w:rsidR="00EA6673" w:rsidRPr="008D1240" w:rsidRDefault="00EA6673" w:rsidP="001C2B76">
          <w:pPr>
            <w:pStyle w:val="Bibliography"/>
            <w:rPr>
              <w:rFonts w:ascii="Times New Roman" w:hAnsi="Times New Roman"/>
              <w:noProof/>
              <w:sz w:val="22"/>
              <w:szCs w:val="22"/>
            </w:rPr>
          </w:pPr>
          <w:r w:rsidRPr="008D1240">
            <w:rPr>
              <w:rFonts w:ascii="Times New Roman" w:hAnsi="Times New Roman"/>
              <w:noProof/>
              <w:sz w:val="22"/>
              <w:szCs w:val="22"/>
            </w:rPr>
            <w:t xml:space="preserve">Ferguson, H., Bovairds, S., &amp; Mueller, M. (2007). The Impact of Poverty on Educational Outcomes for Children. </w:t>
          </w:r>
          <w:r w:rsidRPr="008D1240">
            <w:rPr>
              <w:rFonts w:ascii="Times New Roman" w:hAnsi="Times New Roman"/>
              <w:i/>
              <w:iCs/>
              <w:noProof/>
              <w:sz w:val="22"/>
              <w:szCs w:val="22"/>
            </w:rPr>
            <w:t>Paediatrics Child Health</w:t>
          </w:r>
          <w:r w:rsidRPr="008D1240">
            <w:rPr>
              <w:rFonts w:ascii="Times New Roman" w:hAnsi="Times New Roman"/>
              <w:noProof/>
              <w:sz w:val="22"/>
              <w:szCs w:val="22"/>
            </w:rPr>
            <w:t xml:space="preserve"> </w:t>
          </w:r>
          <w:r w:rsidRPr="008D1240">
            <w:rPr>
              <w:rFonts w:ascii="Times New Roman" w:hAnsi="Times New Roman"/>
              <w:i/>
              <w:iCs/>
              <w:noProof/>
              <w:sz w:val="22"/>
              <w:szCs w:val="22"/>
            </w:rPr>
            <w:t>, 12</w:t>
          </w:r>
          <w:r w:rsidRPr="008D1240">
            <w:rPr>
              <w:rFonts w:ascii="Times New Roman" w:hAnsi="Times New Roman"/>
              <w:noProof/>
              <w:sz w:val="22"/>
              <w:szCs w:val="22"/>
            </w:rPr>
            <w:t xml:space="preserve"> (8), 701-706.</w:t>
          </w:r>
        </w:p>
        <w:p w14:paraId="1E9B65DB" w14:textId="77777777" w:rsidR="00EA6673" w:rsidRPr="008D1240" w:rsidRDefault="00EA6673" w:rsidP="007B1AED">
          <w:pPr>
            <w:pStyle w:val="Bibliography"/>
            <w:rPr>
              <w:rFonts w:ascii="Times New Roman" w:hAnsi="Times New Roman"/>
              <w:noProof/>
              <w:sz w:val="22"/>
              <w:szCs w:val="22"/>
            </w:rPr>
          </w:pPr>
          <w:r w:rsidRPr="008D1240">
            <w:rPr>
              <w:rFonts w:ascii="Times New Roman" w:hAnsi="Times New Roman"/>
              <w:noProof/>
              <w:sz w:val="22"/>
              <w:szCs w:val="22"/>
            </w:rPr>
            <w:t xml:space="preserve">Glennerster, R., Kremer, M., Mbiti, I., &amp; Takavarasha, K. (2011). </w:t>
          </w:r>
          <w:r w:rsidRPr="008D1240">
            <w:rPr>
              <w:rFonts w:ascii="Times New Roman" w:hAnsi="Times New Roman"/>
              <w:i/>
              <w:iCs/>
              <w:noProof/>
              <w:sz w:val="22"/>
              <w:szCs w:val="22"/>
            </w:rPr>
            <w:t>Access and Quality in the Kenyan Education System: A Review of the Progress, Challenges, and Potential Solutions.</w:t>
          </w:r>
          <w:r w:rsidRPr="008D1240">
            <w:rPr>
              <w:rFonts w:ascii="Times New Roman" w:hAnsi="Times New Roman"/>
              <w:noProof/>
              <w:sz w:val="22"/>
              <w:szCs w:val="22"/>
            </w:rPr>
            <w:t xml:space="preserve"> Retrieved June 29, 2019, from https://www.povertyactionlab.org: https://www.povertyactionlab.org/sites/default/files/publications/Access%20and%20Quality%20in%20the%20Kenyan%20Education%20System%202011.06.22.pdf</w:t>
          </w:r>
        </w:p>
        <w:p w14:paraId="5C5E211C" w14:textId="77777777" w:rsidR="00EA6673" w:rsidRPr="008D1240" w:rsidRDefault="00EA6673" w:rsidP="001C1111">
          <w:pPr>
            <w:pStyle w:val="Bibliography"/>
            <w:jc w:val="both"/>
            <w:rPr>
              <w:rFonts w:ascii="Times New Roman" w:hAnsi="Times New Roman"/>
              <w:noProof/>
              <w:sz w:val="22"/>
              <w:szCs w:val="22"/>
            </w:rPr>
          </w:pPr>
          <w:r w:rsidRPr="008D1240">
            <w:rPr>
              <w:rFonts w:ascii="Times New Roman" w:hAnsi="Times New Roman"/>
              <w:noProof/>
              <w:sz w:val="22"/>
              <w:szCs w:val="22"/>
            </w:rPr>
            <w:t xml:space="preserve">Global Education Monitoring Report Team, UNESCO Director-General, Sachs. (2016). </w:t>
          </w:r>
          <w:r w:rsidRPr="008D1240">
            <w:rPr>
              <w:rFonts w:ascii="Times New Roman" w:hAnsi="Times New Roman"/>
              <w:i/>
              <w:iCs/>
              <w:noProof/>
              <w:sz w:val="22"/>
              <w:szCs w:val="22"/>
            </w:rPr>
            <w:t>Education for People and Planet: Creating Sustainable Futures for All, Global Education Monitoring Report, 2016.</w:t>
          </w:r>
          <w:r w:rsidRPr="008D1240">
            <w:rPr>
              <w:rFonts w:ascii="Times New Roman" w:hAnsi="Times New Roman"/>
              <w:noProof/>
              <w:sz w:val="22"/>
              <w:szCs w:val="22"/>
            </w:rPr>
            <w:t xml:space="preserve"> UNESDOC Digital Library.</w:t>
          </w:r>
        </w:p>
        <w:p w14:paraId="38013C66" w14:textId="77777777" w:rsidR="00EA6673" w:rsidRPr="008D1240" w:rsidRDefault="00EA6673" w:rsidP="007B1AED">
          <w:pPr>
            <w:pStyle w:val="Bibliography"/>
            <w:rPr>
              <w:rFonts w:ascii="Times New Roman" w:hAnsi="Times New Roman"/>
              <w:noProof/>
              <w:sz w:val="22"/>
              <w:szCs w:val="22"/>
            </w:rPr>
          </w:pPr>
          <w:r w:rsidRPr="008D1240">
            <w:rPr>
              <w:rFonts w:ascii="Times New Roman" w:hAnsi="Times New Roman"/>
              <w:noProof/>
              <w:sz w:val="22"/>
              <w:szCs w:val="22"/>
            </w:rPr>
            <w:t xml:space="preserve">Janus, M., Walsh, C., Viverios, H., Duku, E., &amp; Oxford, D. (2007, September 10). </w:t>
          </w:r>
          <w:r w:rsidRPr="008D1240">
            <w:rPr>
              <w:rFonts w:ascii="Times New Roman" w:hAnsi="Times New Roman"/>
              <w:i/>
              <w:iCs/>
              <w:noProof/>
              <w:sz w:val="22"/>
              <w:szCs w:val="22"/>
            </w:rPr>
            <w:t>School Readiness to Learn and Neighbourhood Characteristics.</w:t>
          </w:r>
          <w:r w:rsidRPr="008D1240">
            <w:rPr>
              <w:rFonts w:ascii="Times New Roman" w:hAnsi="Times New Roman"/>
              <w:noProof/>
              <w:sz w:val="22"/>
              <w:szCs w:val="22"/>
            </w:rPr>
            <w:t xml:space="preserve"> Retrieved June 29, 2019, from http://offordcentre.com: http://offordcentre.com/readiness/files/PUB.2.2003_Janus-Walsh.pdf</w:t>
          </w:r>
        </w:p>
        <w:p w14:paraId="28B713B0" w14:textId="77777777" w:rsidR="00EA6673" w:rsidRPr="008D1240" w:rsidRDefault="00EA6673" w:rsidP="007B1AED">
          <w:pPr>
            <w:pStyle w:val="Bibliography"/>
            <w:rPr>
              <w:rFonts w:ascii="Times New Roman" w:hAnsi="Times New Roman"/>
              <w:noProof/>
              <w:sz w:val="22"/>
              <w:szCs w:val="22"/>
            </w:rPr>
          </w:pPr>
          <w:r w:rsidRPr="008D1240">
            <w:rPr>
              <w:rFonts w:ascii="Times New Roman" w:hAnsi="Times New Roman"/>
              <w:noProof/>
              <w:sz w:val="22"/>
              <w:szCs w:val="22"/>
            </w:rPr>
            <w:t xml:space="preserve">Kremer, M., Sylvie, M., &amp; Namunyu, R. (2002). </w:t>
          </w:r>
          <w:r w:rsidRPr="008D1240">
            <w:rPr>
              <w:rFonts w:ascii="Times New Roman" w:hAnsi="Times New Roman"/>
              <w:i/>
              <w:iCs/>
              <w:noProof/>
              <w:sz w:val="22"/>
              <w:szCs w:val="22"/>
            </w:rPr>
            <w:t>The Political Economy of School Finance in Kenya.</w:t>
          </w:r>
          <w:r w:rsidRPr="008D1240">
            <w:rPr>
              <w:rFonts w:ascii="Times New Roman" w:hAnsi="Times New Roman"/>
              <w:noProof/>
              <w:sz w:val="22"/>
              <w:szCs w:val="22"/>
            </w:rPr>
            <w:t xml:space="preserve"> Retrieved June 29, 2019, from https://www.semanticscholar.org: https://www.semanticscholar.org/paper/The-Political-Economy-of-School-Finance-in-Kenya-Kremer-Moulin/f30fb838a025e4e17ae139582fd457974623c6e9</w:t>
          </w:r>
        </w:p>
        <w:p w14:paraId="4B53B0FD" w14:textId="77777777" w:rsidR="00EA6673" w:rsidRPr="008D1240" w:rsidRDefault="00EA6673" w:rsidP="007B1AED">
          <w:pPr>
            <w:pStyle w:val="Bibliography"/>
            <w:rPr>
              <w:rFonts w:ascii="Times New Roman" w:hAnsi="Times New Roman"/>
              <w:noProof/>
              <w:sz w:val="22"/>
              <w:szCs w:val="22"/>
            </w:rPr>
          </w:pPr>
          <w:r w:rsidRPr="008D1240">
            <w:rPr>
              <w:rFonts w:ascii="Times New Roman" w:hAnsi="Times New Roman"/>
              <w:noProof/>
              <w:sz w:val="22"/>
              <w:szCs w:val="22"/>
            </w:rPr>
            <w:lastRenderedPageBreak/>
            <w:t xml:space="preserve">Langford, B., Badeaus, S., &amp; Legters, L. (2015). </w:t>
          </w:r>
          <w:r w:rsidRPr="008D1240">
            <w:rPr>
              <w:rFonts w:ascii="Times New Roman" w:hAnsi="Times New Roman"/>
              <w:i/>
              <w:iCs/>
              <w:noProof/>
              <w:sz w:val="22"/>
              <w:szCs w:val="22"/>
            </w:rPr>
            <w:t>Investing to Improve the Well-Being of Vulnerable Youth Adults: Recommendations for Policy and Practice.</w:t>
          </w:r>
          <w:r w:rsidRPr="008D1240">
            <w:rPr>
              <w:rFonts w:ascii="Times New Roman" w:hAnsi="Times New Roman"/>
              <w:noProof/>
              <w:sz w:val="22"/>
              <w:szCs w:val="22"/>
            </w:rPr>
            <w:t xml:space="preserve"> Retrieved June 29, 2019, from http://www.ytfg.org: http://www.ytfg.org/2015/12/wellbeing/. [Google Scholar]</w:t>
          </w:r>
        </w:p>
        <w:p w14:paraId="72EFF75F" w14:textId="77777777" w:rsidR="00EA6673" w:rsidRPr="008D1240" w:rsidRDefault="00EA6673" w:rsidP="007B1AED">
          <w:pPr>
            <w:pStyle w:val="Bibliography"/>
            <w:rPr>
              <w:rFonts w:ascii="Times New Roman" w:hAnsi="Times New Roman"/>
              <w:noProof/>
              <w:sz w:val="22"/>
              <w:szCs w:val="22"/>
            </w:rPr>
          </w:pPr>
          <w:r w:rsidRPr="008D1240">
            <w:rPr>
              <w:rFonts w:ascii="Times New Roman" w:hAnsi="Times New Roman"/>
              <w:noProof/>
              <w:sz w:val="22"/>
              <w:szCs w:val="22"/>
            </w:rPr>
            <w:t xml:space="preserve">Lele, U., Karsentry, A., Benson, C., Fétiveau, J., Agarwal, M., &amp; Goswami, S. (2013). Changing Roles of Forests and their Cross-Sectional Linkages in the Course of Economic Development - Working Paper 2. </w:t>
          </w:r>
          <w:r w:rsidRPr="008D1240">
            <w:rPr>
              <w:rFonts w:ascii="Times New Roman" w:hAnsi="Times New Roman"/>
              <w:i/>
              <w:iCs/>
              <w:noProof/>
              <w:sz w:val="22"/>
              <w:szCs w:val="22"/>
            </w:rPr>
            <w:t>United Nations Forum on Forests.</w:t>
          </w:r>
          <w:r w:rsidRPr="008D1240">
            <w:rPr>
              <w:rFonts w:ascii="Times New Roman" w:hAnsi="Times New Roman"/>
              <w:noProof/>
              <w:sz w:val="22"/>
              <w:szCs w:val="22"/>
            </w:rPr>
            <w:t xml:space="preserve"> https://www.un.org.</w:t>
          </w:r>
        </w:p>
        <w:p w14:paraId="0F6E3CA0" w14:textId="77777777" w:rsidR="00EA6673" w:rsidRPr="008D1240" w:rsidRDefault="00EA6673" w:rsidP="007B1AED">
          <w:pPr>
            <w:pStyle w:val="Bibliography"/>
            <w:rPr>
              <w:rFonts w:ascii="Times New Roman" w:hAnsi="Times New Roman"/>
              <w:noProof/>
              <w:sz w:val="22"/>
              <w:szCs w:val="22"/>
            </w:rPr>
          </w:pPr>
          <w:r w:rsidRPr="008D1240">
            <w:rPr>
              <w:rFonts w:ascii="Times New Roman" w:hAnsi="Times New Roman"/>
              <w:noProof/>
              <w:sz w:val="22"/>
              <w:szCs w:val="22"/>
            </w:rPr>
            <w:t xml:space="preserve">Liyama, M., Neufeldt, H., Dobie, P., Njenga, M., Ndegwa, G., &amp; Jamnadass, R. (2014). The Potential of Agroforestry in the Provision of Sustainable Woodfuel in Sub-Saharan Africa. </w:t>
          </w:r>
          <w:r w:rsidRPr="008D1240">
            <w:rPr>
              <w:rFonts w:ascii="Times New Roman" w:hAnsi="Times New Roman"/>
              <w:i/>
              <w:iCs/>
              <w:noProof/>
              <w:sz w:val="22"/>
              <w:szCs w:val="22"/>
            </w:rPr>
            <w:t>Current Opinion in Environmental Sustainability</w:t>
          </w:r>
          <w:r w:rsidRPr="008D1240">
            <w:rPr>
              <w:rFonts w:ascii="Times New Roman" w:hAnsi="Times New Roman"/>
              <w:noProof/>
              <w:sz w:val="22"/>
              <w:szCs w:val="22"/>
            </w:rPr>
            <w:t xml:space="preserve"> </w:t>
          </w:r>
          <w:r w:rsidRPr="008D1240">
            <w:rPr>
              <w:rFonts w:ascii="Times New Roman" w:hAnsi="Times New Roman"/>
              <w:i/>
              <w:iCs/>
              <w:noProof/>
              <w:sz w:val="22"/>
              <w:szCs w:val="22"/>
            </w:rPr>
            <w:t>, 6</w:t>
          </w:r>
          <w:r w:rsidRPr="008D1240">
            <w:rPr>
              <w:rFonts w:ascii="Times New Roman" w:hAnsi="Times New Roman"/>
              <w:noProof/>
              <w:sz w:val="22"/>
              <w:szCs w:val="22"/>
            </w:rPr>
            <w:t>, 138-147.</w:t>
          </w:r>
        </w:p>
        <w:p w14:paraId="140674EB" w14:textId="77777777" w:rsidR="00EA6673" w:rsidRPr="008D1240" w:rsidRDefault="00EA6673" w:rsidP="007B1AED">
          <w:pPr>
            <w:pStyle w:val="Bibliography"/>
            <w:rPr>
              <w:rFonts w:ascii="Times New Roman" w:hAnsi="Times New Roman"/>
              <w:noProof/>
              <w:sz w:val="22"/>
              <w:szCs w:val="22"/>
            </w:rPr>
          </w:pPr>
          <w:r w:rsidRPr="008D1240">
            <w:rPr>
              <w:rFonts w:ascii="Times New Roman" w:hAnsi="Times New Roman"/>
              <w:noProof/>
              <w:sz w:val="22"/>
              <w:szCs w:val="22"/>
            </w:rPr>
            <w:t xml:space="preserve">Mo, D., Zhang, L., Yi, H., Luo, R., Rozelle, S., &amp; Brinton, C. (2013). School Dropouts and Conditional Cash Transfers: Evidence from a Randomized Controlled Trial in China's Junior High Schools. </w:t>
          </w:r>
          <w:r w:rsidRPr="008D1240">
            <w:rPr>
              <w:rFonts w:ascii="Times New Roman" w:hAnsi="Times New Roman"/>
              <w:i/>
              <w:iCs/>
              <w:noProof/>
              <w:sz w:val="22"/>
              <w:szCs w:val="22"/>
            </w:rPr>
            <w:t>The Journal of Development Studies</w:t>
          </w:r>
          <w:r w:rsidRPr="008D1240">
            <w:rPr>
              <w:rFonts w:ascii="Times New Roman" w:hAnsi="Times New Roman"/>
              <w:noProof/>
              <w:sz w:val="22"/>
              <w:szCs w:val="22"/>
            </w:rPr>
            <w:t xml:space="preserve"> </w:t>
          </w:r>
          <w:r w:rsidRPr="008D1240">
            <w:rPr>
              <w:rFonts w:ascii="Times New Roman" w:hAnsi="Times New Roman"/>
              <w:i/>
              <w:iCs/>
              <w:noProof/>
              <w:sz w:val="22"/>
              <w:szCs w:val="22"/>
            </w:rPr>
            <w:t>, 49</w:t>
          </w:r>
          <w:r w:rsidRPr="008D1240">
            <w:rPr>
              <w:rFonts w:ascii="Times New Roman" w:hAnsi="Times New Roman"/>
              <w:noProof/>
              <w:sz w:val="22"/>
              <w:szCs w:val="22"/>
            </w:rPr>
            <w:t xml:space="preserve"> (2), 190-207.</w:t>
          </w:r>
        </w:p>
        <w:p w14:paraId="73C4C6B4" w14:textId="77777777" w:rsidR="00EA6673" w:rsidRPr="008D1240" w:rsidRDefault="00EA6673" w:rsidP="007B1AED">
          <w:pPr>
            <w:pStyle w:val="Bibliography"/>
            <w:rPr>
              <w:rFonts w:ascii="Times New Roman" w:hAnsi="Times New Roman"/>
              <w:noProof/>
              <w:sz w:val="22"/>
              <w:szCs w:val="22"/>
            </w:rPr>
          </w:pPr>
          <w:r w:rsidRPr="008D1240">
            <w:rPr>
              <w:rFonts w:ascii="Times New Roman" w:hAnsi="Times New Roman"/>
              <w:noProof/>
              <w:sz w:val="22"/>
              <w:szCs w:val="22"/>
            </w:rPr>
            <w:t xml:space="preserve">Nasreenbanu, A., &amp; Yashoda, K. (2017). Remedial Learning Programme for the Academically Backward Children. </w:t>
          </w:r>
          <w:r w:rsidRPr="008D1240">
            <w:rPr>
              <w:rFonts w:ascii="Times New Roman" w:hAnsi="Times New Roman"/>
              <w:i/>
              <w:iCs/>
              <w:noProof/>
              <w:sz w:val="22"/>
              <w:szCs w:val="22"/>
            </w:rPr>
            <w:t>International Journal of Educational Science and Research</w:t>
          </w:r>
          <w:r w:rsidRPr="008D1240">
            <w:rPr>
              <w:rFonts w:ascii="Times New Roman" w:hAnsi="Times New Roman"/>
              <w:noProof/>
              <w:sz w:val="22"/>
              <w:szCs w:val="22"/>
            </w:rPr>
            <w:t xml:space="preserve"> </w:t>
          </w:r>
          <w:r w:rsidRPr="008D1240">
            <w:rPr>
              <w:rFonts w:ascii="Times New Roman" w:hAnsi="Times New Roman"/>
              <w:i/>
              <w:iCs/>
              <w:noProof/>
              <w:sz w:val="22"/>
              <w:szCs w:val="22"/>
            </w:rPr>
            <w:t>, 7</w:t>
          </w:r>
          <w:r w:rsidRPr="008D1240">
            <w:rPr>
              <w:rFonts w:ascii="Times New Roman" w:hAnsi="Times New Roman"/>
              <w:noProof/>
              <w:sz w:val="22"/>
              <w:szCs w:val="22"/>
            </w:rPr>
            <w:t xml:space="preserve"> (2), 69-82.</w:t>
          </w:r>
        </w:p>
        <w:p w14:paraId="4DE4DD09" w14:textId="77777777" w:rsidR="00EA6673" w:rsidRPr="008D1240" w:rsidRDefault="00EA6673" w:rsidP="007A1264">
          <w:pPr>
            <w:pStyle w:val="Bibliography"/>
            <w:rPr>
              <w:rFonts w:ascii="Times New Roman" w:hAnsi="Times New Roman"/>
              <w:noProof/>
              <w:sz w:val="22"/>
              <w:szCs w:val="22"/>
            </w:rPr>
          </w:pPr>
          <w:r w:rsidRPr="008D1240">
            <w:rPr>
              <w:rFonts w:ascii="Times New Roman" w:hAnsi="Times New Roman"/>
              <w:noProof/>
              <w:sz w:val="22"/>
              <w:szCs w:val="22"/>
            </w:rPr>
            <w:t xml:space="preserve">Ndegwa, G., Breker, T., &amp; Hamhaber, J. (2011). Woodfuels in Kenya and Rwanda: Powering and Driving the Economy of the Rural Areas. </w:t>
          </w:r>
          <w:r w:rsidRPr="008D1240">
            <w:rPr>
              <w:rFonts w:ascii="Times New Roman" w:hAnsi="Times New Roman"/>
              <w:i/>
              <w:iCs/>
              <w:noProof/>
              <w:sz w:val="22"/>
              <w:szCs w:val="22"/>
            </w:rPr>
            <w:t>Rural21</w:t>
          </w:r>
          <w:r w:rsidRPr="008D1240">
            <w:rPr>
              <w:rFonts w:ascii="Times New Roman" w:hAnsi="Times New Roman"/>
              <w:noProof/>
              <w:sz w:val="22"/>
              <w:szCs w:val="22"/>
            </w:rPr>
            <w:t xml:space="preserve"> </w:t>
          </w:r>
          <w:r w:rsidRPr="008D1240">
            <w:rPr>
              <w:rFonts w:ascii="Times New Roman" w:hAnsi="Times New Roman"/>
              <w:i/>
              <w:iCs/>
              <w:noProof/>
              <w:sz w:val="22"/>
              <w:szCs w:val="22"/>
            </w:rPr>
            <w:t>, 18</w:t>
          </w:r>
          <w:r w:rsidRPr="008D1240">
            <w:rPr>
              <w:rFonts w:ascii="Times New Roman" w:hAnsi="Times New Roman"/>
              <w:noProof/>
              <w:sz w:val="22"/>
              <w:szCs w:val="22"/>
            </w:rPr>
            <w:t>, 26-30.</w:t>
          </w:r>
        </w:p>
        <w:p w14:paraId="0F581C52" w14:textId="77777777" w:rsidR="00EA6673" w:rsidRPr="008D1240" w:rsidRDefault="00EA6673" w:rsidP="007A1264">
          <w:pPr>
            <w:pStyle w:val="Bibliography"/>
            <w:rPr>
              <w:rFonts w:ascii="Times New Roman" w:hAnsi="Times New Roman"/>
              <w:noProof/>
              <w:sz w:val="22"/>
              <w:szCs w:val="22"/>
            </w:rPr>
          </w:pPr>
          <w:r w:rsidRPr="008D1240">
            <w:rPr>
              <w:rFonts w:ascii="Times New Roman" w:hAnsi="Times New Roman"/>
              <w:noProof/>
              <w:sz w:val="22"/>
              <w:szCs w:val="22"/>
            </w:rPr>
            <w:t xml:space="preserve">Nelson, C. (2000). The Neurological Bases of Early Intervention. In J. S. (Eds.), </w:t>
          </w:r>
          <w:r w:rsidRPr="008D1240">
            <w:rPr>
              <w:rFonts w:ascii="Times New Roman" w:hAnsi="Times New Roman"/>
              <w:i/>
              <w:iCs/>
              <w:noProof/>
              <w:sz w:val="22"/>
              <w:szCs w:val="22"/>
            </w:rPr>
            <w:t>Handbook of Early Childhood Intervention (2nd ed.)</w:t>
          </w:r>
          <w:r w:rsidRPr="008D1240">
            <w:rPr>
              <w:rFonts w:ascii="Times New Roman" w:hAnsi="Times New Roman"/>
              <w:noProof/>
              <w:sz w:val="22"/>
              <w:szCs w:val="22"/>
            </w:rPr>
            <w:t xml:space="preserve"> (pp. 204-228). Cambridge: MA: Cambridge University Press.</w:t>
          </w:r>
        </w:p>
        <w:p w14:paraId="48C2024C" w14:textId="77777777" w:rsidR="00EA6673" w:rsidRDefault="00EA6673" w:rsidP="007A1264">
          <w:pPr>
            <w:pStyle w:val="Bibliography"/>
            <w:rPr>
              <w:rFonts w:ascii="Times New Roman" w:hAnsi="Times New Roman"/>
              <w:noProof/>
              <w:sz w:val="22"/>
              <w:szCs w:val="22"/>
            </w:rPr>
          </w:pPr>
          <w:r w:rsidRPr="008D1240">
            <w:rPr>
              <w:rFonts w:ascii="Times New Roman" w:hAnsi="Times New Roman"/>
              <w:noProof/>
              <w:sz w:val="22"/>
              <w:szCs w:val="22"/>
            </w:rPr>
            <w:t xml:space="preserve">Radley, J., Sisti, H., Hao, J., Rochier, A., McCall, T., Hof, P., et al. (2004). Chronic Behavioural Stress Induces Apical Dendritic Reorganization in Pyramidal Neurons of the Medial Prefrontal Cortex. </w:t>
          </w:r>
          <w:r w:rsidRPr="008D1240">
            <w:rPr>
              <w:rFonts w:ascii="Times New Roman" w:hAnsi="Times New Roman"/>
              <w:i/>
              <w:iCs/>
              <w:noProof/>
              <w:sz w:val="22"/>
              <w:szCs w:val="22"/>
            </w:rPr>
            <w:t>Neuroscience</w:t>
          </w:r>
          <w:r w:rsidRPr="008D1240">
            <w:rPr>
              <w:rFonts w:ascii="Times New Roman" w:hAnsi="Times New Roman"/>
              <w:noProof/>
              <w:sz w:val="22"/>
              <w:szCs w:val="22"/>
            </w:rPr>
            <w:t xml:space="preserve"> </w:t>
          </w:r>
          <w:r w:rsidRPr="008D1240">
            <w:rPr>
              <w:rFonts w:ascii="Times New Roman" w:hAnsi="Times New Roman"/>
              <w:i/>
              <w:iCs/>
              <w:noProof/>
              <w:sz w:val="22"/>
              <w:szCs w:val="22"/>
            </w:rPr>
            <w:t>, 125</w:t>
          </w:r>
          <w:r w:rsidRPr="008D1240">
            <w:rPr>
              <w:rFonts w:ascii="Times New Roman" w:hAnsi="Times New Roman"/>
              <w:noProof/>
              <w:sz w:val="22"/>
              <w:szCs w:val="22"/>
            </w:rPr>
            <w:t>, 1-6.</w:t>
          </w:r>
        </w:p>
        <w:p w14:paraId="61FD7E05" w14:textId="27230F31" w:rsidR="00294E4B" w:rsidRPr="00294E4B" w:rsidRDefault="00294E4B" w:rsidP="00294E4B">
          <w:pPr>
            <w:pStyle w:val="Bibliography"/>
            <w:rPr>
              <w:rFonts w:ascii="Times New Roman" w:hAnsi="Times New Roman"/>
              <w:noProof/>
              <w:sz w:val="22"/>
              <w:szCs w:val="22"/>
            </w:rPr>
          </w:pPr>
          <w:r>
            <w:rPr>
              <w:rFonts w:ascii="Times New Roman" w:hAnsi="Times New Roman"/>
              <w:noProof/>
              <w:sz w:val="22"/>
              <w:szCs w:val="22"/>
            </w:rPr>
            <w:t>Saleemul, H., Hannah, R. (2007)</w:t>
          </w:r>
          <w:r w:rsidRPr="008D1240">
            <w:rPr>
              <w:rFonts w:ascii="Times New Roman" w:hAnsi="Times New Roman"/>
              <w:noProof/>
              <w:sz w:val="22"/>
              <w:szCs w:val="22"/>
            </w:rPr>
            <w:t xml:space="preserve">. </w:t>
          </w:r>
          <w:r w:rsidR="0068116A">
            <w:rPr>
              <w:rFonts w:ascii="Times New Roman" w:hAnsi="Times New Roman"/>
              <w:noProof/>
              <w:sz w:val="22"/>
              <w:szCs w:val="22"/>
            </w:rPr>
            <w:t>A vital approach to the threat climate change poses to the poor</w:t>
          </w:r>
          <w:r w:rsidRPr="008D1240">
            <w:rPr>
              <w:rFonts w:ascii="Times New Roman" w:hAnsi="Times New Roman"/>
              <w:noProof/>
              <w:sz w:val="22"/>
              <w:szCs w:val="22"/>
            </w:rPr>
            <w:t xml:space="preserve">. </w:t>
          </w:r>
          <w:r w:rsidR="0068116A">
            <w:rPr>
              <w:rFonts w:ascii="Times New Roman" w:hAnsi="Times New Roman"/>
              <w:i/>
              <w:iCs/>
              <w:noProof/>
              <w:sz w:val="22"/>
              <w:szCs w:val="22"/>
            </w:rPr>
            <w:t>International Institute for Environment and Development (IIED)</w:t>
          </w:r>
          <w:r w:rsidRPr="008D1240">
            <w:rPr>
              <w:rFonts w:ascii="Times New Roman" w:hAnsi="Times New Roman"/>
              <w:noProof/>
              <w:sz w:val="22"/>
              <w:szCs w:val="22"/>
            </w:rPr>
            <w:t>.</w:t>
          </w:r>
        </w:p>
        <w:p w14:paraId="1B7AE4B9" w14:textId="77777777" w:rsidR="00EA6673" w:rsidRPr="008D1240" w:rsidRDefault="00EA6673" w:rsidP="007A1264">
          <w:pPr>
            <w:pStyle w:val="Bibliography"/>
            <w:rPr>
              <w:rFonts w:ascii="Times New Roman" w:hAnsi="Times New Roman"/>
              <w:noProof/>
              <w:sz w:val="22"/>
              <w:szCs w:val="22"/>
            </w:rPr>
          </w:pPr>
          <w:r w:rsidRPr="008D1240">
            <w:rPr>
              <w:rFonts w:ascii="Times New Roman" w:hAnsi="Times New Roman"/>
              <w:noProof/>
              <w:sz w:val="22"/>
              <w:szCs w:val="22"/>
            </w:rPr>
            <w:t xml:space="preserve">Szulecka, J. (2019). Towards Sustainable Wood-based Energy: Evaluation and Strategies for Mainstreaming Sustainability in the Sector. </w:t>
          </w:r>
          <w:r w:rsidRPr="008D1240">
            <w:rPr>
              <w:rFonts w:ascii="Times New Roman" w:hAnsi="Times New Roman"/>
              <w:i/>
              <w:iCs/>
              <w:noProof/>
              <w:sz w:val="22"/>
              <w:szCs w:val="22"/>
            </w:rPr>
            <w:t>Sustainability</w:t>
          </w:r>
          <w:r w:rsidRPr="008D1240">
            <w:rPr>
              <w:rFonts w:ascii="Times New Roman" w:hAnsi="Times New Roman"/>
              <w:noProof/>
              <w:sz w:val="22"/>
              <w:szCs w:val="22"/>
            </w:rPr>
            <w:t xml:space="preserve"> </w:t>
          </w:r>
          <w:r w:rsidRPr="008D1240">
            <w:rPr>
              <w:rFonts w:ascii="Times New Roman" w:hAnsi="Times New Roman"/>
              <w:i/>
              <w:iCs/>
              <w:noProof/>
              <w:sz w:val="22"/>
              <w:szCs w:val="22"/>
            </w:rPr>
            <w:t>, 11</w:t>
          </w:r>
          <w:r w:rsidRPr="008D1240">
            <w:rPr>
              <w:rFonts w:ascii="Times New Roman" w:hAnsi="Times New Roman"/>
              <w:noProof/>
              <w:sz w:val="22"/>
              <w:szCs w:val="22"/>
            </w:rPr>
            <w:t xml:space="preserve"> (493).</w:t>
          </w:r>
        </w:p>
        <w:p w14:paraId="74997495" w14:textId="77777777" w:rsidR="00EA6673" w:rsidRPr="008D1240" w:rsidRDefault="00EA6673" w:rsidP="007A1264">
          <w:pPr>
            <w:pStyle w:val="Bibliography"/>
            <w:rPr>
              <w:rFonts w:ascii="Times New Roman" w:hAnsi="Times New Roman"/>
              <w:noProof/>
              <w:sz w:val="22"/>
              <w:szCs w:val="22"/>
            </w:rPr>
          </w:pPr>
          <w:r w:rsidRPr="008D1240">
            <w:rPr>
              <w:rFonts w:ascii="Times New Roman" w:hAnsi="Times New Roman"/>
              <w:noProof/>
              <w:sz w:val="22"/>
              <w:szCs w:val="22"/>
            </w:rPr>
            <w:t xml:space="preserve">Tanner, S., &amp; Antonowicz, L. (2013, February 05). </w:t>
          </w:r>
          <w:r w:rsidRPr="008D1240">
            <w:rPr>
              <w:rFonts w:ascii="Times New Roman" w:hAnsi="Times New Roman"/>
              <w:i/>
              <w:iCs/>
              <w:noProof/>
              <w:sz w:val="22"/>
              <w:szCs w:val="22"/>
            </w:rPr>
            <w:t>Thematic Study on Education and Gender Equality.</w:t>
          </w:r>
          <w:r w:rsidRPr="008D1240">
            <w:rPr>
              <w:rFonts w:ascii="Times New Roman" w:hAnsi="Times New Roman"/>
              <w:noProof/>
              <w:sz w:val="22"/>
              <w:szCs w:val="22"/>
            </w:rPr>
            <w:t xml:space="preserve"> Retrieved June 30, 2019, from http://www.ungei.org: http://www.ungei.org/resource_norad_thematic_study.pdf</w:t>
          </w:r>
        </w:p>
        <w:p w14:paraId="17003838" w14:textId="77777777" w:rsidR="00EA6673" w:rsidRPr="008D1240" w:rsidRDefault="00EA6673" w:rsidP="007A1264">
          <w:pPr>
            <w:pStyle w:val="Bibliography"/>
            <w:rPr>
              <w:rFonts w:ascii="Times New Roman" w:hAnsi="Times New Roman"/>
              <w:noProof/>
              <w:sz w:val="22"/>
              <w:szCs w:val="22"/>
            </w:rPr>
          </w:pPr>
          <w:r w:rsidRPr="008D1240">
            <w:rPr>
              <w:rFonts w:ascii="Times New Roman" w:hAnsi="Times New Roman"/>
              <w:noProof/>
              <w:sz w:val="22"/>
              <w:szCs w:val="22"/>
            </w:rPr>
            <w:t xml:space="preserve">Teixeira, J., Amoroso, J., &amp; Gresham, J. (2017, October 03). </w:t>
          </w:r>
          <w:r w:rsidRPr="008D1240">
            <w:rPr>
              <w:rFonts w:ascii="Times New Roman" w:hAnsi="Times New Roman"/>
              <w:i/>
              <w:iCs/>
              <w:noProof/>
              <w:sz w:val="22"/>
              <w:szCs w:val="22"/>
            </w:rPr>
            <w:t>Why Education Infrastructure Matters for Learning.</w:t>
          </w:r>
          <w:r w:rsidRPr="008D1240">
            <w:rPr>
              <w:rFonts w:ascii="Times New Roman" w:hAnsi="Times New Roman"/>
              <w:noProof/>
              <w:sz w:val="22"/>
              <w:szCs w:val="22"/>
            </w:rPr>
            <w:t xml:space="preserve"> Retrieved June 30, 2019, from https://blogs.worldbank.org: https://blogs.worldbank.org/education/why-education-infrastructure-matters-learning</w:t>
          </w:r>
        </w:p>
        <w:p w14:paraId="7E796759" w14:textId="77777777" w:rsidR="00EA6673" w:rsidRPr="008D1240" w:rsidRDefault="00EA6673" w:rsidP="001C1111">
          <w:pPr>
            <w:pStyle w:val="Bibliography"/>
            <w:jc w:val="both"/>
            <w:rPr>
              <w:rFonts w:ascii="Times New Roman" w:hAnsi="Times New Roman"/>
              <w:noProof/>
              <w:sz w:val="22"/>
              <w:szCs w:val="22"/>
            </w:rPr>
          </w:pPr>
          <w:r w:rsidRPr="008D1240">
            <w:rPr>
              <w:rFonts w:ascii="Times New Roman" w:hAnsi="Times New Roman"/>
              <w:noProof/>
              <w:sz w:val="22"/>
              <w:szCs w:val="22"/>
            </w:rPr>
            <w:t xml:space="preserve">Termwiki. (2014). </w:t>
          </w:r>
          <w:r w:rsidRPr="008D1240">
            <w:rPr>
              <w:rFonts w:ascii="Times New Roman" w:hAnsi="Times New Roman"/>
              <w:i/>
              <w:iCs/>
              <w:noProof/>
              <w:sz w:val="22"/>
              <w:szCs w:val="22"/>
            </w:rPr>
            <w:t>http://www.termwiki.com/EN:plant_residue</w:t>
          </w:r>
          <w:r w:rsidRPr="008D1240">
            <w:rPr>
              <w:rFonts w:ascii="Times New Roman" w:hAnsi="Times New Roman"/>
              <w:noProof/>
              <w:sz w:val="22"/>
              <w:szCs w:val="22"/>
            </w:rPr>
            <w:t>. Retrieved October 22, 2014, from http://www.termwiki.com: http://www.termwiki.com/EN:plant_residue</w:t>
          </w:r>
        </w:p>
        <w:p w14:paraId="76D8AF7F" w14:textId="77777777" w:rsidR="00EA6673" w:rsidRPr="008D1240" w:rsidRDefault="00EA6673" w:rsidP="007A1264">
          <w:pPr>
            <w:pStyle w:val="Bibliography"/>
            <w:rPr>
              <w:rFonts w:ascii="Times New Roman" w:hAnsi="Times New Roman"/>
              <w:noProof/>
              <w:sz w:val="22"/>
              <w:szCs w:val="22"/>
            </w:rPr>
          </w:pPr>
          <w:r w:rsidRPr="008D1240">
            <w:rPr>
              <w:rFonts w:ascii="Times New Roman" w:hAnsi="Times New Roman"/>
              <w:noProof/>
              <w:sz w:val="22"/>
              <w:szCs w:val="22"/>
            </w:rPr>
            <w:t xml:space="preserve">Thomas, E. (2007, September 10). </w:t>
          </w:r>
          <w:r w:rsidRPr="008D1240">
            <w:rPr>
              <w:rFonts w:ascii="Times New Roman" w:hAnsi="Times New Roman"/>
              <w:i/>
              <w:iCs/>
              <w:noProof/>
              <w:sz w:val="22"/>
              <w:szCs w:val="22"/>
            </w:rPr>
            <w:t>Readiness to Learn at School among Five-Year-Old Children in Canada.</w:t>
          </w:r>
          <w:r w:rsidRPr="008D1240">
            <w:rPr>
              <w:rFonts w:ascii="Times New Roman" w:hAnsi="Times New Roman"/>
              <w:noProof/>
              <w:sz w:val="22"/>
              <w:szCs w:val="22"/>
            </w:rPr>
            <w:t xml:space="preserve"> Retrieved June 29, 2019, from http://www.statcan.ca: http://www.statcan.ca/english/research/89-599-MIE/89-599-MIE2006004.pdf&gt; </w:t>
          </w:r>
        </w:p>
        <w:p w14:paraId="324F5854" w14:textId="77777777" w:rsidR="00EA6673" w:rsidRPr="008D1240" w:rsidRDefault="00EA6673" w:rsidP="007A1264">
          <w:pPr>
            <w:pStyle w:val="Bibliography"/>
            <w:rPr>
              <w:rFonts w:ascii="Times New Roman" w:hAnsi="Times New Roman"/>
              <w:noProof/>
              <w:sz w:val="22"/>
              <w:szCs w:val="22"/>
            </w:rPr>
          </w:pPr>
          <w:r w:rsidRPr="008D1240">
            <w:rPr>
              <w:rFonts w:ascii="Times New Roman" w:hAnsi="Times New Roman"/>
              <w:noProof/>
              <w:sz w:val="22"/>
              <w:szCs w:val="22"/>
            </w:rPr>
            <w:t xml:space="preserve">UN Women. (2013, December 13). </w:t>
          </w:r>
          <w:r w:rsidRPr="008D1240">
            <w:rPr>
              <w:rFonts w:ascii="Times New Roman" w:hAnsi="Times New Roman"/>
              <w:i/>
              <w:iCs/>
              <w:noProof/>
              <w:sz w:val="22"/>
              <w:szCs w:val="22"/>
            </w:rPr>
            <w:t>Life Skills Programmes for Children and Adolescents.</w:t>
          </w:r>
          <w:r w:rsidRPr="008D1240">
            <w:rPr>
              <w:rFonts w:ascii="Times New Roman" w:hAnsi="Times New Roman"/>
              <w:noProof/>
              <w:sz w:val="22"/>
              <w:szCs w:val="22"/>
            </w:rPr>
            <w:t xml:space="preserve"> Retrieved June 29, 2019, from http://www.endvawnow.org: </w:t>
          </w:r>
          <w:r w:rsidRPr="008D1240">
            <w:rPr>
              <w:rFonts w:ascii="Times New Roman" w:hAnsi="Times New Roman"/>
              <w:noProof/>
              <w:sz w:val="22"/>
              <w:szCs w:val="22"/>
            </w:rPr>
            <w:lastRenderedPageBreak/>
            <w:t>http://www.endvawnow.org/en/articles/1694-life-skills-programmes-for-children-and-adolescents.html</w:t>
          </w:r>
        </w:p>
        <w:p w14:paraId="03D9AFEE" w14:textId="77777777" w:rsidR="00EA6673" w:rsidRPr="008D1240" w:rsidRDefault="00EA6673" w:rsidP="007A1264">
          <w:pPr>
            <w:pStyle w:val="Bibliography"/>
            <w:rPr>
              <w:rFonts w:ascii="Times New Roman" w:hAnsi="Times New Roman"/>
              <w:noProof/>
              <w:sz w:val="22"/>
              <w:szCs w:val="22"/>
            </w:rPr>
          </w:pPr>
          <w:r w:rsidRPr="008D1240">
            <w:rPr>
              <w:rFonts w:ascii="Times New Roman" w:hAnsi="Times New Roman"/>
              <w:noProof/>
              <w:sz w:val="22"/>
              <w:szCs w:val="22"/>
            </w:rPr>
            <w:t xml:space="preserve">UNICEF. (2012). WASH in Schools Empower Girls' Education. </w:t>
          </w:r>
          <w:r w:rsidRPr="008D1240">
            <w:rPr>
              <w:rFonts w:ascii="Times New Roman" w:hAnsi="Times New Roman"/>
              <w:i/>
              <w:iCs/>
              <w:noProof/>
              <w:sz w:val="22"/>
              <w:szCs w:val="22"/>
            </w:rPr>
            <w:t>The Menstrual Hygiene Management in Schools Virtual Conference.</w:t>
          </w:r>
          <w:r w:rsidRPr="008D1240">
            <w:rPr>
              <w:rFonts w:ascii="Times New Roman" w:hAnsi="Times New Roman"/>
              <w:noProof/>
              <w:sz w:val="22"/>
              <w:szCs w:val="22"/>
            </w:rPr>
            <w:t xml:space="preserve"> </w:t>
          </w:r>
        </w:p>
        <w:p w14:paraId="3B547F7D" w14:textId="77777777" w:rsidR="00EA6673" w:rsidRPr="008D1240" w:rsidRDefault="00EA6673" w:rsidP="001C1111">
          <w:pPr>
            <w:pStyle w:val="Bibliography"/>
            <w:jc w:val="both"/>
            <w:rPr>
              <w:rFonts w:ascii="Times New Roman" w:hAnsi="Times New Roman"/>
              <w:noProof/>
              <w:sz w:val="22"/>
              <w:szCs w:val="22"/>
            </w:rPr>
          </w:pPr>
          <w:r w:rsidRPr="008D1240">
            <w:rPr>
              <w:rFonts w:ascii="Times New Roman" w:hAnsi="Times New Roman"/>
              <w:noProof/>
              <w:sz w:val="22"/>
              <w:szCs w:val="22"/>
            </w:rPr>
            <w:t xml:space="preserve">Uwezo. (2010). </w:t>
          </w:r>
          <w:r w:rsidRPr="008D1240">
            <w:rPr>
              <w:rFonts w:ascii="Times New Roman" w:hAnsi="Times New Roman"/>
              <w:i/>
              <w:iCs/>
              <w:noProof/>
              <w:sz w:val="22"/>
              <w:szCs w:val="22"/>
            </w:rPr>
            <w:t>Kenya National Learning Assessment Report, 2010.</w:t>
          </w:r>
          <w:r w:rsidRPr="008D1240">
            <w:rPr>
              <w:rFonts w:ascii="Times New Roman" w:hAnsi="Times New Roman"/>
              <w:noProof/>
              <w:sz w:val="22"/>
              <w:szCs w:val="22"/>
            </w:rPr>
            <w:t xml:space="preserve"> Nairobi, Kenya: Uwezo.</w:t>
          </w:r>
        </w:p>
        <w:p w14:paraId="1F0FA92D" w14:textId="20C011B3" w:rsidR="0068116A" w:rsidRPr="0068116A" w:rsidRDefault="003269DD" w:rsidP="003269DD">
          <w:pPr>
            <w:pStyle w:val="Bibliography"/>
            <w:rPr>
              <w:rFonts w:ascii="Times New Roman" w:hAnsi="Times New Roman"/>
              <w:noProof/>
              <w:sz w:val="22"/>
              <w:szCs w:val="22"/>
            </w:rPr>
          </w:pPr>
          <w:r w:rsidRPr="0068116A">
            <w:rPr>
              <w:noProof/>
              <w:sz w:val="22"/>
              <w:szCs w:val="22"/>
              <w:lang w:val="en-US"/>
            </w:rPr>
            <w:drawing>
              <wp:anchor distT="0" distB="0" distL="114300" distR="114300" simplePos="0" relativeHeight="252710912" behindDoc="0" locked="0" layoutInCell="1" allowOverlap="1" wp14:anchorId="4262BED9" wp14:editId="54BD1393">
                <wp:simplePos x="0" y="0"/>
                <wp:positionH relativeFrom="column">
                  <wp:posOffset>-1087120</wp:posOffset>
                </wp:positionH>
                <wp:positionV relativeFrom="paragraph">
                  <wp:posOffset>1323975</wp:posOffset>
                </wp:positionV>
                <wp:extent cx="7583170" cy="7137400"/>
                <wp:effectExtent l="0" t="0" r="11430" b="0"/>
                <wp:wrapThrough wrapText="bothSides">
                  <wp:wrapPolygon edited="0">
                    <wp:start x="0" y="0"/>
                    <wp:lineTo x="0" y="21523"/>
                    <wp:lineTo x="21560" y="21523"/>
                    <wp:lineTo x="21560" y="0"/>
                    <wp:lineTo x="0" y="0"/>
                  </wp:wrapPolygon>
                </wp:wrapThrough>
                <wp:docPr id="7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alphaModFix amt="20000"/>
                          <a:extLst>
                            <a:ext uri="{28A0092B-C50C-407E-A947-70E740481C1C}">
                              <a14:useLocalDpi xmlns:a14="http://schemas.microsoft.com/office/drawing/2010/main" val="0"/>
                            </a:ext>
                          </a:extLst>
                        </a:blip>
                        <a:srcRect/>
                        <a:stretch>
                          <a:fillRect/>
                        </a:stretch>
                      </pic:blipFill>
                      <pic:spPr bwMode="auto">
                        <a:xfrm>
                          <a:off x="0" y="0"/>
                          <a:ext cx="7583170" cy="713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673" w:rsidRPr="0068116A">
            <w:rPr>
              <w:rFonts w:ascii="Times New Roman" w:hAnsi="Times New Roman"/>
              <w:noProof/>
              <w:sz w:val="22"/>
              <w:szCs w:val="22"/>
            </w:rPr>
            <w:t xml:space="preserve">Willms, J. (2007, September 10). </w:t>
          </w:r>
          <w:r w:rsidR="00EA6673" w:rsidRPr="0068116A">
            <w:rPr>
              <w:rFonts w:ascii="Times New Roman" w:hAnsi="Times New Roman"/>
              <w:i/>
              <w:iCs/>
              <w:noProof/>
              <w:sz w:val="22"/>
              <w:szCs w:val="22"/>
            </w:rPr>
            <w:t>Ten Hypotheses about Socioeconomic Gradients and Community Differences in Children's Developmental Outcomes.</w:t>
          </w:r>
          <w:r w:rsidR="00EA6673" w:rsidRPr="0068116A">
            <w:rPr>
              <w:rFonts w:ascii="Times New Roman" w:hAnsi="Times New Roman"/>
              <w:noProof/>
              <w:sz w:val="22"/>
              <w:szCs w:val="22"/>
            </w:rPr>
            <w:t xml:space="preserve"> Retrieved June 29, 2019, from </w:t>
          </w:r>
          <w:hyperlink r:id="rId30" w:anchor="001272/page00.sht" w:history="1">
            <w:r w:rsidR="0068116A" w:rsidRPr="0068116A">
              <w:rPr>
                <w:rStyle w:val="Hyperlink"/>
                <w:rFonts w:ascii="Times New Roman" w:hAnsi="Times New Roman"/>
                <w:noProof/>
                <w:sz w:val="22"/>
                <w:szCs w:val="22"/>
              </w:rPr>
              <w:t>http://www.hrsdc.gc.ca/en/cs/sp/sdc/pkrf/publications/research/2003#001272/page00.sht</w:t>
            </w:r>
          </w:hyperlink>
        </w:p>
        <w:p w14:paraId="691462D6" w14:textId="45D44F76" w:rsidR="0068116A" w:rsidRDefault="0068116A" w:rsidP="0068116A">
          <w:pPr>
            <w:pStyle w:val="Bibliography"/>
            <w:rPr>
              <w:rFonts w:ascii="Times New Roman" w:hAnsi="Times New Roman"/>
              <w:noProof/>
              <w:sz w:val="22"/>
              <w:szCs w:val="22"/>
            </w:rPr>
          </w:pPr>
          <w:r>
            <w:rPr>
              <w:rFonts w:ascii="Times New Roman" w:hAnsi="Times New Roman"/>
              <w:noProof/>
              <w:sz w:val="22"/>
              <w:szCs w:val="22"/>
            </w:rPr>
            <w:t>World Bank (2016). Project Appraisal Document: Youth Employment and Opportunities</w:t>
          </w:r>
          <w:r w:rsidRPr="008D1240">
            <w:rPr>
              <w:rFonts w:ascii="Times New Roman" w:hAnsi="Times New Roman"/>
              <w:noProof/>
              <w:sz w:val="22"/>
              <w:szCs w:val="22"/>
            </w:rPr>
            <w:t xml:space="preserve">. </w:t>
          </w:r>
          <w:r>
            <w:rPr>
              <w:rFonts w:ascii="Times New Roman" w:hAnsi="Times New Roman"/>
              <w:i/>
              <w:iCs/>
              <w:noProof/>
              <w:sz w:val="22"/>
              <w:szCs w:val="22"/>
            </w:rPr>
            <w:t>The World Bank</w:t>
          </w:r>
          <w:r w:rsidRPr="008D1240">
            <w:rPr>
              <w:rFonts w:ascii="Times New Roman" w:hAnsi="Times New Roman"/>
              <w:noProof/>
              <w:sz w:val="22"/>
              <w:szCs w:val="22"/>
            </w:rPr>
            <w:t>.</w:t>
          </w:r>
        </w:p>
        <w:p w14:paraId="61D2A70A" w14:textId="62270C75" w:rsidR="003269DD" w:rsidRPr="0068116A" w:rsidRDefault="0068116A" w:rsidP="0068116A">
          <w:r>
            <w:rPr>
              <w:noProof/>
              <w:lang w:val="en-US"/>
            </w:rPr>
            <w:lastRenderedPageBreak/>
            <mc:AlternateContent>
              <mc:Choice Requires="wps">
                <w:drawing>
                  <wp:anchor distT="0" distB="0" distL="114300" distR="114300" simplePos="0" relativeHeight="252703744" behindDoc="0" locked="0" layoutInCell="1" allowOverlap="1" wp14:anchorId="155E9731" wp14:editId="0F15E0D0">
                    <wp:simplePos x="0" y="0"/>
                    <wp:positionH relativeFrom="column">
                      <wp:posOffset>-1117600</wp:posOffset>
                    </wp:positionH>
                    <wp:positionV relativeFrom="paragraph">
                      <wp:posOffset>-914400</wp:posOffset>
                    </wp:positionV>
                    <wp:extent cx="7550785" cy="3581400"/>
                    <wp:effectExtent l="0" t="0" r="0" b="0"/>
                    <wp:wrapThrough wrapText="bothSides">
                      <wp:wrapPolygon edited="0">
                        <wp:start x="0" y="0"/>
                        <wp:lineTo x="0" y="21447"/>
                        <wp:lineTo x="21507" y="21447"/>
                        <wp:lineTo x="21507"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7550785" cy="3581400"/>
                            </a:xfrm>
                            <a:prstGeom prst="rect">
                              <a:avLst/>
                            </a:prstGeom>
                            <a:solidFill>
                              <a:schemeClr val="accent3">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3D026" w14:textId="77777777" w:rsidR="002E5195" w:rsidRDefault="002E5195" w:rsidP="004175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67" type="#_x0000_t202" style="position:absolute;margin-left:-87.95pt;margin-top:-71.95pt;width:594.55pt;height:282pt;z-index:25270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" fillcolor="#a95715 [2406]" stroked="f">
                    <v:textbox>
                      <w:txbxContent>
                        <w:p w14:paraId="1E63D026" w14:textId="77777777" w:rsidR="002E5195" w:rsidRDefault="002E5195" w:rsidP="0041758A"/>
                      </w:txbxContent>
                    </v:textbox>
                    <w10:wrap type="through"/>
                  </v:shape>
                </w:pict>
              </mc:Fallback>
            </mc:AlternateContent>
          </w:r>
        </w:p>
      </w:sdtContent>
    </w:sdt>
    <w:p w14:paraId="2BC2522C" w14:textId="08DB5A62" w:rsidR="001B40AC" w:rsidRDefault="001B40AC" w:rsidP="00C927C5">
      <w:pPr>
        <w:jc w:val="right"/>
      </w:pPr>
    </w:p>
    <w:p w14:paraId="76DB4A40" w14:textId="1F4A20DE" w:rsidR="001B40AC" w:rsidRPr="00C927C5" w:rsidRDefault="006711E4" w:rsidP="003269DD">
      <w:pPr>
        <w:jc w:val="center"/>
      </w:pPr>
      <w:r>
        <w:rPr>
          <w:noProof/>
          <w:lang w:val="en-US"/>
        </w:rPr>
        <mc:AlternateContent>
          <mc:Choice Requires="wps">
            <w:drawing>
              <wp:anchor distT="0" distB="0" distL="114300" distR="114300" simplePos="0" relativeHeight="252698624" behindDoc="0" locked="0" layoutInCell="1" allowOverlap="1" wp14:anchorId="7FF82985" wp14:editId="0EF348AD">
                <wp:simplePos x="0" y="0"/>
                <wp:positionH relativeFrom="column">
                  <wp:posOffset>768350</wp:posOffset>
                </wp:positionH>
                <wp:positionV relativeFrom="paragraph">
                  <wp:posOffset>1520190</wp:posOffset>
                </wp:positionV>
                <wp:extent cx="3911600" cy="457200"/>
                <wp:effectExtent l="0" t="0" r="0" b="0"/>
                <wp:wrapNone/>
                <wp:docPr id="705" name="Text Box 705"/>
                <wp:cNvGraphicFramePr/>
                <a:graphic xmlns:a="http://schemas.openxmlformats.org/drawingml/2006/main">
                  <a:graphicData uri="http://schemas.microsoft.com/office/word/2010/wordprocessingShape">
                    <wps:wsp>
                      <wps:cNvSpPr txBox="1"/>
                      <wps:spPr>
                        <a:xfrm>
                          <a:off x="0" y="0"/>
                          <a:ext cx="391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CEB7D4" w14:textId="77777777" w:rsidR="002E5195" w:rsidRPr="00A845F1" w:rsidRDefault="002E5195" w:rsidP="0041758A">
                            <w:pPr>
                              <w:tabs>
                                <w:tab w:val="left" w:pos="3769"/>
                              </w:tabs>
                              <w:jc w:val="center"/>
                              <w:rPr>
                                <w:rFonts w:asciiTheme="majorHAnsi" w:hAnsiTheme="majorHAnsi"/>
                                <w:b/>
                                <w:color w:val="A95715" w:themeColor="accent3" w:themeShade="BF"/>
                                <w:sz w:val="36"/>
                                <w:szCs w:val="36"/>
                              </w:rPr>
                            </w:pPr>
                            <w:r w:rsidRPr="00A845F1">
                              <w:rPr>
                                <w:rFonts w:asciiTheme="majorHAnsi" w:hAnsiTheme="majorHAnsi"/>
                                <w:b/>
                                <w:color w:val="A95715" w:themeColor="accent3" w:themeShade="BF"/>
                                <w:sz w:val="36"/>
                                <w:szCs w:val="36"/>
                              </w:rPr>
                              <w:t>www.africanpridecentre.org</w:t>
                            </w:r>
                          </w:p>
                          <w:p w14:paraId="7C6EF5BC" w14:textId="77777777" w:rsidR="002E5195" w:rsidRDefault="002E5195" w:rsidP="004175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5" o:spid="_x0000_s1068" type="#_x0000_t202" style="position:absolute;left:0;text-align:left;margin-left:60.5pt;margin-top:119.7pt;width:308pt;height:36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" filled="f" stroked="f">
                <v:textbox>
                  <w:txbxContent>
                    <w:p w14:paraId="13CEB7D4" w14:textId="77777777" w:rsidR="002E5195" w:rsidRPr="00A845F1" w:rsidRDefault="002E5195" w:rsidP="0041758A">
                      <w:pPr>
                        <w:tabs>
                          <w:tab w:val="left" w:pos="3769"/>
                        </w:tabs>
                        <w:jc w:val="center"/>
                        <w:rPr>
                          <w:rFonts w:asciiTheme="majorHAnsi" w:hAnsiTheme="majorHAnsi"/>
                          <w:b/>
                          <w:color w:val="A95715" w:themeColor="accent3" w:themeShade="BF"/>
                          <w:sz w:val="36"/>
                          <w:szCs w:val="36"/>
                        </w:rPr>
                      </w:pPr>
                      <w:r w:rsidRPr="00A845F1">
                        <w:rPr>
                          <w:rFonts w:asciiTheme="majorHAnsi" w:hAnsiTheme="majorHAnsi"/>
                          <w:b/>
                          <w:color w:val="A95715" w:themeColor="accent3" w:themeShade="BF"/>
                          <w:sz w:val="36"/>
                          <w:szCs w:val="36"/>
                        </w:rPr>
                        <w:t>www.africanpridecentre.org</w:t>
                      </w:r>
                    </w:p>
                    <w:p w14:paraId="7C6EF5BC" w14:textId="77777777" w:rsidR="002E5195" w:rsidRDefault="002E5195" w:rsidP="0041758A"/>
                  </w:txbxContent>
                </v:textbox>
              </v:shape>
            </w:pict>
          </mc:Fallback>
        </mc:AlternateContent>
      </w:r>
      <w:r>
        <w:rPr>
          <w:noProof/>
          <w:lang w:val="en-US"/>
        </w:rPr>
        <w:drawing>
          <wp:anchor distT="0" distB="0" distL="114300" distR="114300" simplePos="0" relativeHeight="252696576" behindDoc="0" locked="0" layoutInCell="1" allowOverlap="1" wp14:anchorId="51F65AFA" wp14:editId="79DB9546">
            <wp:simplePos x="0" y="0"/>
            <wp:positionH relativeFrom="column">
              <wp:posOffset>1536700</wp:posOffset>
            </wp:positionH>
            <wp:positionV relativeFrom="paragraph">
              <wp:posOffset>664210</wp:posOffset>
            </wp:positionV>
            <wp:extent cx="2305050" cy="481965"/>
            <wp:effectExtent l="0" t="0" r="6350" b="635"/>
            <wp:wrapNone/>
            <wp:docPr id="704" name="Picture 3" descr="African PRIDE Cent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frican PRIDE Centre Logo.jpg"/>
                    <pic:cNvPicPr>
                      <a:picLocks noChangeAspect="1"/>
                    </pic:cNvPicPr>
                  </pic:nvPicPr>
                  <pic:blipFill>
                    <a:blip r:embed="rId31" r:link="rId32" cstate="print">
                      <a:extLst>
                        <a:ext uri="{28A0092B-C50C-407E-A947-70E740481C1C}">
                          <a14:useLocalDpi xmlns:a14="http://schemas.microsoft.com/office/drawing/2010/main" val="0"/>
                        </a:ext>
                      </a:extLst>
                    </a:blip>
                    <a:srcRect t="-7162"/>
                    <a:stretch>
                      <a:fillRect/>
                    </a:stretch>
                  </pic:blipFill>
                  <pic:spPr bwMode="auto">
                    <a:xfrm>
                      <a:off x="0" y="0"/>
                      <a:ext cx="230505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5F1">
        <w:rPr>
          <w:noProof/>
          <w:lang w:val="en-US"/>
        </w:rPr>
        <mc:AlternateContent>
          <mc:Choice Requires="wps">
            <w:drawing>
              <wp:anchor distT="0" distB="0" distL="114300" distR="114300" simplePos="0" relativeHeight="252700672" behindDoc="0" locked="0" layoutInCell="1" allowOverlap="1" wp14:anchorId="35C654B6" wp14:editId="49EE4647">
                <wp:simplePos x="0" y="0"/>
                <wp:positionH relativeFrom="column">
                  <wp:posOffset>558800</wp:posOffset>
                </wp:positionH>
                <wp:positionV relativeFrom="paragraph">
                  <wp:posOffset>1177290</wp:posOffset>
                </wp:positionV>
                <wp:extent cx="4469765" cy="274320"/>
                <wp:effectExtent l="0" t="0" r="635" b="5080"/>
                <wp:wrapNone/>
                <wp:docPr id="706" name="Text Box 706"/>
                <wp:cNvGraphicFramePr/>
                <a:graphic xmlns:a="http://schemas.openxmlformats.org/drawingml/2006/main">
                  <a:graphicData uri="http://schemas.microsoft.com/office/word/2010/wordprocessingShape">
                    <wps:wsp>
                      <wps:cNvSpPr txBox="1"/>
                      <wps:spPr>
                        <a:xfrm>
                          <a:off x="0" y="0"/>
                          <a:ext cx="4469765" cy="274320"/>
                        </a:xfrm>
                        <a:prstGeom prst="rect">
                          <a:avLst/>
                        </a:prstGeom>
                        <a:solidFill>
                          <a:srgbClr val="AA581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59D722" w14:textId="77777777" w:rsidR="002E5195" w:rsidRPr="00F00AC0" w:rsidRDefault="002E5195" w:rsidP="0041758A">
                            <w:pPr>
                              <w:jc w:val="center"/>
                              <w:rPr>
                                <w:rFonts w:ascii="Avenir Book" w:hAnsi="Avenir Book"/>
                                <w:b/>
                                <w:color w:val="FFFFFF" w:themeColor="background1"/>
                                <w:sz w:val="16"/>
                                <w:szCs w:val="16"/>
                              </w:rPr>
                            </w:pPr>
                            <w:r w:rsidRPr="00F00AC0">
                              <w:rPr>
                                <w:rFonts w:ascii="Avenir Book" w:hAnsi="Avenir Book"/>
                                <w:b/>
                                <w:color w:val="FFFFFF" w:themeColor="background1"/>
                                <w:sz w:val="16"/>
                                <w:szCs w:val="16"/>
                              </w:rPr>
                              <w:t>Innovations for Resilient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6" o:spid="_x0000_s1069" type="#_x0000_t202" style="position:absolute;left:0;text-align:left;margin-left:44pt;margin-top:92.7pt;width:351.95pt;height:21.6pt;z-index:25270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" fillcolor="#aa5816" stroked="f">
                <v:textbox>
                  <w:txbxContent>
                    <w:p w14:paraId="7459D722" w14:textId="77777777" w:rsidR="002E5195" w:rsidRPr="00F00AC0" w:rsidRDefault="002E5195" w:rsidP="0041758A">
                      <w:pPr>
                        <w:jc w:val="center"/>
                        <w:rPr>
                          <w:rFonts w:ascii="Avenir Book" w:hAnsi="Avenir Book"/>
                          <w:b/>
                          <w:color w:val="FFFFFF" w:themeColor="background1"/>
                          <w:sz w:val="16"/>
                          <w:szCs w:val="16"/>
                        </w:rPr>
                      </w:pPr>
                      <w:r w:rsidRPr="00F00AC0">
                        <w:rPr>
                          <w:rFonts w:ascii="Avenir Book" w:hAnsi="Avenir Book"/>
                          <w:b/>
                          <w:color w:val="FFFFFF" w:themeColor="background1"/>
                          <w:sz w:val="16"/>
                          <w:szCs w:val="16"/>
                        </w:rPr>
                        <w:t>Innovations for Resilient Communities</w:t>
                      </w:r>
                    </w:p>
                  </w:txbxContent>
                </v:textbox>
              </v:shape>
            </w:pict>
          </mc:Fallback>
        </mc:AlternateContent>
      </w:r>
      <w:r w:rsidR="00A845F1">
        <w:rPr>
          <w:noProof/>
          <w:lang w:val="en-US"/>
        </w:rPr>
        <w:drawing>
          <wp:anchor distT="0" distB="0" distL="114300" distR="114300" simplePos="0" relativeHeight="252701696" behindDoc="0" locked="0" layoutInCell="1" allowOverlap="1" wp14:anchorId="2DE4712A" wp14:editId="7F1D57C7">
            <wp:simplePos x="0" y="0"/>
            <wp:positionH relativeFrom="column">
              <wp:posOffset>-284609</wp:posOffset>
            </wp:positionH>
            <wp:positionV relativeFrom="paragraph">
              <wp:posOffset>341860</wp:posOffset>
            </wp:positionV>
            <wp:extent cx="1097280" cy="1456378"/>
            <wp:effectExtent l="203200" t="127000" r="198120" b="144145"/>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duotone>
                        <a:schemeClr val="accent6">
                          <a:shade val="45000"/>
                          <a:satMod val="135000"/>
                        </a:schemeClr>
                        <a:prstClr val="white"/>
                      </a:duotone>
                      <a:alphaModFix/>
                      <a:extLst>
                        <a:ext uri="{28A0092B-C50C-407E-A947-70E740481C1C}">
                          <a14:useLocalDpi xmlns:a14="http://schemas.microsoft.com/office/drawing/2010/main" val="0"/>
                        </a:ext>
                      </a:extLst>
                    </a:blip>
                    <a:srcRect r="8939" b="10938"/>
                    <a:stretch>
                      <a:fillRect/>
                    </a:stretch>
                  </pic:blipFill>
                  <pic:spPr bwMode="auto">
                    <a:xfrm rot="1219069">
                      <a:off x="0" y="0"/>
                      <a:ext cx="1097745" cy="1456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3F50">
        <w:rPr>
          <w:noProof/>
          <w:lang w:val="en-US"/>
        </w:rPr>
        <mc:AlternateContent>
          <mc:Choice Requires="wps">
            <w:drawing>
              <wp:anchor distT="0" distB="0" distL="114300" distR="114300" simplePos="0" relativeHeight="252695552" behindDoc="0" locked="0" layoutInCell="1" allowOverlap="1" wp14:anchorId="1056B8F9" wp14:editId="188BE152">
                <wp:simplePos x="0" y="0"/>
                <wp:positionH relativeFrom="column">
                  <wp:posOffset>-1117600</wp:posOffset>
                </wp:positionH>
                <wp:positionV relativeFrom="paragraph">
                  <wp:posOffset>3006090</wp:posOffset>
                </wp:positionV>
                <wp:extent cx="7550150" cy="3709035"/>
                <wp:effectExtent l="0" t="0" r="0" b="0"/>
                <wp:wrapThrough wrapText="bothSides">
                  <wp:wrapPolygon edited="0">
                    <wp:start x="0" y="0"/>
                    <wp:lineTo x="0" y="21448"/>
                    <wp:lineTo x="21509" y="21448"/>
                    <wp:lineTo x="21509" y="0"/>
                    <wp:lineTo x="0" y="0"/>
                  </wp:wrapPolygon>
                </wp:wrapThrough>
                <wp:docPr id="1829" name="Text Box 1829"/>
                <wp:cNvGraphicFramePr/>
                <a:graphic xmlns:a="http://schemas.openxmlformats.org/drawingml/2006/main">
                  <a:graphicData uri="http://schemas.microsoft.com/office/word/2010/wordprocessingShape">
                    <wps:wsp>
                      <wps:cNvSpPr txBox="1"/>
                      <wps:spPr>
                        <a:xfrm>
                          <a:off x="0" y="0"/>
                          <a:ext cx="7550150" cy="3709035"/>
                        </a:xfrm>
                        <a:prstGeom prst="rect">
                          <a:avLst/>
                        </a:prstGeom>
                        <a:solidFill>
                          <a:srgbClr val="AA581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31DCD1" w14:textId="77777777" w:rsidR="002E5195" w:rsidRDefault="002E5195" w:rsidP="001D11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29" o:spid="_x0000_s1070" type="#_x0000_t202" style="position:absolute;left:0;text-align:left;margin-left:-87.95pt;margin-top:236.7pt;width:594.5pt;height:292.05pt;z-index:2526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" fillcolor="#aa5816" stroked="f">
                <v:textbox>
                  <w:txbxContent>
                    <w:p w14:paraId="2531DCD1" w14:textId="77777777" w:rsidR="002E5195" w:rsidRDefault="002E5195" w:rsidP="001D11EB"/>
                  </w:txbxContent>
                </v:textbox>
                <w10:wrap type="through"/>
              </v:shape>
            </w:pict>
          </mc:Fallback>
        </mc:AlternateContent>
      </w:r>
    </w:p>
    <w:sectPr w:rsidR="001B40AC" w:rsidRPr="00C927C5" w:rsidSect="00C927C5">
      <w:pgSz w:w="11901" w:h="16840"/>
      <w:pgMar w:top="1440" w:right="1712" w:bottom="993" w:left="1712" w:header="720" w:footer="720" w:gutter="0"/>
      <w:pgNumType w:start="16"/>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88ADB" w14:textId="77777777" w:rsidR="00CE19A7" w:rsidRDefault="00CE19A7" w:rsidP="00583768">
      <w:pPr>
        <w:spacing w:after="0" w:line="240" w:lineRule="auto"/>
      </w:pPr>
      <w:r>
        <w:separator/>
      </w:r>
    </w:p>
  </w:endnote>
  <w:endnote w:type="continuationSeparator" w:id="0">
    <w:p w14:paraId="2874D0D4" w14:textId="77777777" w:rsidR="00CE19A7" w:rsidRDefault="00CE19A7" w:rsidP="00583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News Gothic MT">
    <w:panose1 w:val="020B0504020203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Malgun Gothic">
    <w:charset w:val="81"/>
    <w:family w:val="swiss"/>
    <w:pitch w:val="variable"/>
    <w:sig w:usb0="9000002F" w:usb1="29D77CFB" w:usb2="00000012" w:usb3="00000000" w:csb0="00080001"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Hebrew">
    <w:panose1 w:val="00000000000000000000"/>
    <w:charset w:val="00"/>
    <w:family w:val="auto"/>
    <w:pitch w:val="variable"/>
    <w:sig w:usb0="80000843" w:usb1="40002002" w:usb2="00000000" w:usb3="00000000" w:csb0="00000021" w:csb1="00000000"/>
  </w:font>
  <w:font w:name="Avenir Next Demi Bold">
    <w:panose1 w:val="020B0703020202020204"/>
    <w:charset w:val="00"/>
    <w:family w:val="auto"/>
    <w:pitch w:val="variable"/>
    <w:sig w:usb0="8000002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C7277" w14:textId="77777777" w:rsidR="002E5195" w:rsidRDefault="002E5195" w:rsidP="00ED40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E85E74" w14:textId="77777777" w:rsidR="002E5195" w:rsidRDefault="002E5195" w:rsidP="00ED40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00F67" w14:textId="77777777" w:rsidR="002E5195" w:rsidRPr="00997367" w:rsidRDefault="002E5195" w:rsidP="00ED40D9">
    <w:pPr>
      <w:pStyle w:val="Footer"/>
      <w:framePr w:wrap="around" w:vAnchor="text" w:hAnchor="margin" w:xAlign="right" w:y="1"/>
      <w:rPr>
        <w:rStyle w:val="PageNumber"/>
        <w:rFonts w:ascii="Times New Roman" w:hAnsi="Times New Roman"/>
      </w:rPr>
    </w:pPr>
    <w:r w:rsidRPr="00997367">
      <w:rPr>
        <w:rStyle w:val="PageNumber"/>
        <w:rFonts w:ascii="Times New Roman" w:hAnsi="Times New Roman"/>
      </w:rPr>
      <w:fldChar w:fldCharType="begin"/>
    </w:r>
    <w:r w:rsidRPr="00997367">
      <w:rPr>
        <w:rStyle w:val="PageNumber"/>
        <w:rFonts w:ascii="Times New Roman" w:hAnsi="Times New Roman"/>
      </w:rPr>
      <w:instrText xml:space="preserve">PAGE  </w:instrText>
    </w:r>
    <w:r w:rsidRPr="00997367">
      <w:rPr>
        <w:rStyle w:val="PageNumber"/>
        <w:rFonts w:ascii="Times New Roman" w:hAnsi="Times New Roman"/>
      </w:rPr>
      <w:fldChar w:fldCharType="separate"/>
    </w:r>
    <w:r w:rsidR="00CE19A7">
      <w:rPr>
        <w:rStyle w:val="PageNumber"/>
        <w:rFonts w:ascii="Times New Roman" w:hAnsi="Times New Roman"/>
      </w:rPr>
      <w:t>10</w:t>
    </w:r>
    <w:r w:rsidRPr="00997367">
      <w:rPr>
        <w:rStyle w:val="PageNumber"/>
        <w:rFonts w:ascii="Times New Roman" w:hAnsi="Times New Roman"/>
      </w:rPr>
      <w:fldChar w:fldCharType="end"/>
    </w:r>
  </w:p>
  <w:p w14:paraId="1902C112" w14:textId="77777777" w:rsidR="002E5195" w:rsidRPr="00C030C4" w:rsidRDefault="002E5195" w:rsidP="0002322B">
    <w:pPr>
      <w:pStyle w:val="Footer"/>
      <w:tabs>
        <w:tab w:val="clear" w:pos="4513"/>
        <w:tab w:val="clear" w:pos="9026"/>
        <w:tab w:val="left" w:pos="2493"/>
      </w:tabs>
      <w:ind w:right="360"/>
      <w:rPr>
        <w:rFonts w:ascii="Times New Roman" w:hAnsi="Times New Roman"/>
      </w:rPr>
    </w:pPr>
    <w:r>
      <w:rPr>
        <w:rFonts w:ascii="Times New Roman" w:hAnsi="Times New Roman"/>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FA78B" w14:textId="77777777" w:rsidR="00CE19A7" w:rsidRDefault="00CE19A7" w:rsidP="00583768">
      <w:pPr>
        <w:spacing w:after="0" w:line="240" w:lineRule="auto"/>
      </w:pPr>
      <w:r>
        <w:separator/>
      </w:r>
    </w:p>
  </w:footnote>
  <w:footnote w:type="continuationSeparator" w:id="0">
    <w:p w14:paraId="74F7DF70" w14:textId="77777777" w:rsidR="00CE19A7" w:rsidRDefault="00CE19A7" w:rsidP="00583768">
      <w:pPr>
        <w:spacing w:after="0" w:line="240" w:lineRule="auto"/>
      </w:pPr>
      <w:r>
        <w:continuationSeparator/>
      </w:r>
    </w:p>
  </w:footnote>
  <w:footnote w:id="1">
    <w:p w14:paraId="1905AC9E" w14:textId="128C4C68" w:rsidR="002E5195" w:rsidRPr="00590423" w:rsidRDefault="002E5195" w:rsidP="00C016B1">
      <w:pPr>
        <w:pStyle w:val="FootnoteText"/>
        <w:jc w:val="both"/>
        <w:rPr>
          <w:rFonts w:ascii="Times New Roman" w:hAnsi="Times New Roman"/>
          <w:sz w:val="16"/>
          <w:szCs w:val="16"/>
          <w:lang w:val="en-US"/>
        </w:rPr>
      </w:pPr>
      <w:r w:rsidRPr="00590423">
        <w:rPr>
          <w:rStyle w:val="FootnoteReference"/>
          <w:rFonts w:ascii="Times New Roman" w:hAnsi="Times New Roman"/>
          <w:sz w:val="16"/>
          <w:szCs w:val="16"/>
        </w:rPr>
        <w:footnoteRef/>
      </w:r>
      <w:r w:rsidRPr="00590423">
        <w:rPr>
          <w:rFonts w:ascii="Times New Roman" w:hAnsi="Times New Roman"/>
          <w:sz w:val="16"/>
          <w:szCs w:val="16"/>
        </w:rPr>
        <w:t xml:space="preserve"> </w:t>
      </w:r>
      <w:r w:rsidRPr="00590423">
        <w:rPr>
          <w:rFonts w:ascii="Times New Roman" w:hAnsi="Times New Roman"/>
          <w:sz w:val="16"/>
          <w:szCs w:val="16"/>
          <w:lang w:val="en-US"/>
        </w:rPr>
        <w:t>A large body of research has shown the import of the first 3 years of a child’s life</w:t>
      </w:r>
      <w:r w:rsidRPr="00590423">
        <w:rPr>
          <w:rFonts w:ascii="Times New Roman" w:hAnsi="Times New Roman"/>
          <w:noProof/>
          <w:sz w:val="16"/>
          <w:szCs w:val="16"/>
          <w:lang w:val="en-US"/>
        </w:rPr>
        <w:t xml:space="preserve"> (Yoshikaw</w:t>
      </w:r>
      <w:r w:rsidR="00177C2F">
        <w:rPr>
          <w:rFonts w:ascii="Times New Roman" w:hAnsi="Times New Roman"/>
          <w:noProof/>
          <w:sz w:val="16"/>
          <w:szCs w:val="16"/>
          <w:lang w:val="en-US"/>
        </w:rPr>
        <w:t xml:space="preserve">a, et al.). The experiences and </w:t>
      </w:r>
      <w:r w:rsidRPr="00590423">
        <w:rPr>
          <w:rFonts w:ascii="Times New Roman" w:hAnsi="Times New Roman"/>
          <w:noProof/>
          <w:sz w:val="16"/>
          <w:szCs w:val="16"/>
          <w:lang w:val="en-US"/>
        </w:rPr>
        <w:t>interactions that children have in these early years heavily affect brain development and, help to establish the</w:t>
      </w:r>
      <w:r w:rsidR="00177C2F">
        <w:rPr>
          <w:rFonts w:ascii="Times New Roman" w:hAnsi="Times New Roman"/>
          <w:noProof/>
          <w:sz w:val="16"/>
          <w:szCs w:val="16"/>
          <w:lang w:val="en-US"/>
        </w:rPr>
        <w:t xml:space="preserve"> foundation for future learning</w:t>
      </w:r>
      <w:r w:rsidRPr="00590423">
        <w:rPr>
          <w:rFonts w:ascii="Times New Roman" w:hAnsi="Times New Roman"/>
          <w:noProof/>
          <w:sz w:val="16"/>
          <w:szCs w:val="16"/>
          <w:lang w:val="en-US"/>
        </w:rPr>
        <w:t xml:space="preserve"> (Center on Developing Child, 2007).</w:t>
      </w:r>
    </w:p>
  </w:footnote>
  <w:footnote w:id="2">
    <w:p w14:paraId="339504C1" w14:textId="435662B2" w:rsidR="002E5195" w:rsidRPr="00A4768D" w:rsidRDefault="002E5195">
      <w:pPr>
        <w:pStyle w:val="FootnoteText"/>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1E052" w14:textId="2D476E42" w:rsidR="002E5195" w:rsidRPr="00C53717" w:rsidRDefault="002E5195" w:rsidP="00AD13AD">
    <w:pPr>
      <w:pStyle w:val="Header"/>
      <w:jc w:val="right"/>
      <w:rPr>
        <w:rFonts w:ascii="Avenir Next Demi Bold" w:hAnsi="Avenir Next Demi Bold"/>
        <w:sz w:val="32"/>
        <w:szCs w:val="32"/>
      </w:rPr>
    </w:pPr>
    <w:r>
      <w:rPr>
        <w:noProof/>
        <w:lang w:val="en-US"/>
      </w:rPr>
      <w:drawing>
        <wp:anchor distT="0" distB="0" distL="114300" distR="114300" simplePos="0" relativeHeight="251671552" behindDoc="0" locked="0" layoutInCell="1" allowOverlap="1" wp14:anchorId="05640A37" wp14:editId="7241E351">
          <wp:simplePos x="0" y="0"/>
          <wp:positionH relativeFrom="column">
            <wp:posOffset>3562350</wp:posOffset>
          </wp:positionH>
          <wp:positionV relativeFrom="paragraph">
            <wp:posOffset>0</wp:posOffset>
          </wp:positionV>
          <wp:extent cx="1746250" cy="278765"/>
          <wp:effectExtent l="0" t="0" r="6350" b="635"/>
          <wp:wrapTight wrapText="bothSides">
            <wp:wrapPolygon edited="0">
              <wp:start x="0" y="0"/>
              <wp:lineTo x="0" y="19681"/>
              <wp:lineTo x="21364" y="19681"/>
              <wp:lineTo x="21364" y="0"/>
              <wp:lineTo x="0" y="0"/>
            </wp:wrapPolygon>
          </wp:wrapTight>
          <wp:docPr id="13989" name="Picture 3" descr="African PRIDE Cent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frican PRIDE Centre Logo.jpg"/>
                  <pic:cNvPicPr>
                    <a:picLocks noChangeAspect="1"/>
                  </pic:cNvPicPr>
                </pic:nvPicPr>
                <pic:blipFill>
                  <a:blip r:embed="rId1" r:link="rId2" cstate="print">
                    <a:extLst>
                      <a:ext uri="{28A0092B-C50C-407E-A947-70E740481C1C}">
                        <a14:useLocalDpi xmlns:a14="http://schemas.microsoft.com/office/drawing/2010/main" val="0"/>
                      </a:ext>
                    </a:extLst>
                  </a:blip>
                  <a:srcRect t="-7162"/>
                  <a:stretch>
                    <a:fillRect/>
                  </a:stretch>
                </pic:blipFill>
                <pic:spPr bwMode="auto">
                  <a:xfrm>
                    <a:off x="0" y="0"/>
                    <a:ext cx="1746250" cy="278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cs="Arial"/>
        <w:i/>
        <w:noProof/>
        <w:sz w:val="16"/>
        <w:szCs w:val="16"/>
        <w:lang w:val="en-US"/>
      </w:rPr>
      <w:drawing>
        <wp:anchor distT="0" distB="0" distL="114300" distR="114300" simplePos="0" relativeHeight="251670528" behindDoc="0" locked="0" layoutInCell="1" allowOverlap="1" wp14:anchorId="28CE65C7" wp14:editId="285DA56E">
          <wp:simplePos x="0" y="0"/>
          <wp:positionH relativeFrom="column">
            <wp:posOffset>-1048385</wp:posOffset>
          </wp:positionH>
          <wp:positionV relativeFrom="paragraph">
            <wp:posOffset>226060</wp:posOffset>
          </wp:positionV>
          <wp:extent cx="7544435" cy="93980"/>
          <wp:effectExtent l="0" t="0" r="0" b="7620"/>
          <wp:wrapThrough wrapText="bothSides">
            <wp:wrapPolygon edited="0">
              <wp:start x="0" y="0"/>
              <wp:lineTo x="0" y="17514"/>
              <wp:lineTo x="21525" y="17514"/>
              <wp:lineTo x="21525" y="0"/>
              <wp:lineTo x="0" y="0"/>
            </wp:wrapPolygon>
          </wp:wrapThrough>
          <wp:docPr id="139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
                    <a:extLst>
                      <a:ext uri="{28A0092B-C50C-407E-A947-70E740481C1C}">
                        <a14:useLocalDpi xmlns:a14="http://schemas.microsoft.com/office/drawing/2010/main" val="0"/>
                      </a:ext>
                    </a:extLst>
                  </a:blip>
                  <a:srcRect t="2" b="52000"/>
                  <a:stretch>
                    <a:fillRect/>
                  </a:stretch>
                </pic:blipFill>
                <pic:spPr bwMode="auto">
                  <a:xfrm>
                    <a:off x="0" y="0"/>
                    <a:ext cx="7544435" cy="93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Demi Bold" w:hAnsi="Avenir Next Demi Bold"/>
        <w:sz w:val="44"/>
        <w:szCs w:val="44"/>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75747"/>
    <w:multiLevelType w:val="hybridMultilevel"/>
    <w:tmpl w:val="F732D6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3873CC"/>
    <w:multiLevelType w:val="hybridMultilevel"/>
    <w:tmpl w:val="3C366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2457FE"/>
    <w:multiLevelType w:val="multilevel"/>
    <w:tmpl w:val="EB50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9F2A82"/>
    <w:multiLevelType w:val="hybridMultilevel"/>
    <w:tmpl w:val="CCEE40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8733A8"/>
    <w:multiLevelType w:val="hybridMultilevel"/>
    <w:tmpl w:val="CD5A8B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B06C4"/>
    <w:multiLevelType w:val="hybridMultilevel"/>
    <w:tmpl w:val="59E621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A16FF6"/>
    <w:multiLevelType w:val="hybridMultilevel"/>
    <w:tmpl w:val="09624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C94FA5"/>
    <w:multiLevelType w:val="hybridMultilevel"/>
    <w:tmpl w:val="7E64624C"/>
    <w:lvl w:ilvl="0" w:tplc="0409000D">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
    <w:nsid w:val="13D34B5D"/>
    <w:multiLevelType w:val="hybridMultilevel"/>
    <w:tmpl w:val="02FE3160"/>
    <w:lvl w:ilvl="0" w:tplc="04090005">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nsid w:val="13DD3998"/>
    <w:multiLevelType w:val="multilevel"/>
    <w:tmpl w:val="6F9069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8471CBD"/>
    <w:multiLevelType w:val="multilevel"/>
    <w:tmpl w:val="27623426"/>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nsid w:val="1C7E3B49"/>
    <w:multiLevelType w:val="hybridMultilevel"/>
    <w:tmpl w:val="2BE65C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1715EE"/>
    <w:multiLevelType w:val="hybridMultilevel"/>
    <w:tmpl w:val="09789F76"/>
    <w:lvl w:ilvl="0" w:tplc="04090003">
      <w:start w:val="1"/>
      <w:numFmt w:val="bullet"/>
      <w:lvlText w:val="o"/>
      <w:lvlJc w:val="left"/>
      <w:pPr>
        <w:ind w:left="773" w:hanging="360"/>
      </w:pPr>
      <w:rPr>
        <w:rFonts w:ascii="Courier New" w:hAnsi="Courier New" w:cs="Courier New"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nsid w:val="27425259"/>
    <w:multiLevelType w:val="hybridMultilevel"/>
    <w:tmpl w:val="E28CA822"/>
    <w:lvl w:ilvl="0" w:tplc="04090005">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nsid w:val="27B6252C"/>
    <w:multiLevelType w:val="multilevel"/>
    <w:tmpl w:val="9AB45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35213EA"/>
    <w:multiLevelType w:val="multilevel"/>
    <w:tmpl w:val="738EA5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4CB1AF3"/>
    <w:multiLevelType w:val="multilevel"/>
    <w:tmpl w:val="36F23FB4"/>
    <w:lvl w:ilvl="0">
      <w:start w:val="3"/>
      <w:numFmt w:val="decimal"/>
      <w:lvlText w:val="%1"/>
      <w:lvlJc w:val="left"/>
      <w:pPr>
        <w:ind w:left="360" w:hanging="360"/>
      </w:pPr>
      <w:rPr>
        <w:rFonts w:hint="default"/>
        <w:u w:val="none"/>
      </w:rPr>
    </w:lvl>
    <w:lvl w:ilvl="1">
      <w:start w:val="1"/>
      <w:numFmt w:val="decimal"/>
      <w:lvlText w:val="%1.%2"/>
      <w:lvlJc w:val="left"/>
      <w:pPr>
        <w:ind w:left="819" w:hanging="360"/>
      </w:pPr>
      <w:rPr>
        <w:rFonts w:hint="default"/>
        <w:u w:val="none"/>
      </w:rPr>
    </w:lvl>
    <w:lvl w:ilvl="2">
      <w:start w:val="1"/>
      <w:numFmt w:val="decimal"/>
      <w:lvlText w:val="%1.%2.%3"/>
      <w:lvlJc w:val="left"/>
      <w:pPr>
        <w:ind w:left="1638" w:hanging="720"/>
      </w:pPr>
      <w:rPr>
        <w:rFonts w:hint="default"/>
        <w:u w:val="none"/>
      </w:rPr>
    </w:lvl>
    <w:lvl w:ilvl="3">
      <w:start w:val="1"/>
      <w:numFmt w:val="decimal"/>
      <w:lvlText w:val="%1.%2.%3.%4"/>
      <w:lvlJc w:val="left"/>
      <w:pPr>
        <w:ind w:left="2097" w:hanging="720"/>
      </w:pPr>
      <w:rPr>
        <w:rFonts w:hint="default"/>
        <w:u w:val="none"/>
      </w:rPr>
    </w:lvl>
    <w:lvl w:ilvl="4">
      <w:start w:val="1"/>
      <w:numFmt w:val="decimal"/>
      <w:lvlText w:val="%1.%2.%3.%4.%5"/>
      <w:lvlJc w:val="left"/>
      <w:pPr>
        <w:ind w:left="2916" w:hanging="1080"/>
      </w:pPr>
      <w:rPr>
        <w:rFonts w:hint="default"/>
        <w:u w:val="none"/>
      </w:rPr>
    </w:lvl>
    <w:lvl w:ilvl="5">
      <w:start w:val="1"/>
      <w:numFmt w:val="decimal"/>
      <w:lvlText w:val="%1.%2.%3.%4.%5.%6"/>
      <w:lvlJc w:val="left"/>
      <w:pPr>
        <w:ind w:left="3375" w:hanging="1080"/>
      </w:pPr>
      <w:rPr>
        <w:rFonts w:hint="default"/>
        <w:u w:val="none"/>
      </w:rPr>
    </w:lvl>
    <w:lvl w:ilvl="6">
      <w:start w:val="1"/>
      <w:numFmt w:val="decimal"/>
      <w:lvlText w:val="%1.%2.%3.%4.%5.%6.%7"/>
      <w:lvlJc w:val="left"/>
      <w:pPr>
        <w:ind w:left="4194" w:hanging="1440"/>
      </w:pPr>
      <w:rPr>
        <w:rFonts w:hint="default"/>
        <w:u w:val="none"/>
      </w:rPr>
    </w:lvl>
    <w:lvl w:ilvl="7">
      <w:start w:val="1"/>
      <w:numFmt w:val="decimal"/>
      <w:lvlText w:val="%1.%2.%3.%4.%5.%6.%7.%8"/>
      <w:lvlJc w:val="left"/>
      <w:pPr>
        <w:ind w:left="4653" w:hanging="1440"/>
      </w:pPr>
      <w:rPr>
        <w:rFonts w:hint="default"/>
        <w:u w:val="none"/>
      </w:rPr>
    </w:lvl>
    <w:lvl w:ilvl="8">
      <w:start w:val="1"/>
      <w:numFmt w:val="decimal"/>
      <w:lvlText w:val="%1.%2.%3.%4.%5.%6.%7.%8.%9"/>
      <w:lvlJc w:val="left"/>
      <w:pPr>
        <w:ind w:left="5472" w:hanging="1800"/>
      </w:pPr>
      <w:rPr>
        <w:rFonts w:hint="default"/>
        <w:u w:val="none"/>
      </w:rPr>
    </w:lvl>
  </w:abstractNum>
  <w:abstractNum w:abstractNumId="18">
    <w:nsid w:val="3673292D"/>
    <w:multiLevelType w:val="hybridMultilevel"/>
    <w:tmpl w:val="B524B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B05676"/>
    <w:multiLevelType w:val="hybridMultilevel"/>
    <w:tmpl w:val="594C45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9F158C"/>
    <w:multiLevelType w:val="hybridMultilevel"/>
    <w:tmpl w:val="E664078E"/>
    <w:lvl w:ilvl="0" w:tplc="F8684CC8">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4E8C109A"/>
    <w:multiLevelType w:val="multilevel"/>
    <w:tmpl w:val="B900EA68"/>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2">
    <w:nsid w:val="55306213"/>
    <w:multiLevelType w:val="hybridMultilevel"/>
    <w:tmpl w:val="824C26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F41223"/>
    <w:multiLevelType w:val="multilevel"/>
    <w:tmpl w:val="01486F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A930738"/>
    <w:multiLevelType w:val="multilevel"/>
    <w:tmpl w:val="1C24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C612A2"/>
    <w:multiLevelType w:val="multilevel"/>
    <w:tmpl w:val="2E20F2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177DF3"/>
    <w:multiLevelType w:val="multilevel"/>
    <w:tmpl w:val="51EC50E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5DF1288F"/>
    <w:multiLevelType w:val="hybridMultilevel"/>
    <w:tmpl w:val="85AA5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B164EB"/>
    <w:multiLevelType w:val="hybridMultilevel"/>
    <w:tmpl w:val="BEC061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8A4757"/>
    <w:multiLevelType w:val="multilevel"/>
    <w:tmpl w:val="54E2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49A2514"/>
    <w:multiLevelType w:val="multilevel"/>
    <w:tmpl w:val="50E4D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4F2199"/>
    <w:multiLevelType w:val="multilevel"/>
    <w:tmpl w:val="4410A97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nsid w:val="686703EF"/>
    <w:multiLevelType w:val="hybridMultilevel"/>
    <w:tmpl w:val="30D47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C10F98"/>
    <w:multiLevelType w:val="hybridMultilevel"/>
    <w:tmpl w:val="BE322C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F30F12"/>
    <w:multiLevelType w:val="hybridMultilevel"/>
    <w:tmpl w:val="22D81C0A"/>
    <w:lvl w:ilvl="0" w:tplc="190097F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69D31E12"/>
    <w:multiLevelType w:val="hybridMultilevel"/>
    <w:tmpl w:val="9B34B9AE"/>
    <w:lvl w:ilvl="0" w:tplc="29CC04B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6">
    <w:nsid w:val="6EAC16ED"/>
    <w:multiLevelType w:val="multilevel"/>
    <w:tmpl w:val="6D6E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98720F"/>
    <w:multiLevelType w:val="multilevel"/>
    <w:tmpl w:val="FDAA10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7B0A0B0C"/>
    <w:multiLevelType w:val="multilevel"/>
    <w:tmpl w:val="E91C5BB4"/>
    <w:lvl w:ilvl="0">
      <w:start w:val="2"/>
      <w:numFmt w:val="decimal"/>
      <w:lvlText w:val="%1"/>
      <w:lvlJc w:val="left"/>
      <w:pPr>
        <w:ind w:left="360" w:hanging="360"/>
      </w:pPr>
      <w:rPr>
        <w:rFonts w:hint="default"/>
        <w:u w:val="none"/>
      </w:rPr>
    </w:lvl>
    <w:lvl w:ilvl="1">
      <w:start w:val="1"/>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39">
    <w:nsid w:val="7BC7558E"/>
    <w:multiLevelType w:val="hybridMultilevel"/>
    <w:tmpl w:val="D28A8D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810565"/>
    <w:multiLevelType w:val="hybridMultilevel"/>
    <w:tmpl w:val="5882D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850799"/>
    <w:multiLevelType w:val="hybridMultilevel"/>
    <w:tmpl w:val="7760329E"/>
    <w:lvl w:ilvl="0" w:tplc="29CC04B2">
      <w:start w:val="1"/>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9C7318"/>
    <w:multiLevelType w:val="multilevel"/>
    <w:tmpl w:val="3D70629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6"/>
  </w:num>
  <w:num w:numId="2">
    <w:abstractNumId w:val="9"/>
  </w:num>
  <w:num w:numId="3">
    <w:abstractNumId w:val="14"/>
  </w:num>
  <w:num w:numId="4">
    <w:abstractNumId w:val="7"/>
  </w:num>
  <w:num w:numId="5">
    <w:abstractNumId w:val="2"/>
  </w:num>
  <w:num w:numId="6">
    <w:abstractNumId w:val="42"/>
  </w:num>
  <w:num w:numId="7">
    <w:abstractNumId w:val="11"/>
  </w:num>
  <w:num w:numId="8">
    <w:abstractNumId w:val="25"/>
  </w:num>
  <w:num w:numId="9">
    <w:abstractNumId w:val="6"/>
  </w:num>
  <w:num w:numId="10">
    <w:abstractNumId w:val="35"/>
  </w:num>
  <w:num w:numId="11">
    <w:abstractNumId w:val="8"/>
  </w:num>
  <w:num w:numId="12">
    <w:abstractNumId w:val="22"/>
  </w:num>
  <w:num w:numId="13">
    <w:abstractNumId w:val="24"/>
  </w:num>
  <w:num w:numId="14">
    <w:abstractNumId w:val="3"/>
  </w:num>
  <w:num w:numId="15">
    <w:abstractNumId w:val="36"/>
  </w:num>
  <w:num w:numId="16">
    <w:abstractNumId w:val="39"/>
  </w:num>
  <w:num w:numId="17">
    <w:abstractNumId w:val="28"/>
  </w:num>
  <w:num w:numId="18">
    <w:abstractNumId w:val="29"/>
  </w:num>
  <w:num w:numId="19">
    <w:abstractNumId w:val="12"/>
  </w:num>
  <w:num w:numId="20">
    <w:abstractNumId w:val="13"/>
  </w:num>
  <w:num w:numId="21">
    <w:abstractNumId w:val="1"/>
  </w:num>
  <w:num w:numId="22">
    <w:abstractNumId w:val="41"/>
  </w:num>
  <w:num w:numId="23">
    <w:abstractNumId w:val="21"/>
  </w:num>
  <w:num w:numId="24">
    <w:abstractNumId w:val="23"/>
  </w:num>
  <w:num w:numId="25">
    <w:abstractNumId w:val="31"/>
  </w:num>
  <w:num w:numId="26">
    <w:abstractNumId w:val="37"/>
  </w:num>
  <w:num w:numId="27">
    <w:abstractNumId w:val="10"/>
  </w:num>
  <w:num w:numId="28">
    <w:abstractNumId w:val="16"/>
  </w:num>
  <w:num w:numId="29">
    <w:abstractNumId w:val="33"/>
  </w:num>
  <w:num w:numId="30">
    <w:abstractNumId w:val="15"/>
  </w:num>
  <w:num w:numId="31">
    <w:abstractNumId w:val="38"/>
  </w:num>
  <w:num w:numId="32">
    <w:abstractNumId w:val="17"/>
  </w:num>
  <w:num w:numId="33">
    <w:abstractNumId w:val="5"/>
  </w:num>
  <w:num w:numId="34">
    <w:abstractNumId w:val="4"/>
  </w:num>
  <w:num w:numId="35">
    <w:abstractNumId w:val="32"/>
  </w:num>
  <w:num w:numId="36">
    <w:abstractNumId w:val="40"/>
  </w:num>
  <w:num w:numId="37">
    <w:abstractNumId w:val="18"/>
  </w:num>
  <w:num w:numId="38">
    <w:abstractNumId w:val="27"/>
  </w:num>
  <w:num w:numId="39">
    <w:abstractNumId w:val="19"/>
  </w:num>
  <w:num w:numId="40">
    <w:abstractNumId w:val="30"/>
  </w:num>
  <w:num w:numId="41">
    <w:abstractNumId w:val="0"/>
  </w:num>
  <w:num w:numId="42">
    <w:abstractNumId w:val="34"/>
  </w:num>
  <w:num w:numId="43">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activeWritingStyle w:appName="MSWord" w:lang="en-GB" w:vendorID="64" w:dllVersion="131078" w:nlCheck="1" w:checkStyle="1"/>
  <w:activeWritingStyle w:appName="MSWord" w:lang="en-US" w:vendorID="64" w:dllVersion="131078" w:nlCheck="1" w:checkStyle="1"/>
  <w:proofState w:spelling="clean" w:grammar="clean"/>
  <w:revisionView w:markup="0"/>
  <w:defaultTabStop w:val="720"/>
  <w:drawingGridHorizontalSpacing w:val="110"/>
  <w:displayHorizontalDrawingGridEvery w:val="2"/>
  <w:displayVerticalDrawingGridEvery w:val="2"/>
  <w:characterSpacingControl w:val="doNotCompress"/>
  <w:savePreviewPicture/>
  <w:hdrShapeDefaults>
    <o:shapedefaults v:ext="edit" spidmax="2049">
      <o:colormru v:ext="edit" colors="#f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45E"/>
    <w:rsid w:val="0000006D"/>
    <w:rsid w:val="00000248"/>
    <w:rsid w:val="00000722"/>
    <w:rsid w:val="000007B5"/>
    <w:rsid w:val="0000087D"/>
    <w:rsid w:val="00000900"/>
    <w:rsid w:val="00000AB3"/>
    <w:rsid w:val="00000EDE"/>
    <w:rsid w:val="00001053"/>
    <w:rsid w:val="000011B2"/>
    <w:rsid w:val="0000141A"/>
    <w:rsid w:val="00001945"/>
    <w:rsid w:val="00001CED"/>
    <w:rsid w:val="0000203F"/>
    <w:rsid w:val="000020A5"/>
    <w:rsid w:val="0000232E"/>
    <w:rsid w:val="000023F1"/>
    <w:rsid w:val="00002938"/>
    <w:rsid w:val="00002B79"/>
    <w:rsid w:val="00002E74"/>
    <w:rsid w:val="00002EEF"/>
    <w:rsid w:val="000031C1"/>
    <w:rsid w:val="0000360A"/>
    <w:rsid w:val="00003688"/>
    <w:rsid w:val="0000380D"/>
    <w:rsid w:val="00003AE2"/>
    <w:rsid w:val="00003F88"/>
    <w:rsid w:val="000044D0"/>
    <w:rsid w:val="000045BE"/>
    <w:rsid w:val="00004627"/>
    <w:rsid w:val="0000483E"/>
    <w:rsid w:val="00004CF2"/>
    <w:rsid w:val="00004E74"/>
    <w:rsid w:val="0000501C"/>
    <w:rsid w:val="000056DF"/>
    <w:rsid w:val="00005A78"/>
    <w:rsid w:val="00005AE5"/>
    <w:rsid w:val="00005D9B"/>
    <w:rsid w:val="00005DEE"/>
    <w:rsid w:val="00006339"/>
    <w:rsid w:val="0000690A"/>
    <w:rsid w:val="00006C8A"/>
    <w:rsid w:val="00006CE3"/>
    <w:rsid w:val="0000709C"/>
    <w:rsid w:val="0000709F"/>
    <w:rsid w:val="00007B51"/>
    <w:rsid w:val="00007B72"/>
    <w:rsid w:val="00007D26"/>
    <w:rsid w:val="00010793"/>
    <w:rsid w:val="00010826"/>
    <w:rsid w:val="00010CE0"/>
    <w:rsid w:val="00010E26"/>
    <w:rsid w:val="00011016"/>
    <w:rsid w:val="000113C7"/>
    <w:rsid w:val="000115ED"/>
    <w:rsid w:val="0001176D"/>
    <w:rsid w:val="00011916"/>
    <w:rsid w:val="000119C8"/>
    <w:rsid w:val="0001203A"/>
    <w:rsid w:val="0001206B"/>
    <w:rsid w:val="000123A4"/>
    <w:rsid w:val="000123D9"/>
    <w:rsid w:val="00012580"/>
    <w:rsid w:val="000126A3"/>
    <w:rsid w:val="00012714"/>
    <w:rsid w:val="00012862"/>
    <w:rsid w:val="00012B8B"/>
    <w:rsid w:val="00013B2E"/>
    <w:rsid w:val="00013B91"/>
    <w:rsid w:val="00013E63"/>
    <w:rsid w:val="00013FFA"/>
    <w:rsid w:val="0001418D"/>
    <w:rsid w:val="000148DE"/>
    <w:rsid w:val="00014A5A"/>
    <w:rsid w:val="00014C43"/>
    <w:rsid w:val="00014DE6"/>
    <w:rsid w:val="00014F17"/>
    <w:rsid w:val="000151C9"/>
    <w:rsid w:val="000151D5"/>
    <w:rsid w:val="000153E3"/>
    <w:rsid w:val="000159A1"/>
    <w:rsid w:val="00015BB1"/>
    <w:rsid w:val="00015CCC"/>
    <w:rsid w:val="00016045"/>
    <w:rsid w:val="0001645B"/>
    <w:rsid w:val="00016621"/>
    <w:rsid w:val="00016C66"/>
    <w:rsid w:val="00016EC2"/>
    <w:rsid w:val="00017071"/>
    <w:rsid w:val="000172A6"/>
    <w:rsid w:val="000172DB"/>
    <w:rsid w:val="0001748E"/>
    <w:rsid w:val="000174E8"/>
    <w:rsid w:val="00017C62"/>
    <w:rsid w:val="00017D4E"/>
    <w:rsid w:val="00017DF2"/>
    <w:rsid w:val="000200EC"/>
    <w:rsid w:val="00020B34"/>
    <w:rsid w:val="00020EBC"/>
    <w:rsid w:val="00021264"/>
    <w:rsid w:val="000212F3"/>
    <w:rsid w:val="00021361"/>
    <w:rsid w:val="00021BA7"/>
    <w:rsid w:val="00021F85"/>
    <w:rsid w:val="000220DB"/>
    <w:rsid w:val="000223C4"/>
    <w:rsid w:val="000223FF"/>
    <w:rsid w:val="000224CC"/>
    <w:rsid w:val="00022A05"/>
    <w:rsid w:val="00022A31"/>
    <w:rsid w:val="00022A8B"/>
    <w:rsid w:val="00022CC2"/>
    <w:rsid w:val="00022E97"/>
    <w:rsid w:val="0002322B"/>
    <w:rsid w:val="00023330"/>
    <w:rsid w:val="0002358F"/>
    <w:rsid w:val="000236A5"/>
    <w:rsid w:val="000236EC"/>
    <w:rsid w:val="00023701"/>
    <w:rsid w:val="000237CF"/>
    <w:rsid w:val="00023983"/>
    <w:rsid w:val="00023CC6"/>
    <w:rsid w:val="00023D00"/>
    <w:rsid w:val="00023E16"/>
    <w:rsid w:val="00024130"/>
    <w:rsid w:val="0002432B"/>
    <w:rsid w:val="00024379"/>
    <w:rsid w:val="00024394"/>
    <w:rsid w:val="0002445A"/>
    <w:rsid w:val="00024DD4"/>
    <w:rsid w:val="00025015"/>
    <w:rsid w:val="000256DE"/>
    <w:rsid w:val="000257CB"/>
    <w:rsid w:val="00025C0A"/>
    <w:rsid w:val="00025D74"/>
    <w:rsid w:val="00025EC6"/>
    <w:rsid w:val="000261C9"/>
    <w:rsid w:val="00026276"/>
    <w:rsid w:val="00026439"/>
    <w:rsid w:val="00026547"/>
    <w:rsid w:val="00026616"/>
    <w:rsid w:val="00026725"/>
    <w:rsid w:val="00026B00"/>
    <w:rsid w:val="00026D4A"/>
    <w:rsid w:val="00027147"/>
    <w:rsid w:val="00027193"/>
    <w:rsid w:val="00027638"/>
    <w:rsid w:val="0002778C"/>
    <w:rsid w:val="000279F9"/>
    <w:rsid w:val="0003017D"/>
    <w:rsid w:val="0003053A"/>
    <w:rsid w:val="00031343"/>
    <w:rsid w:val="000313F6"/>
    <w:rsid w:val="000314D7"/>
    <w:rsid w:val="00031523"/>
    <w:rsid w:val="00031AFD"/>
    <w:rsid w:val="00031BDA"/>
    <w:rsid w:val="00031C19"/>
    <w:rsid w:val="00031E5B"/>
    <w:rsid w:val="000321AD"/>
    <w:rsid w:val="00032354"/>
    <w:rsid w:val="0003240B"/>
    <w:rsid w:val="000324B3"/>
    <w:rsid w:val="0003276A"/>
    <w:rsid w:val="0003279A"/>
    <w:rsid w:val="000327AF"/>
    <w:rsid w:val="0003286A"/>
    <w:rsid w:val="00032D25"/>
    <w:rsid w:val="0003308A"/>
    <w:rsid w:val="0003340C"/>
    <w:rsid w:val="00033604"/>
    <w:rsid w:val="00033926"/>
    <w:rsid w:val="00033D7B"/>
    <w:rsid w:val="000340C1"/>
    <w:rsid w:val="000344B0"/>
    <w:rsid w:val="000345D4"/>
    <w:rsid w:val="00034678"/>
    <w:rsid w:val="00034799"/>
    <w:rsid w:val="00034830"/>
    <w:rsid w:val="00034836"/>
    <w:rsid w:val="00034CBF"/>
    <w:rsid w:val="0003529F"/>
    <w:rsid w:val="0003573E"/>
    <w:rsid w:val="000357AF"/>
    <w:rsid w:val="00035DCF"/>
    <w:rsid w:val="00035F07"/>
    <w:rsid w:val="0003610E"/>
    <w:rsid w:val="00036457"/>
    <w:rsid w:val="0003650F"/>
    <w:rsid w:val="000365B6"/>
    <w:rsid w:val="00036ED9"/>
    <w:rsid w:val="00036FE6"/>
    <w:rsid w:val="0003749B"/>
    <w:rsid w:val="000375F5"/>
    <w:rsid w:val="00037946"/>
    <w:rsid w:val="00037A6C"/>
    <w:rsid w:val="00037D15"/>
    <w:rsid w:val="00037ED7"/>
    <w:rsid w:val="000402F6"/>
    <w:rsid w:val="000407AB"/>
    <w:rsid w:val="00040ABE"/>
    <w:rsid w:val="00040CBE"/>
    <w:rsid w:val="00040DF9"/>
    <w:rsid w:val="00040EE7"/>
    <w:rsid w:val="000412A5"/>
    <w:rsid w:val="000416B7"/>
    <w:rsid w:val="00041719"/>
    <w:rsid w:val="00041C44"/>
    <w:rsid w:val="00041F78"/>
    <w:rsid w:val="00042191"/>
    <w:rsid w:val="00042619"/>
    <w:rsid w:val="00042A37"/>
    <w:rsid w:val="00042A88"/>
    <w:rsid w:val="00042F83"/>
    <w:rsid w:val="000435EC"/>
    <w:rsid w:val="000436E8"/>
    <w:rsid w:val="00043735"/>
    <w:rsid w:val="000437E5"/>
    <w:rsid w:val="000443DF"/>
    <w:rsid w:val="0004460B"/>
    <w:rsid w:val="00044A5D"/>
    <w:rsid w:val="00044AF0"/>
    <w:rsid w:val="00044B00"/>
    <w:rsid w:val="00044D1E"/>
    <w:rsid w:val="00044F4E"/>
    <w:rsid w:val="00045061"/>
    <w:rsid w:val="000452E3"/>
    <w:rsid w:val="00045808"/>
    <w:rsid w:val="00045B74"/>
    <w:rsid w:val="00045C7A"/>
    <w:rsid w:val="00045E82"/>
    <w:rsid w:val="0004616B"/>
    <w:rsid w:val="000462F4"/>
    <w:rsid w:val="000464FF"/>
    <w:rsid w:val="0004681E"/>
    <w:rsid w:val="0004721F"/>
    <w:rsid w:val="0004738A"/>
    <w:rsid w:val="000473BA"/>
    <w:rsid w:val="00047434"/>
    <w:rsid w:val="0004773C"/>
    <w:rsid w:val="000478A9"/>
    <w:rsid w:val="0004790F"/>
    <w:rsid w:val="00047BFF"/>
    <w:rsid w:val="00047F7C"/>
    <w:rsid w:val="00050231"/>
    <w:rsid w:val="0005030B"/>
    <w:rsid w:val="00050590"/>
    <w:rsid w:val="00050783"/>
    <w:rsid w:val="00050957"/>
    <w:rsid w:val="00050D2B"/>
    <w:rsid w:val="00050E90"/>
    <w:rsid w:val="00051712"/>
    <w:rsid w:val="000519AD"/>
    <w:rsid w:val="00051A10"/>
    <w:rsid w:val="00051F63"/>
    <w:rsid w:val="00052095"/>
    <w:rsid w:val="00052173"/>
    <w:rsid w:val="00052239"/>
    <w:rsid w:val="00052667"/>
    <w:rsid w:val="000527F9"/>
    <w:rsid w:val="00052A6B"/>
    <w:rsid w:val="00052F0D"/>
    <w:rsid w:val="00052FAB"/>
    <w:rsid w:val="00053075"/>
    <w:rsid w:val="0005311F"/>
    <w:rsid w:val="0005312C"/>
    <w:rsid w:val="0005314B"/>
    <w:rsid w:val="00053434"/>
    <w:rsid w:val="00053530"/>
    <w:rsid w:val="0005366B"/>
    <w:rsid w:val="00053A5E"/>
    <w:rsid w:val="00053AAA"/>
    <w:rsid w:val="00053B97"/>
    <w:rsid w:val="00053D7F"/>
    <w:rsid w:val="000541EA"/>
    <w:rsid w:val="0005427A"/>
    <w:rsid w:val="00054488"/>
    <w:rsid w:val="00054504"/>
    <w:rsid w:val="00054726"/>
    <w:rsid w:val="0005478F"/>
    <w:rsid w:val="000549C5"/>
    <w:rsid w:val="00054A7F"/>
    <w:rsid w:val="00054DBF"/>
    <w:rsid w:val="00054EBB"/>
    <w:rsid w:val="00055256"/>
    <w:rsid w:val="00055316"/>
    <w:rsid w:val="0005533B"/>
    <w:rsid w:val="00055660"/>
    <w:rsid w:val="000559AA"/>
    <w:rsid w:val="00055AA3"/>
    <w:rsid w:val="00055CAE"/>
    <w:rsid w:val="000563A5"/>
    <w:rsid w:val="000563F3"/>
    <w:rsid w:val="000566B4"/>
    <w:rsid w:val="00056761"/>
    <w:rsid w:val="000568F0"/>
    <w:rsid w:val="00056BB4"/>
    <w:rsid w:val="00056F5D"/>
    <w:rsid w:val="00057204"/>
    <w:rsid w:val="00057E92"/>
    <w:rsid w:val="0006012E"/>
    <w:rsid w:val="0006034C"/>
    <w:rsid w:val="00060488"/>
    <w:rsid w:val="00060562"/>
    <w:rsid w:val="00060616"/>
    <w:rsid w:val="000606C8"/>
    <w:rsid w:val="000609EA"/>
    <w:rsid w:val="00060A11"/>
    <w:rsid w:val="00060C4A"/>
    <w:rsid w:val="000617B3"/>
    <w:rsid w:val="000619F4"/>
    <w:rsid w:val="00061B0C"/>
    <w:rsid w:val="00061BA2"/>
    <w:rsid w:val="00061F5C"/>
    <w:rsid w:val="00062275"/>
    <w:rsid w:val="00062AC7"/>
    <w:rsid w:val="00062B9F"/>
    <w:rsid w:val="00062CA5"/>
    <w:rsid w:val="00062CCB"/>
    <w:rsid w:val="00062CED"/>
    <w:rsid w:val="00062DF3"/>
    <w:rsid w:val="0006325D"/>
    <w:rsid w:val="00063664"/>
    <w:rsid w:val="00063937"/>
    <w:rsid w:val="00063CC3"/>
    <w:rsid w:val="000641A0"/>
    <w:rsid w:val="00064226"/>
    <w:rsid w:val="00064278"/>
    <w:rsid w:val="00064407"/>
    <w:rsid w:val="00064665"/>
    <w:rsid w:val="000647BD"/>
    <w:rsid w:val="00064A2C"/>
    <w:rsid w:val="00064D4E"/>
    <w:rsid w:val="00064E80"/>
    <w:rsid w:val="00064EB9"/>
    <w:rsid w:val="00065409"/>
    <w:rsid w:val="00065606"/>
    <w:rsid w:val="00065854"/>
    <w:rsid w:val="00065B3A"/>
    <w:rsid w:val="000663CF"/>
    <w:rsid w:val="000667C7"/>
    <w:rsid w:val="00066936"/>
    <w:rsid w:val="000669A4"/>
    <w:rsid w:val="00066DDD"/>
    <w:rsid w:val="00066E83"/>
    <w:rsid w:val="000672C6"/>
    <w:rsid w:val="00067303"/>
    <w:rsid w:val="000675CF"/>
    <w:rsid w:val="00067B7B"/>
    <w:rsid w:val="00067FFD"/>
    <w:rsid w:val="0007025A"/>
    <w:rsid w:val="000703F5"/>
    <w:rsid w:val="00070889"/>
    <w:rsid w:val="00070A30"/>
    <w:rsid w:val="00070A97"/>
    <w:rsid w:val="00070D22"/>
    <w:rsid w:val="00070EF7"/>
    <w:rsid w:val="00070F02"/>
    <w:rsid w:val="00071183"/>
    <w:rsid w:val="00071201"/>
    <w:rsid w:val="0007124F"/>
    <w:rsid w:val="000712A8"/>
    <w:rsid w:val="00071735"/>
    <w:rsid w:val="00071B98"/>
    <w:rsid w:val="00071F1A"/>
    <w:rsid w:val="00072005"/>
    <w:rsid w:val="00072158"/>
    <w:rsid w:val="00072189"/>
    <w:rsid w:val="00072230"/>
    <w:rsid w:val="00072773"/>
    <w:rsid w:val="00072A16"/>
    <w:rsid w:val="00072B9A"/>
    <w:rsid w:val="00072DD6"/>
    <w:rsid w:val="00072F78"/>
    <w:rsid w:val="000733B7"/>
    <w:rsid w:val="00073532"/>
    <w:rsid w:val="00073546"/>
    <w:rsid w:val="00073B27"/>
    <w:rsid w:val="00073C99"/>
    <w:rsid w:val="00073D2D"/>
    <w:rsid w:val="00073D5A"/>
    <w:rsid w:val="0007421C"/>
    <w:rsid w:val="00074325"/>
    <w:rsid w:val="000744F9"/>
    <w:rsid w:val="00074E05"/>
    <w:rsid w:val="00075180"/>
    <w:rsid w:val="0007535A"/>
    <w:rsid w:val="00075947"/>
    <w:rsid w:val="00075E55"/>
    <w:rsid w:val="00076060"/>
    <w:rsid w:val="00076280"/>
    <w:rsid w:val="000768F4"/>
    <w:rsid w:val="00076BDC"/>
    <w:rsid w:val="00076BE7"/>
    <w:rsid w:val="00076C4A"/>
    <w:rsid w:val="00076CBF"/>
    <w:rsid w:val="00076EAE"/>
    <w:rsid w:val="00076EB0"/>
    <w:rsid w:val="00076FB3"/>
    <w:rsid w:val="000774E3"/>
    <w:rsid w:val="000774E6"/>
    <w:rsid w:val="0007757E"/>
    <w:rsid w:val="000776F4"/>
    <w:rsid w:val="00077877"/>
    <w:rsid w:val="000779D6"/>
    <w:rsid w:val="00077A32"/>
    <w:rsid w:val="00077C1D"/>
    <w:rsid w:val="00077C5C"/>
    <w:rsid w:val="00077DDB"/>
    <w:rsid w:val="00077E17"/>
    <w:rsid w:val="00077FAA"/>
    <w:rsid w:val="00080511"/>
    <w:rsid w:val="000805AE"/>
    <w:rsid w:val="00080672"/>
    <w:rsid w:val="0008094A"/>
    <w:rsid w:val="00080C47"/>
    <w:rsid w:val="00080E70"/>
    <w:rsid w:val="00081113"/>
    <w:rsid w:val="000812A7"/>
    <w:rsid w:val="000814D5"/>
    <w:rsid w:val="000815A1"/>
    <w:rsid w:val="00081F95"/>
    <w:rsid w:val="00082106"/>
    <w:rsid w:val="00082199"/>
    <w:rsid w:val="0008248F"/>
    <w:rsid w:val="000824F1"/>
    <w:rsid w:val="0008251E"/>
    <w:rsid w:val="000826E0"/>
    <w:rsid w:val="000827F5"/>
    <w:rsid w:val="00082DB3"/>
    <w:rsid w:val="00082E48"/>
    <w:rsid w:val="000831C2"/>
    <w:rsid w:val="000834F8"/>
    <w:rsid w:val="000838EA"/>
    <w:rsid w:val="00083D72"/>
    <w:rsid w:val="00083DA1"/>
    <w:rsid w:val="00084105"/>
    <w:rsid w:val="00085D38"/>
    <w:rsid w:val="00085F52"/>
    <w:rsid w:val="00086287"/>
    <w:rsid w:val="00086637"/>
    <w:rsid w:val="00086C69"/>
    <w:rsid w:val="000877B8"/>
    <w:rsid w:val="000877CE"/>
    <w:rsid w:val="00087802"/>
    <w:rsid w:val="0008785B"/>
    <w:rsid w:val="000878D2"/>
    <w:rsid w:val="000878F5"/>
    <w:rsid w:val="00087BBC"/>
    <w:rsid w:val="00087EA7"/>
    <w:rsid w:val="00087EAC"/>
    <w:rsid w:val="00090147"/>
    <w:rsid w:val="00090376"/>
    <w:rsid w:val="000903F0"/>
    <w:rsid w:val="00090723"/>
    <w:rsid w:val="0009093B"/>
    <w:rsid w:val="000909C7"/>
    <w:rsid w:val="00090A6D"/>
    <w:rsid w:val="00090AA4"/>
    <w:rsid w:val="00090BA0"/>
    <w:rsid w:val="00090DEE"/>
    <w:rsid w:val="00090DFB"/>
    <w:rsid w:val="00090E47"/>
    <w:rsid w:val="00091115"/>
    <w:rsid w:val="00091141"/>
    <w:rsid w:val="000911BF"/>
    <w:rsid w:val="00091466"/>
    <w:rsid w:val="0009153C"/>
    <w:rsid w:val="0009162D"/>
    <w:rsid w:val="00091786"/>
    <w:rsid w:val="00091B75"/>
    <w:rsid w:val="00091B8B"/>
    <w:rsid w:val="00091E09"/>
    <w:rsid w:val="0009241E"/>
    <w:rsid w:val="000924BF"/>
    <w:rsid w:val="000927EF"/>
    <w:rsid w:val="00092A27"/>
    <w:rsid w:val="00092B82"/>
    <w:rsid w:val="00092C00"/>
    <w:rsid w:val="00092E48"/>
    <w:rsid w:val="00092E93"/>
    <w:rsid w:val="00092FE4"/>
    <w:rsid w:val="00092FFE"/>
    <w:rsid w:val="00093442"/>
    <w:rsid w:val="00094355"/>
    <w:rsid w:val="0009445A"/>
    <w:rsid w:val="00094522"/>
    <w:rsid w:val="00094887"/>
    <w:rsid w:val="00095347"/>
    <w:rsid w:val="000955CF"/>
    <w:rsid w:val="00095A96"/>
    <w:rsid w:val="00095DE1"/>
    <w:rsid w:val="00095DE4"/>
    <w:rsid w:val="000964E6"/>
    <w:rsid w:val="0009673D"/>
    <w:rsid w:val="0009673E"/>
    <w:rsid w:val="00096B75"/>
    <w:rsid w:val="00096EA8"/>
    <w:rsid w:val="0009720A"/>
    <w:rsid w:val="000972C1"/>
    <w:rsid w:val="000975DE"/>
    <w:rsid w:val="000977CD"/>
    <w:rsid w:val="00097E55"/>
    <w:rsid w:val="00097F9F"/>
    <w:rsid w:val="00097FD7"/>
    <w:rsid w:val="000A0007"/>
    <w:rsid w:val="000A0050"/>
    <w:rsid w:val="000A04BC"/>
    <w:rsid w:val="000A0AB5"/>
    <w:rsid w:val="000A0F95"/>
    <w:rsid w:val="000A1397"/>
    <w:rsid w:val="000A16B9"/>
    <w:rsid w:val="000A1AC7"/>
    <w:rsid w:val="000A2168"/>
    <w:rsid w:val="000A23F6"/>
    <w:rsid w:val="000A242A"/>
    <w:rsid w:val="000A24AC"/>
    <w:rsid w:val="000A2840"/>
    <w:rsid w:val="000A2A32"/>
    <w:rsid w:val="000A2D10"/>
    <w:rsid w:val="000A2D45"/>
    <w:rsid w:val="000A3A44"/>
    <w:rsid w:val="000A3B4D"/>
    <w:rsid w:val="000A3D47"/>
    <w:rsid w:val="000A4443"/>
    <w:rsid w:val="000A47D7"/>
    <w:rsid w:val="000A4B26"/>
    <w:rsid w:val="000A4BF9"/>
    <w:rsid w:val="000A4D7C"/>
    <w:rsid w:val="000A4F63"/>
    <w:rsid w:val="000A5115"/>
    <w:rsid w:val="000A55E0"/>
    <w:rsid w:val="000A5809"/>
    <w:rsid w:val="000A5B2D"/>
    <w:rsid w:val="000A605D"/>
    <w:rsid w:val="000A62D0"/>
    <w:rsid w:val="000A62FA"/>
    <w:rsid w:val="000A6E11"/>
    <w:rsid w:val="000A6F77"/>
    <w:rsid w:val="000A6FED"/>
    <w:rsid w:val="000A72C3"/>
    <w:rsid w:val="000A7379"/>
    <w:rsid w:val="000A7416"/>
    <w:rsid w:val="000A7864"/>
    <w:rsid w:val="000A7B7E"/>
    <w:rsid w:val="000A7E66"/>
    <w:rsid w:val="000A7EA5"/>
    <w:rsid w:val="000B017B"/>
    <w:rsid w:val="000B02F7"/>
    <w:rsid w:val="000B074E"/>
    <w:rsid w:val="000B08D9"/>
    <w:rsid w:val="000B0D4E"/>
    <w:rsid w:val="000B0E65"/>
    <w:rsid w:val="000B103D"/>
    <w:rsid w:val="000B1076"/>
    <w:rsid w:val="000B1105"/>
    <w:rsid w:val="000B1243"/>
    <w:rsid w:val="000B1392"/>
    <w:rsid w:val="000B1730"/>
    <w:rsid w:val="000B178F"/>
    <w:rsid w:val="000B1ADA"/>
    <w:rsid w:val="000B1B2A"/>
    <w:rsid w:val="000B2063"/>
    <w:rsid w:val="000B212B"/>
    <w:rsid w:val="000B276B"/>
    <w:rsid w:val="000B2829"/>
    <w:rsid w:val="000B2FD4"/>
    <w:rsid w:val="000B30E7"/>
    <w:rsid w:val="000B36FD"/>
    <w:rsid w:val="000B3A9F"/>
    <w:rsid w:val="000B3D49"/>
    <w:rsid w:val="000B3F62"/>
    <w:rsid w:val="000B4464"/>
    <w:rsid w:val="000B4B8F"/>
    <w:rsid w:val="000B4C6C"/>
    <w:rsid w:val="000B4D21"/>
    <w:rsid w:val="000B518F"/>
    <w:rsid w:val="000B5516"/>
    <w:rsid w:val="000B5783"/>
    <w:rsid w:val="000B61CB"/>
    <w:rsid w:val="000B61E4"/>
    <w:rsid w:val="000B6495"/>
    <w:rsid w:val="000B65BD"/>
    <w:rsid w:val="000B66C4"/>
    <w:rsid w:val="000B66CD"/>
    <w:rsid w:val="000B67C4"/>
    <w:rsid w:val="000B6A9C"/>
    <w:rsid w:val="000B6C68"/>
    <w:rsid w:val="000B6E3E"/>
    <w:rsid w:val="000B73AD"/>
    <w:rsid w:val="000B7491"/>
    <w:rsid w:val="000B757F"/>
    <w:rsid w:val="000B77EF"/>
    <w:rsid w:val="000B7B52"/>
    <w:rsid w:val="000B7B86"/>
    <w:rsid w:val="000B7BB8"/>
    <w:rsid w:val="000C008C"/>
    <w:rsid w:val="000C02B2"/>
    <w:rsid w:val="000C0338"/>
    <w:rsid w:val="000C0905"/>
    <w:rsid w:val="000C0E10"/>
    <w:rsid w:val="000C0FFE"/>
    <w:rsid w:val="000C123F"/>
    <w:rsid w:val="000C14DD"/>
    <w:rsid w:val="000C15FC"/>
    <w:rsid w:val="000C16BC"/>
    <w:rsid w:val="000C187B"/>
    <w:rsid w:val="000C18EC"/>
    <w:rsid w:val="000C1C65"/>
    <w:rsid w:val="000C1F94"/>
    <w:rsid w:val="000C22F6"/>
    <w:rsid w:val="000C245D"/>
    <w:rsid w:val="000C2745"/>
    <w:rsid w:val="000C2850"/>
    <w:rsid w:val="000C29C7"/>
    <w:rsid w:val="000C2AA2"/>
    <w:rsid w:val="000C2B14"/>
    <w:rsid w:val="000C2D00"/>
    <w:rsid w:val="000C34CE"/>
    <w:rsid w:val="000C39E1"/>
    <w:rsid w:val="000C3A84"/>
    <w:rsid w:val="000C3AC5"/>
    <w:rsid w:val="000C3D49"/>
    <w:rsid w:val="000C3E4B"/>
    <w:rsid w:val="000C3E86"/>
    <w:rsid w:val="000C4149"/>
    <w:rsid w:val="000C45CB"/>
    <w:rsid w:val="000C461F"/>
    <w:rsid w:val="000C4669"/>
    <w:rsid w:val="000C474C"/>
    <w:rsid w:val="000C48A0"/>
    <w:rsid w:val="000C4905"/>
    <w:rsid w:val="000C4EF4"/>
    <w:rsid w:val="000C4FDE"/>
    <w:rsid w:val="000C5126"/>
    <w:rsid w:val="000C52C4"/>
    <w:rsid w:val="000C58B3"/>
    <w:rsid w:val="000C5DE5"/>
    <w:rsid w:val="000C6020"/>
    <w:rsid w:val="000C60E9"/>
    <w:rsid w:val="000C68CE"/>
    <w:rsid w:val="000C69EA"/>
    <w:rsid w:val="000C7206"/>
    <w:rsid w:val="000C733B"/>
    <w:rsid w:val="000C78A0"/>
    <w:rsid w:val="000C7A60"/>
    <w:rsid w:val="000C7ACB"/>
    <w:rsid w:val="000D0113"/>
    <w:rsid w:val="000D035F"/>
    <w:rsid w:val="000D03F2"/>
    <w:rsid w:val="000D050C"/>
    <w:rsid w:val="000D05B9"/>
    <w:rsid w:val="000D08D5"/>
    <w:rsid w:val="000D14CF"/>
    <w:rsid w:val="000D1544"/>
    <w:rsid w:val="000D1545"/>
    <w:rsid w:val="000D1A21"/>
    <w:rsid w:val="000D1AA7"/>
    <w:rsid w:val="000D2018"/>
    <w:rsid w:val="000D2334"/>
    <w:rsid w:val="000D251C"/>
    <w:rsid w:val="000D2521"/>
    <w:rsid w:val="000D28D2"/>
    <w:rsid w:val="000D2904"/>
    <w:rsid w:val="000D333C"/>
    <w:rsid w:val="000D33C9"/>
    <w:rsid w:val="000D33F7"/>
    <w:rsid w:val="000D346F"/>
    <w:rsid w:val="000D3564"/>
    <w:rsid w:val="000D35E1"/>
    <w:rsid w:val="000D3BC4"/>
    <w:rsid w:val="000D3F03"/>
    <w:rsid w:val="000D3FEC"/>
    <w:rsid w:val="000D413B"/>
    <w:rsid w:val="000D4843"/>
    <w:rsid w:val="000D4AF3"/>
    <w:rsid w:val="000D4C00"/>
    <w:rsid w:val="000D4C7E"/>
    <w:rsid w:val="000D5071"/>
    <w:rsid w:val="000D58E8"/>
    <w:rsid w:val="000D5DC0"/>
    <w:rsid w:val="000D6165"/>
    <w:rsid w:val="000D6247"/>
    <w:rsid w:val="000D671D"/>
    <w:rsid w:val="000D6829"/>
    <w:rsid w:val="000D6950"/>
    <w:rsid w:val="000D6ACB"/>
    <w:rsid w:val="000D6D2E"/>
    <w:rsid w:val="000D71A4"/>
    <w:rsid w:val="000D7388"/>
    <w:rsid w:val="000D755E"/>
    <w:rsid w:val="000D7670"/>
    <w:rsid w:val="000D7ACA"/>
    <w:rsid w:val="000D7E8D"/>
    <w:rsid w:val="000E02FA"/>
    <w:rsid w:val="000E0460"/>
    <w:rsid w:val="000E0467"/>
    <w:rsid w:val="000E05EC"/>
    <w:rsid w:val="000E06F1"/>
    <w:rsid w:val="000E076E"/>
    <w:rsid w:val="000E080B"/>
    <w:rsid w:val="000E0D5C"/>
    <w:rsid w:val="000E0F8E"/>
    <w:rsid w:val="000E10BA"/>
    <w:rsid w:val="000E10E3"/>
    <w:rsid w:val="000E14AA"/>
    <w:rsid w:val="000E1667"/>
    <w:rsid w:val="000E1959"/>
    <w:rsid w:val="000E1A6A"/>
    <w:rsid w:val="000E1B3F"/>
    <w:rsid w:val="000E201B"/>
    <w:rsid w:val="000E278C"/>
    <w:rsid w:val="000E2CBA"/>
    <w:rsid w:val="000E2DAA"/>
    <w:rsid w:val="000E3414"/>
    <w:rsid w:val="000E355F"/>
    <w:rsid w:val="000E3811"/>
    <w:rsid w:val="000E3954"/>
    <w:rsid w:val="000E3F50"/>
    <w:rsid w:val="000E3F9B"/>
    <w:rsid w:val="000E3FAC"/>
    <w:rsid w:val="000E4362"/>
    <w:rsid w:val="000E44FC"/>
    <w:rsid w:val="000E4575"/>
    <w:rsid w:val="000E4702"/>
    <w:rsid w:val="000E4797"/>
    <w:rsid w:val="000E487B"/>
    <w:rsid w:val="000E4897"/>
    <w:rsid w:val="000E4E90"/>
    <w:rsid w:val="000E4F43"/>
    <w:rsid w:val="000E564F"/>
    <w:rsid w:val="000E5920"/>
    <w:rsid w:val="000E61F7"/>
    <w:rsid w:val="000E62EE"/>
    <w:rsid w:val="000E6BC1"/>
    <w:rsid w:val="000E6FA5"/>
    <w:rsid w:val="000E75E2"/>
    <w:rsid w:val="000E7868"/>
    <w:rsid w:val="000E7D8A"/>
    <w:rsid w:val="000F0101"/>
    <w:rsid w:val="000F01E5"/>
    <w:rsid w:val="000F0251"/>
    <w:rsid w:val="000F0634"/>
    <w:rsid w:val="000F06EE"/>
    <w:rsid w:val="000F08DE"/>
    <w:rsid w:val="000F0A94"/>
    <w:rsid w:val="000F1528"/>
    <w:rsid w:val="000F15B3"/>
    <w:rsid w:val="000F1780"/>
    <w:rsid w:val="000F182D"/>
    <w:rsid w:val="000F18A1"/>
    <w:rsid w:val="000F1AEF"/>
    <w:rsid w:val="000F1E50"/>
    <w:rsid w:val="000F1F9A"/>
    <w:rsid w:val="000F217A"/>
    <w:rsid w:val="000F240F"/>
    <w:rsid w:val="000F2414"/>
    <w:rsid w:val="000F266D"/>
    <w:rsid w:val="000F26EB"/>
    <w:rsid w:val="000F27B8"/>
    <w:rsid w:val="000F293B"/>
    <w:rsid w:val="000F2BF0"/>
    <w:rsid w:val="000F2C76"/>
    <w:rsid w:val="000F2EDF"/>
    <w:rsid w:val="000F2F36"/>
    <w:rsid w:val="000F37D4"/>
    <w:rsid w:val="000F39C1"/>
    <w:rsid w:val="000F3AE3"/>
    <w:rsid w:val="000F3C96"/>
    <w:rsid w:val="000F3D74"/>
    <w:rsid w:val="000F3F1C"/>
    <w:rsid w:val="000F4035"/>
    <w:rsid w:val="000F4098"/>
    <w:rsid w:val="000F40F1"/>
    <w:rsid w:val="000F431F"/>
    <w:rsid w:val="000F47EB"/>
    <w:rsid w:val="000F4954"/>
    <w:rsid w:val="000F49C0"/>
    <w:rsid w:val="000F54DE"/>
    <w:rsid w:val="000F5560"/>
    <w:rsid w:val="000F57C5"/>
    <w:rsid w:val="000F591D"/>
    <w:rsid w:val="000F59C1"/>
    <w:rsid w:val="000F5D4B"/>
    <w:rsid w:val="000F5E85"/>
    <w:rsid w:val="000F61EC"/>
    <w:rsid w:val="000F63C5"/>
    <w:rsid w:val="000F65E0"/>
    <w:rsid w:val="000F6998"/>
    <w:rsid w:val="000F69C4"/>
    <w:rsid w:val="000F6C44"/>
    <w:rsid w:val="000F6CF4"/>
    <w:rsid w:val="000F6DA7"/>
    <w:rsid w:val="000F7023"/>
    <w:rsid w:val="000F72F9"/>
    <w:rsid w:val="000F730E"/>
    <w:rsid w:val="000F748C"/>
    <w:rsid w:val="000F7727"/>
    <w:rsid w:val="000F7789"/>
    <w:rsid w:val="000F7D77"/>
    <w:rsid w:val="000F7FA2"/>
    <w:rsid w:val="0010024C"/>
    <w:rsid w:val="00100270"/>
    <w:rsid w:val="00100A34"/>
    <w:rsid w:val="00100BFE"/>
    <w:rsid w:val="00100CF2"/>
    <w:rsid w:val="00100E11"/>
    <w:rsid w:val="00100E95"/>
    <w:rsid w:val="0010116E"/>
    <w:rsid w:val="001012AC"/>
    <w:rsid w:val="001014AB"/>
    <w:rsid w:val="001014D4"/>
    <w:rsid w:val="001014E4"/>
    <w:rsid w:val="00101912"/>
    <w:rsid w:val="00101E97"/>
    <w:rsid w:val="00102083"/>
    <w:rsid w:val="00102137"/>
    <w:rsid w:val="001021B6"/>
    <w:rsid w:val="0010251B"/>
    <w:rsid w:val="00102BF7"/>
    <w:rsid w:val="00102C39"/>
    <w:rsid w:val="0010326E"/>
    <w:rsid w:val="0010362C"/>
    <w:rsid w:val="0010397A"/>
    <w:rsid w:val="001039EA"/>
    <w:rsid w:val="00103AB1"/>
    <w:rsid w:val="00103B69"/>
    <w:rsid w:val="00103CD2"/>
    <w:rsid w:val="00103FF2"/>
    <w:rsid w:val="0010412B"/>
    <w:rsid w:val="0010415D"/>
    <w:rsid w:val="00104235"/>
    <w:rsid w:val="001043AC"/>
    <w:rsid w:val="001045A4"/>
    <w:rsid w:val="00104865"/>
    <w:rsid w:val="0010489D"/>
    <w:rsid w:val="00104B0D"/>
    <w:rsid w:val="00104BE2"/>
    <w:rsid w:val="00104C71"/>
    <w:rsid w:val="00104D6A"/>
    <w:rsid w:val="00104E2F"/>
    <w:rsid w:val="00104FA0"/>
    <w:rsid w:val="001053DE"/>
    <w:rsid w:val="001054C4"/>
    <w:rsid w:val="00105EE1"/>
    <w:rsid w:val="00106304"/>
    <w:rsid w:val="00106880"/>
    <w:rsid w:val="0010688B"/>
    <w:rsid w:val="00106AD8"/>
    <w:rsid w:val="00106B4B"/>
    <w:rsid w:val="00106DE4"/>
    <w:rsid w:val="00106F80"/>
    <w:rsid w:val="001072F1"/>
    <w:rsid w:val="001075A3"/>
    <w:rsid w:val="001076A5"/>
    <w:rsid w:val="00107E4E"/>
    <w:rsid w:val="00107EDA"/>
    <w:rsid w:val="00110008"/>
    <w:rsid w:val="00110238"/>
    <w:rsid w:val="00110342"/>
    <w:rsid w:val="00110384"/>
    <w:rsid w:val="001105EE"/>
    <w:rsid w:val="00110B54"/>
    <w:rsid w:val="00110C56"/>
    <w:rsid w:val="00111327"/>
    <w:rsid w:val="001113C4"/>
    <w:rsid w:val="0011160E"/>
    <w:rsid w:val="0011186D"/>
    <w:rsid w:val="00111875"/>
    <w:rsid w:val="00111AC9"/>
    <w:rsid w:val="00111B21"/>
    <w:rsid w:val="00111F2E"/>
    <w:rsid w:val="00111F56"/>
    <w:rsid w:val="00112026"/>
    <w:rsid w:val="001122C5"/>
    <w:rsid w:val="00112468"/>
    <w:rsid w:val="001124A7"/>
    <w:rsid w:val="0011253A"/>
    <w:rsid w:val="0011258F"/>
    <w:rsid w:val="001125CA"/>
    <w:rsid w:val="001125CC"/>
    <w:rsid w:val="00112CDC"/>
    <w:rsid w:val="00112CF9"/>
    <w:rsid w:val="00112F2A"/>
    <w:rsid w:val="00112FC6"/>
    <w:rsid w:val="00113143"/>
    <w:rsid w:val="00113440"/>
    <w:rsid w:val="00113519"/>
    <w:rsid w:val="00113586"/>
    <w:rsid w:val="00113642"/>
    <w:rsid w:val="001138B3"/>
    <w:rsid w:val="00113ACE"/>
    <w:rsid w:val="00113D33"/>
    <w:rsid w:val="00113DF7"/>
    <w:rsid w:val="00113FC1"/>
    <w:rsid w:val="001140F0"/>
    <w:rsid w:val="00114260"/>
    <w:rsid w:val="00114D81"/>
    <w:rsid w:val="00114F66"/>
    <w:rsid w:val="0011531F"/>
    <w:rsid w:val="001153F3"/>
    <w:rsid w:val="001156E4"/>
    <w:rsid w:val="001156ED"/>
    <w:rsid w:val="00115939"/>
    <w:rsid w:val="00115949"/>
    <w:rsid w:val="00115F5B"/>
    <w:rsid w:val="0011669D"/>
    <w:rsid w:val="001167C9"/>
    <w:rsid w:val="00116AC3"/>
    <w:rsid w:val="00116D7F"/>
    <w:rsid w:val="00117275"/>
    <w:rsid w:val="001172D4"/>
    <w:rsid w:val="001172F3"/>
    <w:rsid w:val="00117457"/>
    <w:rsid w:val="00117696"/>
    <w:rsid w:val="00117921"/>
    <w:rsid w:val="00117B16"/>
    <w:rsid w:val="001204C7"/>
    <w:rsid w:val="00120704"/>
    <w:rsid w:val="001208CC"/>
    <w:rsid w:val="00120AA0"/>
    <w:rsid w:val="00121314"/>
    <w:rsid w:val="001216F8"/>
    <w:rsid w:val="001218C5"/>
    <w:rsid w:val="00121B69"/>
    <w:rsid w:val="00121EC0"/>
    <w:rsid w:val="0012212B"/>
    <w:rsid w:val="00122185"/>
    <w:rsid w:val="00122484"/>
    <w:rsid w:val="00122AC8"/>
    <w:rsid w:val="00122C1C"/>
    <w:rsid w:val="00122C22"/>
    <w:rsid w:val="00123015"/>
    <w:rsid w:val="001235B1"/>
    <w:rsid w:val="00123627"/>
    <w:rsid w:val="00123663"/>
    <w:rsid w:val="001237CA"/>
    <w:rsid w:val="00123825"/>
    <w:rsid w:val="00123A07"/>
    <w:rsid w:val="00123D6D"/>
    <w:rsid w:val="0012401E"/>
    <w:rsid w:val="001240B4"/>
    <w:rsid w:val="00124500"/>
    <w:rsid w:val="0012454B"/>
    <w:rsid w:val="00124665"/>
    <w:rsid w:val="0012477F"/>
    <w:rsid w:val="0012492F"/>
    <w:rsid w:val="00124D52"/>
    <w:rsid w:val="00124E5A"/>
    <w:rsid w:val="00125015"/>
    <w:rsid w:val="00125B08"/>
    <w:rsid w:val="00125F8E"/>
    <w:rsid w:val="00126075"/>
    <w:rsid w:val="00126110"/>
    <w:rsid w:val="00126280"/>
    <w:rsid w:val="001268C3"/>
    <w:rsid w:val="00126BF3"/>
    <w:rsid w:val="00126E59"/>
    <w:rsid w:val="00127112"/>
    <w:rsid w:val="00127181"/>
    <w:rsid w:val="0012726C"/>
    <w:rsid w:val="00127BE2"/>
    <w:rsid w:val="00130245"/>
    <w:rsid w:val="00130431"/>
    <w:rsid w:val="0013048E"/>
    <w:rsid w:val="001307F0"/>
    <w:rsid w:val="00130B6F"/>
    <w:rsid w:val="00130C7E"/>
    <w:rsid w:val="00130D12"/>
    <w:rsid w:val="00130E79"/>
    <w:rsid w:val="00131125"/>
    <w:rsid w:val="001315CD"/>
    <w:rsid w:val="00131B73"/>
    <w:rsid w:val="00131C9A"/>
    <w:rsid w:val="00132065"/>
    <w:rsid w:val="00132563"/>
    <w:rsid w:val="001326CF"/>
    <w:rsid w:val="001327C4"/>
    <w:rsid w:val="00132A3E"/>
    <w:rsid w:val="00132D32"/>
    <w:rsid w:val="00132D45"/>
    <w:rsid w:val="00132E1B"/>
    <w:rsid w:val="00132EA1"/>
    <w:rsid w:val="001331B5"/>
    <w:rsid w:val="0013325A"/>
    <w:rsid w:val="00133391"/>
    <w:rsid w:val="001337B5"/>
    <w:rsid w:val="001337F5"/>
    <w:rsid w:val="00133A86"/>
    <w:rsid w:val="00133CDC"/>
    <w:rsid w:val="00133E0F"/>
    <w:rsid w:val="00133EA5"/>
    <w:rsid w:val="00133EAA"/>
    <w:rsid w:val="00134106"/>
    <w:rsid w:val="0013431A"/>
    <w:rsid w:val="00134720"/>
    <w:rsid w:val="0013491B"/>
    <w:rsid w:val="00134B39"/>
    <w:rsid w:val="00135493"/>
    <w:rsid w:val="00135623"/>
    <w:rsid w:val="001359E2"/>
    <w:rsid w:val="00135A82"/>
    <w:rsid w:val="00135C3A"/>
    <w:rsid w:val="00135D60"/>
    <w:rsid w:val="00136294"/>
    <w:rsid w:val="0013641F"/>
    <w:rsid w:val="00136577"/>
    <w:rsid w:val="00136669"/>
    <w:rsid w:val="001367F3"/>
    <w:rsid w:val="00136871"/>
    <w:rsid w:val="001368BC"/>
    <w:rsid w:val="001373C8"/>
    <w:rsid w:val="00137A53"/>
    <w:rsid w:val="001404F8"/>
    <w:rsid w:val="0014068E"/>
    <w:rsid w:val="001406C6"/>
    <w:rsid w:val="0014088D"/>
    <w:rsid w:val="00140B8F"/>
    <w:rsid w:val="00140CEA"/>
    <w:rsid w:val="00140EEA"/>
    <w:rsid w:val="00141082"/>
    <w:rsid w:val="00141968"/>
    <w:rsid w:val="00141D85"/>
    <w:rsid w:val="00142055"/>
    <w:rsid w:val="00142566"/>
    <w:rsid w:val="00142724"/>
    <w:rsid w:val="00142759"/>
    <w:rsid w:val="001427F4"/>
    <w:rsid w:val="00142A45"/>
    <w:rsid w:val="00142C6F"/>
    <w:rsid w:val="001434E5"/>
    <w:rsid w:val="0014375C"/>
    <w:rsid w:val="0014377B"/>
    <w:rsid w:val="00143BF2"/>
    <w:rsid w:val="00143CD0"/>
    <w:rsid w:val="00143D07"/>
    <w:rsid w:val="00143D39"/>
    <w:rsid w:val="00144044"/>
    <w:rsid w:val="001444FC"/>
    <w:rsid w:val="0014465D"/>
    <w:rsid w:val="00144945"/>
    <w:rsid w:val="001449E5"/>
    <w:rsid w:val="00144C30"/>
    <w:rsid w:val="00144C3F"/>
    <w:rsid w:val="00144E8C"/>
    <w:rsid w:val="0014566F"/>
    <w:rsid w:val="001458C0"/>
    <w:rsid w:val="001459B1"/>
    <w:rsid w:val="00145C6F"/>
    <w:rsid w:val="00145EE9"/>
    <w:rsid w:val="00145F9C"/>
    <w:rsid w:val="001460FA"/>
    <w:rsid w:val="00146419"/>
    <w:rsid w:val="001466CC"/>
    <w:rsid w:val="001468A9"/>
    <w:rsid w:val="001469FF"/>
    <w:rsid w:val="00146B6A"/>
    <w:rsid w:val="00147301"/>
    <w:rsid w:val="00147694"/>
    <w:rsid w:val="00147933"/>
    <w:rsid w:val="00147976"/>
    <w:rsid w:val="00147A2B"/>
    <w:rsid w:val="00147A67"/>
    <w:rsid w:val="00147BA2"/>
    <w:rsid w:val="00147C1B"/>
    <w:rsid w:val="00147E7B"/>
    <w:rsid w:val="0015073B"/>
    <w:rsid w:val="00151750"/>
    <w:rsid w:val="00151963"/>
    <w:rsid w:val="00151A6C"/>
    <w:rsid w:val="00151C0B"/>
    <w:rsid w:val="00151CC4"/>
    <w:rsid w:val="00152341"/>
    <w:rsid w:val="00152588"/>
    <w:rsid w:val="00152678"/>
    <w:rsid w:val="0015275D"/>
    <w:rsid w:val="00152837"/>
    <w:rsid w:val="00152C4D"/>
    <w:rsid w:val="00152E69"/>
    <w:rsid w:val="001532E5"/>
    <w:rsid w:val="00153523"/>
    <w:rsid w:val="0015393F"/>
    <w:rsid w:val="00153A83"/>
    <w:rsid w:val="00153D2C"/>
    <w:rsid w:val="00153E33"/>
    <w:rsid w:val="00154084"/>
    <w:rsid w:val="00154153"/>
    <w:rsid w:val="00154168"/>
    <w:rsid w:val="001544E7"/>
    <w:rsid w:val="0015455E"/>
    <w:rsid w:val="00154818"/>
    <w:rsid w:val="00154915"/>
    <w:rsid w:val="00154962"/>
    <w:rsid w:val="00154C44"/>
    <w:rsid w:val="00154DA5"/>
    <w:rsid w:val="00155034"/>
    <w:rsid w:val="0015505F"/>
    <w:rsid w:val="00155B89"/>
    <w:rsid w:val="00155E6C"/>
    <w:rsid w:val="00155ED9"/>
    <w:rsid w:val="00155F5F"/>
    <w:rsid w:val="00156003"/>
    <w:rsid w:val="001562CA"/>
    <w:rsid w:val="001563CA"/>
    <w:rsid w:val="001568D3"/>
    <w:rsid w:val="00156A5B"/>
    <w:rsid w:val="00156BAD"/>
    <w:rsid w:val="00156EDE"/>
    <w:rsid w:val="001570C6"/>
    <w:rsid w:val="0015744D"/>
    <w:rsid w:val="001574E7"/>
    <w:rsid w:val="00157868"/>
    <w:rsid w:val="00157F25"/>
    <w:rsid w:val="00160108"/>
    <w:rsid w:val="00160120"/>
    <w:rsid w:val="00160C1A"/>
    <w:rsid w:val="0016102E"/>
    <w:rsid w:val="0016132D"/>
    <w:rsid w:val="001616D9"/>
    <w:rsid w:val="00161924"/>
    <w:rsid w:val="001619AD"/>
    <w:rsid w:val="001619C3"/>
    <w:rsid w:val="00161ABC"/>
    <w:rsid w:val="001625A9"/>
    <w:rsid w:val="00162643"/>
    <w:rsid w:val="0016272B"/>
    <w:rsid w:val="001628F7"/>
    <w:rsid w:val="00162CB8"/>
    <w:rsid w:val="00163013"/>
    <w:rsid w:val="001636B6"/>
    <w:rsid w:val="00163996"/>
    <w:rsid w:val="001639DE"/>
    <w:rsid w:val="00163C10"/>
    <w:rsid w:val="00163E1E"/>
    <w:rsid w:val="00163E27"/>
    <w:rsid w:val="00163F79"/>
    <w:rsid w:val="0016402C"/>
    <w:rsid w:val="0016417A"/>
    <w:rsid w:val="0016437B"/>
    <w:rsid w:val="001643A3"/>
    <w:rsid w:val="00164968"/>
    <w:rsid w:val="00164C1D"/>
    <w:rsid w:val="00164E5F"/>
    <w:rsid w:val="00165065"/>
    <w:rsid w:val="00165390"/>
    <w:rsid w:val="00165746"/>
    <w:rsid w:val="00165C4C"/>
    <w:rsid w:val="00165C57"/>
    <w:rsid w:val="00165EAB"/>
    <w:rsid w:val="00165FC8"/>
    <w:rsid w:val="0016614B"/>
    <w:rsid w:val="00166306"/>
    <w:rsid w:val="001665AF"/>
    <w:rsid w:val="00166D85"/>
    <w:rsid w:val="00167413"/>
    <w:rsid w:val="00167682"/>
    <w:rsid w:val="001677BF"/>
    <w:rsid w:val="001678C6"/>
    <w:rsid w:val="001679ED"/>
    <w:rsid w:val="00167DA2"/>
    <w:rsid w:val="0017012B"/>
    <w:rsid w:val="001703ED"/>
    <w:rsid w:val="0017064F"/>
    <w:rsid w:val="00170D5C"/>
    <w:rsid w:val="00170D7D"/>
    <w:rsid w:val="00171061"/>
    <w:rsid w:val="0017157D"/>
    <w:rsid w:val="00171799"/>
    <w:rsid w:val="00171838"/>
    <w:rsid w:val="00171AB6"/>
    <w:rsid w:val="0017203D"/>
    <w:rsid w:val="00172125"/>
    <w:rsid w:val="00172260"/>
    <w:rsid w:val="001722C7"/>
    <w:rsid w:val="001724DF"/>
    <w:rsid w:val="001729C3"/>
    <w:rsid w:val="00172D1A"/>
    <w:rsid w:val="00172F55"/>
    <w:rsid w:val="00172FBB"/>
    <w:rsid w:val="00173368"/>
    <w:rsid w:val="0017343C"/>
    <w:rsid w:val="00173522"/>
    <w:rsid w:val="00173559"/>
    <w:rsid w:val="00173626"/>
    <w:rsid w:val="001739DD"/>
    <w:rsid w:val="00173AB9"/>
    <w:rsid w:val="0017413A"/>
    <w:rsid w:val="00174500"/>
    <w:rsid w:val="001745AC"/>
    <w:rsid w:val="001746E3"/>
    <w:rsid w:val="0017492E"/>
    <w:rsid w:val="00174A83"/>
    <w:rsid w:val="00174AD7"/>
    <w:rsid w:val="00174AE9"/>
    <w:rsid w:val="00174B11"/>
    <w:rsid w:val="001750AD"/>
    <w:rsid w:val="0017523A"/>
    <w:rsid w:val="00175616"/>
    <w:rsid w:val="00175BCA"/>
    <w:rsid w:val="00175F3C"/>
    <w:rsid w:val="0017613F"/>
    <w:rsid w:val="00176209"/>
    <w:rsid w:val="00176219"/>
    <w:rsid w:val="001764A0"/>
    <w:rsid w:val="00176702"/>
    <w:rsid w:val="00176FC3"/>
    <w:rsid w:val="00177025"/>
    <w:rsid w:val="0017710B"/>
    <w:rsid w:val="00177242"/>
    <w:rsid w:val="001772C7"/>
    <w:rsid w:val="001773C4"/>
    <w:rsid w:val="0017763B"/>
    <w:rsid w:val="00177914"/>
    <w:rsid w:val="00177BFB"/>
    <w:rsid w:val="00177C2F"/>
    <w:rsid w:val="00177DFB"/>
    <w:rsid w:val="00180209"/>
    <w:rsid w:val="0018055B"/>
    <w:rsid w:val="001807FC"/>
    <w:rsid w:val="00180840"/>
    <w:rsid w:val="001809F6"/>
    <w:rsid w:val="00180A10"/>
    <w:rsid w:val="00180C60"/>
    <w:rsid w:val="00180CD8"/>
    <w:rsid w:val="00180F51"/>
    <w:rsid w:val="0018109A"/>
    <w:rsid w:val="001811DF"/>
    <w:rsid w:val="001817BF"/>
    <w:rsid w:val="001818D5"/>
    <w:rsid w:val="0018196E"/>
    <w:rsid w:val="00181C05"/>
    <w:rsid w:val="00181C8D"/>
    <w:rsid w:val="0018212F"/>
    <w:rsid w:val="00182199"/>
    <w:rsid w:val="001826C2"/>
    <w:rsid w:val="00182869"/>
    <w:rsid w:val="00182954"/>
    <w:rsid w:val="00182A3A"/>
    <w:rsid w:val="00182E9C"/>
    <w:rsid w:val="00183106"/>
    <w:rsid w:val="0018315D"/>
    <w:rsid w:val="00183213"/>
    <w:rsid w:val="001834DE"/>
    <w:rsid w:val="0018361D"/>
    <w:rsid w:val="00183698"/>
    <w:rsid w:val="0018369D"/>
    <w:rsid w:val="0018371B"/>
    <w:rsid w:val="00183906"/>
    <w:rsid w:val="001839F7"/>
    <w:rsid w:val="00183C32"/>
    <w:rsid w:val="00183E3C"/>
    <w:rsid w:val="00184A27"/>
    <w:rsid w:val="00184D49"/>
    <w:rsid w:val="00184EB1"/>
    <w:rsid w:val="00184F62"/>
    <w:rsid w:val="001852BB"/>
    <w:rsid w:val="001858EC"/>
    <w:rsid w:val="001858FF"/>
    <w:rsid w:val="00185997"/>
    <w:rsid w:val="00185DCF"/>
    <w:rsid w:val="00186016"/>
    <w:rsid w:val="001861B7"/>
    <w:rsid w:val="00186389"/>
    <w:rsid w:val="0018644B"/>
    <w:rsid w:val="00186540"/>
    <w:rsid w:val="00186A2D"/>
    <w:rsid w:val="00187116"/>
    <w:rsid w:val="00187212"/>
    <w:rsid w:val="00187897"/>
    <w:rsid w:val="001878ED"/>
    <w:rsid w:val="00190342"/>
    <w:rsid w:val="0019044E"/>
    <w:rsid w:val="001905A8"/>
    <w:rsid w:val="001905C7"/>
    <w:rsid w:val="0019060C"/>
    <w:rsid w:val="001906BA"/>
    <w:rsid w:val="001906FC"/>
    <w:rsid w:val="001907FB"/>
    <w:rsid w:val="001912EC"/>
    <w:rsid w:val="00191310"/>
    <w:rsid w:val="00191320"/>
    <w:rsid w:val="0019158C"/>
    <w:rsid w:val="001917A0"/>
    <w:rsid w:val="00191AEB"/>
    <w:rsid w:val="00192010"/>
    <w:rsid w:val="001921DE"/>
    <w:rsid w:val="0019245C"/>
    <w:rsid w:val="00192709"/>
    <w:rsid w:val="00192A30"/>
    <w:rsid w:val="00192B84"/>
    <w:rsid w:val="00192C35"/>
    <w:rsid w:val="00192C6D"/>
    <w:rsid w:val="00192C9A"/>
    <w:rsid w:val="00192F11"/>
    <w:rsid w:val="00192FAB"/>
    <w:rsid w:val="00193029"/>
    <w:rsid w:val="001930DB"/>
    <w:rsid w:val="001932F1"/>
    <w:rsid w:val="0019338A"/>
    <w:rsid w:val="00193827"/>
    <w:rsid w:val="00193992"/>
    <w:rsid w:val="00193A49"/>
    <w:rsid w:val="00193CCD"/>
    <w:rsid w:val="00193D74"/>
    <w:rsid w:val="00193F0A"/>
    <w:rsid w:val="001940CF"/>
    <w:rsid w:val="00194256"/>
    <w:rsid w:val="0019446B"/>
    <w:rsid w:val="001945C3"/>
    <w:rsid w:val="00194645"/>
    <w:rsid w:val="001946CC"/>
    <w:rsid w:val="00194842"/>
    <w:rsid w:val="0019519E"/>
    <w:rsid w:val="001955C9"/>
    <w:rsid w:val="00195626"/>
    <w:rsid w:val="00195AB5"/>
    <w:rsid w:val="00195B7E"/>
    <w:rsid w:val="00195BC9"/>
    <w:rsid w:val="00195C78"/>
    <w:rsid w:val="00195CB3"/>
    <w:rsid w:val="00195E0E"/>
    <w:rsid w:val="0019603B"/>
    <w:rsid w:val="0019607E"/>
    <w:rsid w:val="001960CD"/>
    <w:rsid w:val="0019678F"/>
    <w:rsid w:val="00196805"/>
    <w:rsid w:val="001968CB"/>
    <w:rsid w:val="00196D53"/>
    <w:rsid w:val="00196E2C"/>
    <w:rsid w:val="001970D4"/>
    <w:rsid w:val="001971BD"/>
    <w:rsid w:val="001971F0"/>
    <w:rsid w:val="00197965"/>
    <w:rsid w:val="001A0215"/>
    <w:rsid w:val="001A037C"/>
    <w:rsid w:val="001A057A"/>
    <w:rsid w:val="001A08B3"/>
    <w:rsid w:val="001A08C4"/>
    <w:rsid w:val="001A0A1A"/>
    <w:rsid w:val="001A0B44"/>
    <w:rsid w:val="001A0BB7"/>
    <w:rsid w:val="001A0C63"/>
    <w:rsid w:val="001A0D49"/>
    <w:rsid w:val="001A141B"/>
    <w:rsid w:val="001A144C"/>
    <w:rsid w:val="001A173A"/>
    <w:rsid w:val="001A18C2"/>
    <w:rsid w:val="001A1A84"/>
    <w:rsid w:val="001A1B72"/>
    <w:rsid w:val="001A1B9A"/>
    <w:rsid w:val="001A1BE0"/>
    <w:rsid w:val="001A1ED0"/>
    <w:rsid w:val="001A217D"/>
    <w:rsid w:val="001A2583"/>
    <w:rsid w:val="001A29B3"/>
    <w:rsid w:val="001A2D0F"/>
    <w:rsid w:val="001A2E24"/>
    <w:rsid w:val="001A3142"/>
    <w:rsid w:val="001A35A4"/>
    <w:rsid w:val="001A35CA"/>
    <w:rsid w:val="001A370F"/>
    <w:rsid w:val="001A393B"/>
    <w:rsid w:val="001A3D98"/>
    <w:rsid w:val="001A4241"/>
    <w:rsid w:val="001A48C8"/>
    <w:rsid w:val="001A4911"/>
    <w:rsid w:val="001A491A"/>
    <w:rsid w:val="001A49AB"/>
    <w:rsid w:val="001A517B"/>
    <w:rsid w:val="001A5198"/>
    <w:rsid w:val="001A51A6"/>
    <w:rsid w:val="001A5910"/>
    <w:rsid w:val="001A6311"/>
    <w:rsid w:val="001A6776"/>
    <w:rsid w:val="001A6AB8"/>
    <w:rsid w:val="001A6B0E"/>
    <w:rsid w:val="001A72C0"/>
    <w:rsid w:val="001A7505"/>
    <w:rsid w:val="001A78E3"/>
    <w:rsid w:val="001A7A8D"/>
    <w:rsid w:val="001A7F6C"/>
    <w:rsid w:val="001B0228"/>
    <w:rsid w:val="001B02EF"/>
    <w:rsid w:val="001B081B"/>
    <w:rsid w:val="001B08B4"/>
    <w:rsid w:val="001B08E3"/>
    <w:rsid w:val="001B10CB"/>
    <w:rsid w:val="001B11AA"/>
    <w:rsid w:val="001B164D"/>
    <w:rsid w:val="001B167F"/>
    <w:rsid w:val="001B1CA2"/>
    <w:rsid w:val="001B2282"/>
    <w:rsid w:val="001B24C4"/>
    <w:rsid w:val="001B28ED"/>
    <w:rsid w:val="001B29E4"/>
    <w:rsid w:val="001B2A6D"/>
    <w:rsid w:val="001B2CDA"/>
    <w:rsid w:val="001B3024"/>
    <w:rsid w:val="001B3032"/>
    <w:rsid w:val="001B315A"/>
    <w:rsid w:val="001B36D0"/>
    <w:rsid w:val="001B36E5"/>
    <w:rsid w:val="001B3F48"/>
    <w:rsid w:val="001B40AC"/>
    <w:rsid w:val="001B464D"/>
    <w:rsid w:val="001B48DC"/>
    <w:rsid w:val="001B4983"/>
    <w:rsid w:val="001B4CA9"/>
    <w:rsid w:val="001B4F22"/>
    <w:rsid w:val="001B5145"/>
    <w:rsid w:val="001B525A"/>
    <w:rsid w:val="001B54ED"/>
    <w:rsid w:val="001B5905"/>
    <w:rsid w:val="001B59E9"/>
    <w:rsid w:val="001B5AC8"/>
    <w:rsid w:val="001B5D02"/>
    <w:rsid w:val="001B5D5C"/>
    <w:rsid w:val="001B5FB3"/>
    <w:rsid w:val="001B600F"/>
    <w:rsid w:val="001B604A"/>
    <w:rsid w:val="001B6497"/>
    <w:rsid w:val="001B6508"/>
    <w:rsid w:val="001B6509"/>
    <w:rsid w:val="001B690F"/>
    <w:rsid w:val="001B6D12"/>
    <w:rsid w:val="001B6D67"/>
    <w:rsid w:val="001B6DC9"/>
    <w:rsid w:val="001B6F62"/>
    <w:rsid w:val="001B71C0"/>
    <w:rsid w:val="001B7D9E"/>
    <w:rsid w:val="001C0117"/>
    <w:rsid w:val="001C01D7"/>
    <w:rsid w:val="001C0224"/>
    <w:rsid w:val="001C049B"/>
    <w:rsid w:val="001C07C5"/>
    <w:rsid w:val="001C0B4E"/>
    <w:rsid w:val="001C1111"/>
    <w:rsid w:val="001C15D7"/>
    <w:rsid w:val="001C15E5"/>
    <w:rsid w:val="001C1C5D"/>
    <w:rsid w:val="001C1C60"/>
    <w:rsid w:val="001C1F3A"/>
    <w:rsid w:val="001C2334"/>
    <w:rsid w:val="001C2AE1"/>
    <w:rsid w:val="001C2B76"/>
    <w:rsid w:val="001C2D67"/>
    <w:rsid w:val="001C33AF"/>
    <w:rsid w:val="001C35E3"/>
    <w:rsid w:val="001C35E5"/>
    <w:rsid w:val="001C3705"/>
    <w:rsid w:val="001C3740"/>
    <w:rsid w:val="001C39C8"/>
    <w:rsid w:val="001C3B44"/>
    <w:rsid w:val="001C3CBC"/>
    <w:rsid w:val="001C4283"/>
    <w:rsid w:val="001C451F"/>
    <w:rsid w:val="001C46CA"/>
    <w:rsid w:val="001C4F16"/>
    <w:rsid w:val="001C4F37"/>
    <w:rsid w:val="001C5222"/>
    <w:rsid w:val="001C52C6"/>
    <w:rsid w:val="001C56A5"/>
    <w:rsid w:val="001C585A"/>
    <w:rsid w:val="001C5F56"/>
    <w:rsid w:val="001C61B3"/>
    <w:rsid w:val="001C6231"/>
    <w:rsid w:val="001C629D"/>
    <w:rsid w:val="001C6DA9"/>
    <w:rsid w:val="001C703F"/>
    <w:rsid w:val="001C70F4"/>
    <w:rsid w:val="001C72D3"/>
    <w:rsid w:val="001C758F"/>
    <w:rsid w:val="001C78DB"/>
    <w:rsid w:val="001C7A72"/>
    <w:rsid w:val="001C7C1C"/>
    <w:rsid w:val="001C7D33"/>
    <w:rsid w:val="001C7D4A"/>
    <w:rsid w:val="001D04D9"/>
    <w:rsid w:val="001D05E5"/>
    <w:rsid w:val="001D06BF"/>
    <w:rsid w:val="001D0736"/>
    <w:rsid w:val="001D08B8"/>
    <w:rsid w:val="001D0B7C"/>
    <w:rsid w:val="001D0BA8"/>
    <w:rsid w:val="001D0ED5"/>
    <w:rsid w:val="001D0F3C"/>
    <w:rsid w:val="001D1117"/>
    <w:rsid w:val="001D11EB"/>
    <w:rsid w:val="001D12AC"/>
    <w:rsid w:val="001D133C"/>
    <w:rsid w:val="001D1AAF"/>
    <w:rsid w:val="001D1D56"/>
    <w:rsid w:val="001D2058"/>
    <w:rsid w:val="001D26CB"/>
    <w:rsid w:val="001D2799"/>
    <w:rsid w:val="001D2C09"/>
    <w:rsid w:val="001D2C21"/>
    <w:rsid w:val="001D2D06"/>
    <w:rsid w:val="001D2EA9"/>
    <w:rsid w:val="001D2F90"/>
    <w:rsid w:val="001D30EC"/>
    <w:rsid w:val="001D356B"/>
    <w:rsid w:val="001D35B1"/>
    <w:rsid w:val="001D35C0"/>
    <w:rsid w:val="001D3CE1"/>
    <w:rsid w:val="001D3F07"/>
    <w:rsid w:val="001D3FDE"/>
    <w:rsid w:val="001D4050"/>
    <w:rsid w:val="001D45C7"/>
    <w:rsid w:val="001D4E4F"/>
    <w:rsid w:val="001D52BD"/>
    <w:rsid w:val="001D53AD"/>
    <w:rsid w:val="001D560C"/>
    <w:rsid w:val="001D5793"/>
    <w:rsid w:val="001D5821"/>
    <w:rsid w:val="001D5AA8"/>
    <w:rsid w:val="001D5CA0"/>
    <w:rsid w:val="001D5D84"/>
    <w:rsid w:val="001D5E5E"/>
    <w:rsid w:val="001D5E72"/>
    <w:rsid w:val="001D5E97"/>
    <w:rsid w:val="001D60AB"/>
    <w:rsid w:val="001D6297"/>
    <w:rsid w:val="001D62A5"/>
    <w:rsid w:val="001D678A"/>
    <w:rsid w:val="001D702F"/>
    <w:rsid w:val="001D711C"/>
    <w:rsid w:val="001D7132"/>
    <w:rsid w:val="001D715C"/>
    <w:rsid w:val="001D7361"/>
    <w:rsid w:val="001D75E8"/>
    <w:rsid w:val="001D75F8"/>
    <w:rsid w:val="001D76D1"/>
    <w:rsid w:val="001D7804"/>
    <w:rsid w:val="001D7C07"/>
    <w:rsid w:val="001D7D81"/>
    <w:rsid w:val="001D7E5E"/>
    <w:rsid w:val="001E00A2"/>
    <w:rsid w:val="001E00FE"/>
    <w:rsid w:val="001E05BE"/>
    <w:rsid w:val="001E08D1"/>
    <w:rsid w:val="001E0BD7"/>
    <w:rsid w:val="001E0DE5"/>
    <w:rsid w:val="001E0E98"/>
    <w:rsid w:val="001E143C"/>
    <w:rsid w:val="001E1472"/>
    <w:rsid w:val="001E161A"/>
    <w:rsid w:val="001E211F"/>
    <w:rsid w:val="001E2922"/>
    <w:rsid w:val="001E2BD0"/>
    <w:rsid w:val="001E2C64"/>
    <w:rsid w:val="001E2DDE"/>
    <w:rsid w:val="001E30C3"/>
    <w:rsid w:val="001E30EC"/>
    <w:rsid w:val="001E388A"/>
    <w:rsid w:val="001E3AAF"/>
    <w:rsid w:val="001E3BAA"/>
    <w:rsid w:val="001E3BD6"/>
    <w:rsid w:val="001E43A4"/>
    <w:rsid w:val="001E45F7"/>
    <w:rsid w:val="001E46E5"/>
    <w:rsid w:val="001E4C20"/>
    <w:rsid w:val="001E4FB0"/>
    <w:rsid w:val="001E5679"/>
    <w:rsid w:val="001E56FA"/>
    <w:rsid w:val="001E5A5E"/>
    <w:rsid w:val="001E5B3A"/>
    <w:rsid w:val="001E5CDE"/>
    <w:rsid w:val="001E5D5D"/>
    <w:rsid w:val="001E5FFC"/>
    <w:rsid w:val="001E678C"/>
    <w:rsid w:val="001E68AB"/>
    <w:rsid w:val="001E69F4"/>
    <w:rsid w:val="001E6A32"/>
    <w:rsid w:val="001E6C47"/>
    <w:rsid w:val="001E6D26"/>
    <w:rsid w:val="001E72C3"/>
    <w:rsid w:val="001E7320"/>
    <w:rsid w:val="001E759F"/>
    <w:rsid w:val="001E7652"/>
    <w:rsid w:val="001E765D"/>
    <w:rsid w:val="001E7682"/>
    <w:rsid w:val="001E7938"/>
    <w:rsid w:val="001E7C1A"/>
    <w:rsid w:val="001E7CBF"/>
    <w:rsid w:val="001E7E72"/>
    <w:rsid w:val="001E7F5E"/>
    <w:rsid w:val="001F046B"/>
    <w:rsid w:val="001F0AED"/>
    <w:rsid w:val="001F0FC5"/>
    <w:rsid w:val="001F1176"/>
    <w:rsid w:val="001F11FB"/>
    <w:rsid w:val="001F17C2"/>
    <w:rsid w:val="001F1830"/>
    <w:rsid w:val="001F19FF"/>
    <w:rsid w:val="001F1B91"/>
    <w:rsid w:val="001F1C74"/>
    <w:rsid w:val="001F1EA4"/>
    <w:rsid w:val="001F1FED"/>
    <w:rsid w:val="001F2402"/>
    <w:rsid w:val="001F261C"/>
    <w:rsid w:val="001F2746"/>
    <w:rsid w:val="001F2E22"/>
    <w:rsid w:val="001F2EE8"/>
    <w:rsid w:val="001F2FE9"/>
    <w:rsid w:val="001F330A"/>
    <w:rsid w:val="001F3359"/>
    <w:rsid w:val="001F3493"/>
    <w:rsid w:val="001F381C"/>
    <w:rsid w:val="001F423C"/>
    <w:rsid w:val="001F463B"/>
    <w:rsid w:val="001F467D"/>
    <w:rsid w:val="001F46C0"/>
    <w:rsid w:val="001F4820"/>
    <w:rsid w:val="001F48A0"/>
    <w:rsid w:val="001F49D8"/>
    <w:rsid w:val="001F4C37"/>
    <w:rsid w:val="001F4DDD"/>
    <w:rsid w:val="001F4E8C"/>
    <w:rsid w:val="001F4EE4"/>
    <w:rsid w:val="001F5211"/>
    <w:rsid w:val="001F5383"/>
    <w:rsid w:val="001F5542"/>
    <w:rsid w:val="001F5821"/>
    <w:rsid w:val="001F5850"/>
    <w:rsid w:val="001F5D07"/>
    <w:rsid w:val="001F5F91"/>
    <w:rsid w:val="001F626C"/>
    <w:rsid w:val="001F62B4"/>
    <w:rsid w:val="001F62C6"/>
    <w:rsid w:val="001F6C12"/>
    <w:rsid w:val="001F710D"/>
    <w:rsid w:val="001F7410"/>
    <w:rsid w:val="001F746B"/>
    <w:rsid w:val="001F799B"/>
    <w:rsid w:val="001F7BCE"/>
    <w:rsid w:val="001F7C41"/>
    <w:rsid w:val="001F7C87"/>
    <w:rsid w:val="001F7D44"/>
    <w:rsid w:val="001F7D8B"/>
    <w:rsid w:val="001F7E44"/>
    <w:rsid w:val="0020050F"/>
    <w:rsid w:val="0020064D"/>
    <w:rsid w:val="0020087B"/>
    <w:rsid w:val="00200F8B"/>
    <w:rsid w:val="002014B9"/>
    <w:rsid w:val="00201537"/>
    <w:rsid w:val="002015C4"/>
    <w:rsid w:val="00201A2A"/>
    <w:rsid w:val="00201A30"/>
    <w:rsid w:val="00201A44"/>
    <w:rsid w:val="00201D87"/>
    <w:rsid w:val="00201F2B"/>
    <w:rsid w:val="002023C9"/>
    <w:rsid w:val="00202458"/>
    <w:rsid w:val="0020278A"/>
    <w:rsid w:val="002030A3"/>
    <w:rsid w:val="00203384"/>
    <w:rsid w:val="0020372C"/>
    <w:rsid w:val="002038BE"/>
    <w:rsid w:val="0020398C"/>
    <w:rsid w:val="002039CC"/>
    <w:rsid w:val="00204341"/>
    <w:rsid w:val="002047EE"/>
    <w:rsid w:val="00204B39"/>
    <w:rsid w:val="0020539D"/>
    <w:rsid w:val="00205601"/>
    <w:rsid w:val="0020586D"/>
    <w:rsid w:val="0020599A"/>
    <w:rsid w:val="00205BE8"/>
    <w:rsid w:val="00205EFF"/>
    <w:rsid w:val="00206225"/>
    <w:rsid w:val="002062B9"/>
    <w:rsid w:val="00206826"/>
    <w:rsid w:val="00206A3D"/>
    <w:rsid w:val="00206D0F"/>
    <w:rsid w:val="00206DA2"/>
    <w:rsid w:val="00207011"/>
    <w:rsid w:val="0020791E"/>
    <w:rsid w:val="00207AD0"/>
    <w:rsid w:val="00207E94"/>
    <w:rsid w:val="00207EAE"/>
    <w:rsid w:val="0021016F"/>
    <w:rsid w:val="002105B1"/>
    <w:rsid w:val="002105C4"/>
    <w:rsid w:val="00210B77"/>
    <w:rsid w:val="00210C2D"/>
    <w:rsid w:val="00210F76"/>
    <w:rsid w:val="002114DB"/>
    <w:rsid w:val="00211730"/>
    <w:rsid w:val="0021259C"/>
    <w:rsid w:val="00213634"/>
    <w:rsid w:val="002139C7"/>
    <w:rsid w:val="00213CAE"/>
    <w:rsid w:val="00213CC8"/>
    <w:rsid w:val="002143C5"/>
    <w:rsid w:val="002147D6"/>
    <w:rsid w:val="002148AE"/>
    <w:rsid w:val="002149AD"/>
    <w:rsid w:val="00214E5F"/>
    <w:rsid w:val="00214FC8"/>
    <w:rsid w:val="00215121"/>
    <w:rsid w:val="00215217"/>
    <w:rsid w:val="00215392"/>
    <w:rsid w:val="00215435"/>
    <w:rsid w:val="002154ED"/>
    <w:rsid w:val="00215575"/>
    <w:rsid w:val="00215963"/>
    <w:rsid w:val="00215E4C"/>
    <w:rsid w:val="00215F29"/>
    <w:rsid w:val="00216007"/>
    <w:rsid w:val="00216497"/>
    <w:rsid w:val="00216581"/>
    <w:rsid w:val="00216783"/>
    <w:rsid w:val="002168D2"/>
    <w:rsid w:val="00216CDB"/>
    <w:rsid w:val="00216E93"/>
    <w:rsid w:val="0021718B"/>
    <w:rsid w:val="0021739D"/>
    <w:rsid w:val="0021757A"/>
    <w:rsid w:val="00217790"/>
    <w:rsid w:val="002179D5"/>
    <w:rsid w:val="00217A9F"/>
    <w:rsid w:val="00217B28"/>
    <w:rsid w:val="00217DA2"/>
    <w:rsid w:val="00217E44"/>
    <w:rsid w:val="00217E57"/>
    <w:rsid w:val="00217E85"/>
    <w:rsid w:val="0022010C"/>
    <w:rsid w:val="002201AD"/>
    <w:rsid w:val="002203D4"/>
    <w:rsid w:val="00220E37"/>
    <w:rsid w:val="0022112E"/>
    <w:rsid w:val="002214F0"/>
    <w:rsid w:val="00221511"/>
    <w:rsid w:val="0022184F"/>
    <w:rsid w:val="00221862"/>
    <w:rsid w:val="00221FF5"/>
    <w:rsid w:val="0022208B"/>
    <w:rsid w:val="00222208"/>
    <w:rsid w:val="00222294"/>
    <w:rsid w:val="00222353"/>
    <w:rsid w:val="0022250E"/>
    <w:rsid w:val="00222590"/>
    <w:rsid w:val="00222724"/>
    <w:rsid w:val="0022277E"/>
    <w:rsid w:val="002227A1"/>
    <w:rsid w:val="00222951"/>
    <w:rsid w:val="00222C7F"/>
    <w:rsid w:val="00222EE2"/>
    <w:rsid w:val="0022309E"/>
    <w:rsid w:val="00223594"/>
    <w:rsid w:val="0022377D"/>
    <w:rsid w:val="00223829"/>
    <w:rsid w:val="00223E1D"/>
    <w:rsid w:val="00223F08"/>
    <w:rsid w:val="002244A5"/>
    <w:rsid w:val="00224695"/>
    <w:rsid w:val="00224CFB"/>
    <w:rsid w:val="00225271"/>
    <w:rsid w:val="00225499"/>
    <w:rsid w:val="002254D1"/>
    <w:rsid w:val="0022553F"/>
    <w:rsid w:val="00225652"/>
    <w:rsid w:val="00225B39"/>
    <w:rsid w:val="00225C51"/>
    <w:rsid w:val="00225D4A"/>
    <w:rsid w:val="00225D7A"/>
    <w:rsid w:val="00225DCA"/>
    <w:rsid w:val="002262F2"/>
    <w:rsid w:val="00226396"/>
    <w:rsid w:val="002263AC"/>
    <w:rsid w:val="00226573"/>
    <w:rsid w:val="00226EB8"/>
    <w:rsid w:val="00226F91"/>
    <w:rsid w:val="00226FC9"/>
    <w:rsid w:val="002271BC"/>
    <w:rsid w:val="00227525"/>
    <w:rsid w:val="00227703"/>
    <w:rsid w:val="00227A8D"/>
    <w:rsid w:val="00227D96"/>
    <w:rsid w:val="00230197"/>
    <w:rsid w:val="00230273"/>
    <w:rsid w:val="002303BB"/>
    <w:rsid w:val="0023054E"/>
    <w:rsid w:val="00230974"/>
    <w:rsid w:val="00231327"/>
    <w:rsid w:val="002313C2"/>
    <w:rsid w:val="00231567"/>
    <w:rsid w:val="002315A9"/>
    <w:rsid w:val="00231BAD"/>
    <w:rsid w:val="00231ED1"/>
    <w:rsid w:val="00231EEC"/>
    <w:rsid w:val="002323DC"/>
    <w:rsid w:val="00232621"/>
    <w:rsid w:val="00232B15"/>
    <w:rsid w:val="00232C47"/>
    <w:rsid w:val="00232CD1"/>
    <w:rsid w:val="00233392"/>
    <w:rsid w:val="00233604"/>
    <w:rsid w:val="00233FF7"/>
    <w:rsid w:val="0023407C"/>
    <w:rsid w:val="002342A8"/>
    <w:rsid w:val="0023449F"/>
    <w:rsid w:val="002344A7"/>
    <w:rsid w:val="00234825"/>
    <w:rsid w:val="00234961"/>
    <w:rsid w:val="00234C2B"/>
    <w:rsid w:val="002354F1"/>
    <w:rsid w:val="0023593A"/>
    <w:rsid w:val="00235BF5"/>
    <w:rsid w:val="00235D15"/>
    <w:rsid w:val="00235E1B"/>
    <w:rsid w:val="00235F99"/>
    <w:rsid w:val="0023600B"/>
    <w:rsid w:val="00236134"/>
    <w:rsid w:val="00236A27"/>
    <w:rsid w:val="00236A69"/>
    <w:rsid w:val="0023729D"/>
    <w:rsid w:val="002373DA"/>
    <w:rsid w:val="0023749F"/>
    <w:rsid w:val="0023752B"/>
    <w:rsid w:val="002375A3"/>
    <w:rsid w:val="00237684"/>
    <w:rsid w:val="002377D5"/>
    <w:rsid w:val="00237D73"/>
    <w:rsid w:val="00237F32"/>
    <w:rsid w:val="002401A6"/>
    <w:rsid w:val="002402A6"/>
    <w:rsid w:val="0024036E"/>
    <w:rsid w:val="00240736"/>
    <w:rsid w:val="0024096C"/>
    <w:rsid w:val="00240C3C"/>
    <w:rsid w:val="0024182D"/>
    <w:rsid w:val="00241EBA"/>
    <w:rsid w:val="00242546"/>
    <w:rsid w:val="002426E6"/>
    <w:rsid w:val="002427CA"/>
    <w:rsid w:val="00242816"/>
    <w:rsid w:val="0024281A"/>
    <w:rsid w:val="002429B0"/>
    <w:rsid w:val="00242A2E"/>
    <w:rsid w:val="00242BC7"/>
    <w:rsid w:val="00242CCF"/>
    <w:rsid w:val="00242CDD"/>
    <w:rsid w:val="00242EB7"/>
    <w:rsid w:val="00242F74"/>
    <w:rsid w:val="00243374"/>
    <w:rsid w:val="002437E7"/>
    <w:rsid w:val="00243823"/>
    <w:rsid w:val="002438CB"/>
    <w:rsid w:val="00243943"/>
    <w:rsid w:val="00243AEB"/>
    <w:rsid w:val="00243BC0"/>
    <w:rsid w:val="00243FEA"/>
    <w:rsid w:val="00244102"/>
    <w:rsid w:val="002441F3"/>
    <w:rsid w:val="002445F8"/>
    <w:rsid w:val="00244613"/>
    <w:rsid w:val="00244BE0"/>
    <w:rsid w:val="00245023"/>
    <w:rsid w:val="002454BA"/>
    <w:rsid w:val="002454C5"/>
    <w:rsid w:val="00245532"/>
    <w:rsid w:val="002456A6"/>
    <w:rsid w:val="002456F0"/>
    <w:rsid w:val="00245AD1"/>
    <w:rsid w:val="00246774"/>
    <w:rsid w:val="0024689D"/>
    <w:rsid w:val="00246A34"/>
    <w:rsid w:val="00247092"/>
    <w:rsid w:val="002470F7"/>
    <w:rsid w:val="0024711A"/>
    <w:rsid w:val="0024769F"/>
    <w:rsid w:val="002476A8"/>
    <w:rsid w:val="00247B39"/>
    <w:rsid w:val="00247D44"/>
    <w:rsid w:val="00247F3D"/>
    <w:rsid w:val="002505BC"/>
    <w:rsid w:val="002507DB"/>
    <w:rsid w:val="00250A02"/>
    <w:rsid w:val="00250C90"/>
    <w:rsid w:val="00250DCD"/>
    <w:rsid w:val="00250DD1"/>
    <w:rsid w:val="00251458"/>
    <w:rsid w:val="00251488"/>
    <w:rsid w:val="00251C41"/>
    <w:rsid w:val="00251D57"/>
    <w:rsid w:val="00251DAF"/>
    <w:rsid w:val="00251F74"/>
    <w:rsid w:val="0025231A"/>
    <w:rsid w:val="0025289A"/>
    <w:rsid w:val="002528D2"/>
    <w:rsid w:val="00252AD3"/>
    <w:rsid w:val="00252C8D"/>
    <w:rsid w:val="00252DA9"/>
    <w:rsid w:val="00252F1A"/>
    <w:rsid w:val="0025314F"/>
    <w:rsid w:val="0025377C"/>
    <w:rsid w:val="00254176"/>
    <w:rsid w:val="0025430D"/>
    <w:rsid w:val="002543FB"/>
    <w:rsid w:val="002547A1"/>
    <w:rsid w:val="002552DD"/>
    <w:rsid w:val="00255885"/>
    <w:rsid w:val="00255CA2"/>
    <w:rsid w:val="002563CF"/>
    <w:rsid w:val="00256403"/>
    <w:rsid w:val="00256546"/>
    <w:rsid w:val="00256565"/>
    <w:rsid w:val="00256597"/>
    <w:rsid w:val="00256E57"/>
    <w:rsid w:val="00257A2F"/>
    <w:rsid w:val="00257B97"/>
    <w:rsid w:val="00257D78"/>
    <w:rsid w:val="0026015B"/>
    <w:rsid w:val="002602EE"/>
    <w:rsid w:val="002603BD"/>
    <w:rsid w:val="0026087A"/>
    <w:rsid w:val="002609BD"/>
    <w:rsid w:val="00260A9F"/>
    <w:rsid w:val="00260F12"/>
    <w:rsid w:val="00261126"/>
    <w:rsid w:val="0026131E"/>
    <w:rsid w:val="00261509"/>
    <w:rsid w:val="002616F9"/>
    <w:rsid w:val="002618EC"/>
    <w:rsid w:val="00261C5D"/>
    <w:rsid w:val="00261E9E"/>
    <w:rsid w:val="0026251F"/>
    <w:rsid w:val="002625D7"/>
    <w:rsid w:val="002627BB"/>
    <w:rsid w:val="00262996"/>
    <w:rsid w:val="002629CF"/>
    <w:rsid w:val="00262AFE"/>
    <w:rsid w:val="00262B8F"/>
    <w:rsid w:val="0026328F"/>
    <w:rsid w:val="0026339C"/>
    <w:rsid w:val="002637DD"/>
    <w:rsid w:val="00263A5D"/>
    <w:rsid w:val="00263CBD"/>
    <w:rsid w:val="00263E45"/>
    <w:rsid w:val="00263F3E"/>
    <w:rsid w:val="0026410B"/>
    <w:rsid w:val="00264A41"/>
    <w:rsid w:val="00264B2A"/>
    <w:rsid w:val="00264EF8"/>
    <w:rsid w:val="00265246"/>
    <w:rsid w:val="002660C0"/>
    <w:rsid w:val="00266302"/>
    <w:rsid w:val="00266306"/>
    <w:rsid w:val="00266373"/>
    <w:rsid w:val="00266434"/>
    <w:rsid w:val="002668C3"/>
    <w:rsid w:val="00266E39"/>
    <w:rsid w:val="00266F85"/>
    <w:rsid w:val="0026712C"/>
    <w:rsid w:val="00267517"/>
    <w:rsid w:val="002675B5"/>
    <w:rsid w:val="0026786C"/>
    <w:rsid w:val="002679FD"/>
    <w:rsid w:val="00267AF0"/>
    <w:rsid w:val="00267B3D"/>
    <w:rsid w:val="00267E84"/>
    <w:rsid w:val="00267FE6"/>
    <w:rsid w:val="00270093"/>
    <w:rsid w:val="00270521"/>
    <w:rsid w:val="002706B4"/>
    <w:rsid w:val="002708FE"/>
    <w:rsid w:val="002709F4"/>
    <w:rsid w:val="00270A61"/>
    <w:rsid w:val="00270C49"/>
    <w:rsid w:val="00270CD4"/>
    <w:rsid w:val="00270ECC"/>
    <w:rsid w:val="00271392"/>
    <w:rsid w:val="002714E1"/>
    <w:rsid w:val="00271620"/>
    <w:rsid w:val="00271E1A"/>
    <w:rsid w:val="00271FC8"/>
    <w:rsid w:val="0027276D"/>
    <w:rsid w:val="002727F8"/>
    <w:rsid w:val="00272B8E"/>
    <w:rsid w:val="0027318F"/>
    <w:rsid w:val="00273234"/>
    <w:rsid w:val="002733E3"/>
    <w:rsid w:val="002734B5"/>
    <w:rsid w:val="002734F0"/>
    <w:rsid w:val="0027372F"/>
    <w:rsid w:val="00273967"/>
    <w:rsid w:val="00273D97"/>
    <w:rsid w:val="0027418F"/>
    <w:rsid w:val="002744C0"/>
    <w:rsid w:val="0027456A"/>
    <w:rsid w:val="00274C32"/>
    <w:rsid w:val="00275D4D"/>
    <w:rsid w:val="00276048"/>
    <w:rsid w:val="0027607E"/>
    <w:rsid w:val="0027637D"/>
    <w:rsid w:val="0027651F"/>
    <w:rsid w:val="002768EE"/>
    <w:rsid w:val="0027738A"/>
    <w:rsid w:val="00277492"/>
    <w:rsid w:val="0027772D"/>
    <w:rsid w:val="00277AC1"/>
    <w:rsid w:val="00277B62"/>
    <w:rsid w:val="00277BAD"/>
    <w:rsid w:val="00277C1C"/>
    <w:rsid w:val="00277D4F"/>
    <w:rsid w:val="00277EE3"/>
    <w:rsid w:val="00280194"/>
    <w:rsid w:val="0028046A"/>
    <w:rsid w:val="00280961"/>
    <w:rsid w:val="00280AA4"/>
    <w:rsid w:val="00280F4A"/>
    <w:rsid w:val="00281485"/>
    <w:rsid w:val="00281963"/>
    <w:rsid w:val="00281973"/>
    <w:rsid w:val="00281BF9"/>
    <w:rsid w:val="00281D09"/>
    <w:rsid w:val="00281EA3"/>
    <w:rsid w:val="002820E9"/>
    <w:rsid w:val="002820F3"/>
    <w:rsid w:val="0028287F"/>
    <w:rsid w:val="002828D8"/>
    <w:rsid w:val="00282A35"/>
    <w:rsid w:val="00282AD0"/>
    <w:rsid w:val="00282B4C"/>
    <w:rsid w:val="00283032"/>
    <w:rsid w:val="002831B5"/>
    <w:rsid w:val="002833FF"/>
    <w:rsid w:val="00283812"/>
    <w:rsid w:val="00283EF2"/>
    <w:rsid w:val="00284116"/>
    <w:rsid w:val="002848BC"/>
    <w:rsid w:val="00284D86"/>
    <w:rsid w:val="00284DC6"/>
    <w:rsid w:val="002853D0"/>
    <w:rsid w:val="0028573E"/>
    <w:rsid w:val="002859A1"/>
    <w:rsid w:val="00285FB3"/>
    <w:rsid w:val="00286768"/>
    <w:rsid w:val="00286A7E"/>
    <w:rsid w:val="00286CE3"/>
    <w:rsid w:val="00286E11"/>
    <w:rsid w:val="0028712B"/>
    <w:rsid w:val="00287267"/>
    <w:rsid w:val="002873B3"/>
    <w:rsid w:val="00287558"/>
    <w:rsid w:val="00287635"/>
    <w:rsid w:val="00287732"/>
    <w:rsid w:val="00287A2D"/>
    <w:rsid w:val="00287F75"/>
    <w:rsid w:val="00287F82"/>
    <w:rsid w:val="00287FB5"/>
    <w:rsid w:val="002907AA"/>
    <w:rsid w:val="002907FC"/>
    <w:rsid w:val="00290802"/>
    <w:rsid w:val="00290842"/>
    <w:rsid w:val="00290BAC"/>
    <w:rsid w:val="00290E7F"/>
    <w:rsid w:val="00290F6C"/>
    <w:rsid w:val="00291072"/>
    <w:rsid w:val="002914EE"/>
    <w:rsid w:val="0029153B"/>
    <w:rsid w:val="00291758"/>
    <w:rsid w:val="0029183B"/>
    <w:rsid w:val="00291A36"/>
    <w:rsid w:val="00291A60"/>
    <w:rsid w:val="00291EF9"/>
    <w:rsid w:val="00292168"/>
    <w:rsid w:val="00292B3E"/>
    <w:rsid w:val="00292B92"/>
    <w:rsid w:val="00293084"/>
    <w:rsid w:val="002933E5"/>
    <w:rsid w:val="002936F7"/>
    <w:rsid w:val="00293AAE"/>
    <w:rsid w:val="00293D5A"/>
    <w:rsid w:val="00293ECF"/>
    <w:rsid w:val="002943D3"/>
    <w:rsid w:val="0029459E"/>
    <w:rsid w:val="00294742"/>
    <w:rsid w:val="00294753"/>
    <w:rsid w:val="0029490B"/>
    <w:rsid w:val="00294B97"/>
    <w:rsid w:val="00294E4B"/>
    <w:rsid w:val="002950CC"/>
    <w:rsid w:val="002954D8"/>
    <w:rsid w:val="002955FF"/>
    <w:rsid w:val="00295749"/>
    <w:rsid w:val="002957BD"/>
    <w:rsid w:val="00295A18"/>
    <w:rsid w:val="00295A95"/>
    <w:rsid w:val="002961AB"/>
    <w:rsid w:val="00296211"/>
    <w:rsid w:val="002963B0"/>
    <w:rsid w:val="00296614"/>
    <w:rsid w:val="002967B9"/>
    <w:rsid w:val="00296AAA"/>
    <w:rsid w:val="00296BF6"/>
    <w:rsid w:val="00296D3B"/>
    <w:rsid w:val="00296E6B"/>
    <w:rsid w:val="00297186"/>
    <w:rsid w:val="002971A1"/>
    <w:rsid w:val="002971CA"/>
    <w:rsid w:val="002976AD"/>
    <w:rsid w:val="00297E90"/>
    <w:rsid w:val="002A040B"/>
    <w:rsid w:val="002A058B"/>
    <w:rsid w:val="002A08F9"/>
    <w:rsid w:val="002A09DD"/>
    <w:rsid w:val="002A0C52"/>
    <w:rsid w:val="002A0D83"/>
    <w:rsid w:val="002A0F8D"/>
    <w:rsid w:val="002A1222"/>
    <w:rsid w:val="002A12DA"/>
    <w:rsid w:val="002A1628"/>
    <w:rsid w:val="002A17E8"/>
    <w:rsid w:val="002A1A10"/>
    <w:rsid w:val="002A1BC4"/>
    <w:rsid w:val="002A1F85"/>
    <w:rsid w:val="002A22B3"/>
    <w:rsid w:val="002A238F"/>
    <w:rsid w:val="002A2585"/>
    <w:rsid w:val="002A2892"/>
    <w:rsid w:val="002A2C69"/>
    <w:rsid w:val="002A319B"/>
    <w:rsid w:val="002A3243"/>
    <w:rsid w:val="002A349F"/>
    <w:rsid w:val="002A3C80"/>
    <w:rsid w:val="002A45F4"/>
    <w:rsid w:val="002A473F"/>
    <w:rsid w:val="002A4863"/>
    <w:rsid w:val="002A4B81"/>
    <w:rsid w:val="002A4C20"/>
    <w:rsid w:val="002A4C51"/>
    <w:rsid w:val="002A4CC1"/>
    <w:rsid w:val="002A51CC"/>
    <w:rsid w:val="002A5203"/>
    <w:rsid w:val="002A55CD"/>
    <w:rsid w:val="002A5FE6"/>
    <w:rsid w:val="002A60EC"/>
    <w:rsid w:val="002A66BB"/>
    <w:rsid w:val="002A67D7"/>
    <w:rsid w:val="002A688E"/>
    <w:rsid w:val="002A695C"/>
    <w:rsid w:val="002A6A29"/>
    <w:rsid w:val="002A6A9B"/>
    <w:rsid w:val="002A6AA1"/>
    <w:rsid w:val="002A7145"/>
    <w:rsid w:val="002A74B4"/>
    <w:rsid w:val="002A78A8"/>
    <w:rsid w:val="002A7A20"/>
    <w:rsid w:val="002A7CAC"/>
    <w:rsid w:val="002B0230"/>
    <w:rsid w:val="002B028B"/>
    <w:rsid w:val="002B04B4"/>
    <w:rsid w:val="002B0C47"/>
    <w:rsid w:val="002B10FD"/>
    <w:rsid w:val="002B1148"/>
    <w:rsid w:val="002B136F"/>
    <w:rsid w:val="002B16FC"/>
    <w:rsid w:val="002B198C"/>
    <w:rsid w:val="002B1A20"/>
    <w:rsid w:val="002B1BCC"/>
    <w:rsid w:val="002B2538"/>
    <w:rsid w:val="002B2577"/>
    <w:rsid w:val="002B25A0"/>
    <w:rsid w:val="002B25C6"/>
    <w:rsid w:val="002B3374"/>
    <w:rsid w:val="002B3648"/>
    <w:rsid w:val="002B379C"/>
    <w:rsid w:val="002B386F"/>
    <w:rsid w:val="002B3B16"/>
    <w:rsid w:val="002B3B50"/>
    <w:rsid w:val="002B3C56"/>
    <w:rsid w:val="002B4072"/>
    <w:rsid w:val="002B446E"/>
    <w:rsid w:val="002B4479"/>
    <w:rsid w:val="002B46A6"/>
    <w:rsid w:val="002B4927"/>
    <w:rsid w:val="002B4E43"/>
    <w:rsid w:val="002B5032"/>
    <w:rsid w:val="002B514C"/>
    <w:rsid w:val="002B52D1"/>
    <w:rsid w:val="002B53F3"/>
    <w:rsid w:val="002B5DEE"/>
    <w:rsid w:val="002B5EFD"/>
    <w:rsid w:val="002B5FB3"/>
    <w:rsid w:val="002B6650"/>
    <w:rsid w:val="002B699C"/>
    <w:rsid w:val="002B6A4E"/>
    <w:rsid w:val="002B6BDB"/>
    <w:rsid w:val="002B6CF7"/>
    <w:rsid w:val="002B6EE0"/>
    <w:rsid w:val="002B75F6"/>
    <w:rsid w:val="002B7F6B"/>
    <w:rsid w:val="002B7FC5"/>
    <w:rsid w:val="002C0194"/>
    <w:rsid w:val="002C024B"/>
    <w:rsid w:val="002C0340"/>
    <w:rsid w:val="002C04AE"/>
    <w:rsid w:val="002C0660"/>
    <w:rsid w:val="002C06C9"/>
    <w:rsid w:val="002C0994"/>
    <w:rsid w:val="002C1235"/>
    <w:rsid w:val="002C1CF8"/>
    <w:rsid w:val="002C1D0D"/>
    <w:rsid w:val="002C1E4F"/>
    <w:rsid w:val="002C2056"/>
    <w:rsid w:val="002C2194"/>
    <w:rsid w:val="002C251D"/>
    <w:rsid w:val="002C286D"/>
    <w:rsid w:val="002C28A9"/>
    <w:rsid w:val="002C290E"/>
    <w:rsid w:val="002C2A5A"/>
    <w:rsid w:val="002C2BFE"/>
    <w:rsid w:val="002C2D7F"/>
    <w:rsid w:val="002C2F21"/>
    <w:rsid w:val="002C2FA8"/>
    <w:rsid w:val="002C2FD1"/>
    <w:rsid w:val="002C384D"/>
    <w:rsid w:val="002C3B8B"/>
    <w:rsid w:val="002C418D"/>
    <w:rsid w:val="002C4588"/>
    <w:rsid w:val="002C52B7"/>
    <w:rsid w:val="002C54D9"/>
    <w:rsid w:val="002C56EF"/>
    <w:rsid w:val="002C579D"/>
    <w:rsid w:val="002C5A16"/>
    <w:rsid w:val="002C5EAC"/>
    <w:rsid w:val="002C5FBB"/>
    <w:rsid w:val="002C60EE"/>
    <w:rsid w:val="002C645D"/>
    <w:rsid w:val="002C64D8"/>
    <w:rsid w:val="002C65FC"/>
    <w:rsid w:val="002C6BF0"/>
    <w:rsid w:val="002C7083"/>
    <w:rsid w:val="002C740E"/>
    <w:rsid w:val="002C793A"/>
    <w:rsid w:val="002C7DE7"/>
    <w:rsid w:val="002C7E18"/>
    <w:rsid w:val="002C7EDE"/>
    <w:rsid w:val="002D02E9"/>
    <w:rsid w:val="002D03D9"/>
    <w:rsid w:val="002D054F"/>
    <w:rsid w:val="002D06D4"/>
    <w:rsid w:val="002D0709"/>
    <w:rsid w:val="002D0A85"/>
    <w:rsid w:val="002D0C76"/>
    <w:rsid w:val="002D0DDA"/>
    <w:rsid w:val="002D0F3B"/>
    <w:rsid w:val="002D0F6A"/>
    <w:rsid w:val="002D110E"/>
    <w:rsid w:val="002D1441"/>
    <w:rsid w:val="002D1B5A"/>
    <w:rsid w:val="002D1CBB"/>
    <w:rsid w:val="002D1F1F"/>
    <w:rsid w:val="002D2345"/>
    <w:rsid w:val="002D2607"/>
    <w:rsid w:val="002D2EFC"/>
    <w:rsid w:val="002D3277"/>
    <w:rsid w:val="002D35D1"/>
    <w:rsid w:val="002D3868"/>
    <w:rsid w:val="002D386E"/>
    <w:rsid w:val="002D393B"/>
    <w:rsid w:val="002D3A2B"/>
    <w:rsid w:val="002D3C12"/>
    <w:rsid w:val="002D3D57"/>
    <w:rsid w:val="002D3E89"/>
    <w:rsid w:val="002D4254"/>
    <w:rsid w:val="002D449E"/>
    <w:rsid w:val="002D45A2"/>
    <w:rsid w:val="002D4647"/>
    <w:rsid w:val="002D49E8"/>
    <w:rsid w:val="002D4B58"/>
    <w:rsid w:val="002D4C33"/>
    <w:rsid w:val="002D4CAA"/>
    <w:rsid w:val="002D4DDB"/>
    <w:rsid w:val="002D4F01"/>
    <w:rsid w:val="002D4FEA"/>
    <w:rsid w:val="002D5461"/>
    <w:rsid w:val="002D5826"/>
    <w:rsid w:val="002D5AD0"/>
    <w:rsid w:val="002D5AFF"/>
    <w:rsid w:val="002D5B88"/>
    <w:rsid w:val="002D5D01"/>
    <w:rsid w:val="002D6034"/>
    <w:rsid w:val="002D617C"/>
    <w:rsid w:val="002D64B9"/>
    <w:rsid w:val="002D653C"/>
    <w:rsid w:val="002D6685"/>
    <w:rsid w:val="002D6D47"/>
    <w:rsid w:val="002D6D66"/>
    <w:rsid w:val="002D6DCC"/>
    <w:rsid w:val="002D7209"/>
    <w:rsid w:val="002D7436"/>
    <w:rsid w:val="002D753E"/>
    <w:rsid w:val="002D79ED"/>
    <w:rsid w:val="002D7E6E"/>
    <w:rsid w:val="002E0250"/>
    <w:rsid w:val="002E0E95"/>
    <w:rsid w:val="002E18BF"/>
    <w:rsid w:val="002E19C1"/>
    <w:rsid w:val="002E1A7F"/>
    <w:rsid w:val="002E1C0C"/>
    <w:rsid w:val="002E1ED6"/>
    <w:rsid w:val="002E247B"/>
    <w:rsid w:val="002E2537"/>
    <w:rsid w:val="002E27C5"/>
    <w:rsid w:val="002E284E"/>
    <w:rsid w:val="002E28DE"/>
    <w:rsid w:val="002E2BC0"/>
    <w:rsid w:val="002E2C8C"/>
    <w:rsid w:val="002E3065"/>
    <w:rsid w:val="002E30C0"/>
    <w:rsid w:val="002E34EB"/>
    <w:rsid w:val="002E3638"/>
    <w:rsid w:val="002E4054"/>
    <w:rsid w:val="002E4AB8"/>
    <w:rsid w:val="002E4B21"/>
    <w:rsid w:val="002E4B28"/>
    <w:rsid w:val="002E4B2D"/>
    <w:rsid w:val="002E5056"/>
    <w:rsid w:val="002E5195"/>
    <w:rsid w:val="002E57F5"/>
    <w:rsid w:val="002E587B"/>
    <w:rsid w:val="002E6030"/>
    <w:rsid w:val="002E6187"/>
    <w:rsid w:val="002E6725"/>
    <w:rsid w:val="002E6807"/>
    <w:rsid w:val="002E6F0D"/>
    <w:rsid w:val="002E7186"/>
    <w:rsid w:val="002E7758"/>
    <w:rsid w:val="002E7766"/>
    <w:rsid w:val="002E78BB"/>
    <w:rsid w:val="002E78E4"/>
    <w:rsid w:val="002E7C89"/>
    <w:rsid w:val="002E7ED3"/>
    <w:rsid w:val="002E7EEC"/>
    <w:rsid w:val="002F0263"/>
    <w:rsid w:val="002F03B4"/>
    <w:rsid w:val="002F054A"/>
    <w:rsid w:val="002F069C"/>
    <w:rsid w:val="002F08AC"/>
    <w:rsid w:val="002F0B96"/>
    <w:rsid w:val="002F0D74"/>
    <w:rsid w:val="002F11B2"/>
    <w:rsid w:val="002F130B"/>
    <w:rsid w:val="002F14E1"/>
    <w:rsid w:val="002F196C"/>
    <w:rsid w:val="002F1D4F"/>
    <w:rsid w:val="002F1D9C"/>
    <w:rsid w:val="002F1F24"/>
    <w:rsid w:val="002F206A"/>
    <w:rsid w:val="002F2495"/>
    <w:rsid w:val="002F26BA"/>
    <w:rsid w:val="002F2764"/>
    <w:rsid w:val="002F282F"/>
    <w:rsid w:val="002F2907"/>
    <w:rsid w:val="002F2B90"/>
    <w:rsid w:val="002F2BE9"/>
    <w:rsid w:val="002F2C86"/>
    <w:rsid w:val="002F2D4D"/>
    <w:rsid w:val="002F2F7E"/>
    <w:rsid w:val="002F34CF"/>
    <w:rsid w:val="002F3751"/>
    <w:rsid w:val="002F3A7A"/>
    <w:rsid w:val="002F3B83"/>
    <w:rsid w:val="002F3C25"/>
    <w:rsid w:val="002F3CDD"/>
    <w:rsid w:val="002F3E3A"/>
    <w:rsid w:val="002F422E"/>
    <w:rsid w:val="002F4309"/>
    <w:rsid w:val="002F4787"/>
    <w:rsid w:val="002F4BC0"/>
    <w:rsid w:val="002F4D79"/>
    <w:rsid w:val="002F5059"/>
    <w:rsid w:val="002F5281"/>
    <w:rsid w:val="002F52E2"/>
    <w:rsid w:val="002F545D"/>
    <w:rsid w:val="002F5512"/>
    <w:rsid w:val="002F551A"/>
    <w:rsid w:val="002F5674"/>
    <w:rsid w:val="002F6114"/>
    <w:rsid w:val="002F6137"/>
    <w:rsid w:val="002F63A0"/>
    <w:rsid w:val="002F63F2"/>
    <w:rsid w:val="002F6DEE"/>
    <w:rsid w:val="002F6F01"/>
    <w:rsid w:val="002F791B"/>
    <w:rsid w:val="002F79C0"/>
    <w:rsid w:val="002F7CB4"/>
    <w:rsid w:val="00300529"/>
    <w:rsid w:val="003005A2"/>
    <w:rsid w:val="00300812"/>
    <w:rsid w:val="003008F9"/>
    <w:rsid w:val="00300CC2"/>
    <w:rsid w:val="00300DD8"/>
    <w:rsid w:val="00300EE4"/>
    <w:rsid w:val="003011C1"/>
    <w:rsid w:val="00301347"/>
    <w:rsid w:val="003015B9"/>
    <w:rsid w:val="003015EB"/>
    <w:rsid w:val="0030178E"/>
    <w:rsid w:val="003018E9"/>
    <w:rsid w:val="00301959"/>
    <w:rsid w:val="003019CB"/>
    <w:rsid w:val="00301A2E"/>
    <w:rsid w:val="00301E06"/>
    <w:rsid w:val="00301F24"/>
    <w:rsid w:val="0030201C"/>
    <w:rsid w:val="003020C9"/>
    <w:rsid w:val="00302549"/>
    <w:rsid w:val="00302571"/>
    <w:rsid w:val="00302574"/>
    <w:rsid w:val="00302707"/>
    <w:rsid w:val="003029D0"/>
    <w:rsid w:val="00303098"/>
    <w:rsid w:val="00303168"/>
    <w:rsid w:val="0030329D"/>
    <w:rsid w:val="00303455"/>
    <w:rsid w:val="0030388A"/>
    <w:rsid w:val="00303CAE"/>
    <w:rsid w:val="00303F55"/>
    <w:rsid w:val="003043B1"/>
    <w:rsid w:val="00304415"/>
    <w:rsid w:val="003045C7"/>
    <w:rsid w:val="00304995"/>
    <w:rsid w:val="00304BB7"/>
    <w:rsid w:val="00304C6A"/>
    <w:rsid w:val="00304C7F"/>
    <w:rsid w:val="00304DF4"/>
    <w:rsid w:val="003051E9"/>
    <w:rsid w:val="0030541B"/>
    <w:rsid w:val="003054A2"/>
    <w:rsid w:val="003055DA"/>
    <w:rsid w:val="00305C6F"/>
    <w:rsid w:val="00305E3E"/>
    <w:rsid w:val="00306252"/>
    <w:rsid w:val="00306873"/>
    <w:rsid w:val="00306EA7"/>
    <w:rsid w:val="003070D5"/>
    <w:rsid w:val="00307253"/>
    <w:rsid w:val="003072FA"/>
    <w:rsid w:val="00307990"/>
    <w:rsid w:val="00310035"/>
    <w:rsid w:val="00310119"/>
    <w:rsid w:val="003104E5"/>
    <w:rsid w:val="00310786"/>
    <w:rsid w:val="00310A20"/>
    <w:rsid w:val="00310BA4"/>
    <w:rsid w:val="00310F73"/>
    <w:rsid w:val="00311264"/>
    <w:rsid w:val="0031161F"/>
    <w:rsid w:val="00311A2F"/>
    <w:rsid w:val="00311B51"/>
    <w:rsid w:val="00311B71"/>
    <w:rsid w:val="0031255C"/>
    <w:rsid w:val="003126B0"/>
    <w:rsid w:val="0031291C"/>
    <w:rsid w:val="00312AD7"/>
    <w:rsid w:val="00312B63"/>
    <w:rsid w:val="00312F74"/>
    <w:rsid w:val="00313183"/>
    <w:rsid w:val="003133C8"/>
    <w:rsid w:val="00313566"/>
    <w:rsid w:val="0031366F"/>
    <w:rsid w:val="00313A82"/>
    <w:rsid w:val="00313B36"/>
    <w:rsid w:val="00313F11"/>
    <w:rsid w:val="00314550"/>
    <w:rsid w:val="00314704"/>
    <w:rsid w:val="00314717"/>
    <w:rsid w:val="00314932"/>
    <w:rsid w:val="00314AFB"/>
    <w:rsid w:val="00314D17"/>
    <w:rsid w:val="00314DA4"/>
    <w:rsid w:val="00314E26"/>
    <w:rsid w:val="00314F84"/>
    <w:rsid w:val="003150E9"/>
    <w:rsid w:val="00315456"/>
    <w:rsid w:val="003154FF"/>
    <w:rsid w:val="003157AA"/>
    <w:rsid w:val="003157F4"/>
    <w:rsid w:val="00315E55"/>
    <w:rsid w:val="00315EC3"/>
    <w:rsid w:val="00316009"/>
    <w:rsid w:val="00316736"/>
    <w:rsid w:val="003167B2"/>
    <w:rsid w:val="0031682C"/>
    <w:rsid w:val="0031691B"/>
    <w:rsid w:val="00316CE6"/>
    <w:rsid w:val="00316D16"/>
    <w:rsid w:val="00316E65"/>
    <w:rsid w:val="003170A0"/>
    <w:rsid w:val="003176E6"/>
    <w:rsid w:val="00317B7A"/>
    <w:rsid w:val="00317C10"/>
    <w:rsid w:val="00317EF4"/>
    <w:rsid w:val="003201BE"/>
    <w:rsid w:val="003202A4"/>
    <w:rsid w:val="00320465"/>
    <w:rsid w:val="003205C6"/>
    <w:rsid w:val="0032070F"/>
    <w:rsid w:val="00320769"/>
    <w:rsid w:val="00320929"/>
    <w:rsid w:val="003209FF"/>
    <w:rsid w:val="00320A9A"/>
    <w:rsid w:val="00320A9C"/>
    <w:rsid w:val="00320DFD"/>
    <w:rsid w:val="00320E4F"/>
    <w:rsid w:val="00320F05"/>
    <w:rsid w:val="00320F27"/>
    <w:rsid w:val="003210E4"/>
    <w:rsid w:val="003212BE"/>
    <w:rsid w:val="0032135D"/>
    <w:rsid w:val="003213FF"/>
    <w:rsid w:val="0032190E"/>
    <w:rsid w:val="00321C17"/>
    <w:rsid w:val="00321C7C"/>
    <w:rsid w:val="00321CA4"/>
    <w:rsid w:val="0032219E"/>
    <w:rsid w:val="0032223D"/>
    <w:rsid w:val="00322443"/>
    <w:rsid w:val="0032246F"/>
    <w:rsid w:val="00322730"/>
    <w:rsid w:val="003227BD"/>
    <w:rsid w:val="0032299E"/>
    <w:rsid w:val="00322CBA"/>
    <w:rsid w:val="00322E22"/>
    <w:rsid w:val="00322E89"/>
    <w:rsid w:val="00322EAC"/>
    <w:rsid w:val="00323609"/>
    <w:rsid w:val="00323D9A"/>
    <w:rsid w:val="0032426E"/>
    <w:rsid w:val="003244C7"/>
    <w:rsid w:val="0032471F"/>
    <w:rsid w:val="003247CB"/>
    <w:rsid w:val="003248AC"/>
    <w:rsid w:val="00324AD9"/>
    <w:rsid w:val="0032501E"/>
    <w:rsid w:val="0032593F"/>
    <w:rsid w:val="00325DB5"/>
    <w:rsid w:val="003262DA"/>
    <w:rsid w:val="00326336"/>
    <w:rsid w:val="003264A6"/>
    <w:rsid w:val="003264CB"/>
    <w:rsid w:val="003266BD"/>
    <w:rsid w:val="00326715"/>
    <w:rsid w:val="003269DD"/>
    <w:rsid w:val="00326C3D"/>
    <w:rsid w:val="00326DB3"/>
    <w:rsid w:val="00326E91"/>
    <w:rsid w:val="0032700D"/>
    <w:rsid w:val="0032766A"/>
    <w:rsid w:val="003276D9"/>
    <w:rsid w:val="00327A75"/>
    <w:rsid w:val="00327A84"/>
    <w:rsid w:val="00327AE7"/>
    <w:rsid w:val="00327C74"/>
    <w:rsid w:val="00327D37"/>
    <w:rsid w:val="0033085B"/>
    <w:rsid w:val="00330917"/>
    <w:rsid w:val="00330967"/>
    <w:rsid w:val="00331336"/>
    <w:rsid w:val="00331717"/>
    <w:rsid w:val="003317E6"/>
    <w:rsid w:val="00331D7E"/>
    <w:rsid w:val="00331E33"/>
    <w:rsid w:val="00331E4E"/>
    <w:rsid w:val="00331E62"/>
    <w:rsid w:val="00331EB4"/>
    <w:rsid w:val="00332005"/>
    <w:rsid w:val="00332210"/>
    <w:rsid w:val="0033247A"/>
    <w:rsid w:val="0033248C"/>
    <w:rsid w:val="0033283A"/>
    <w:rsid w:val="0033290A"/>
    <w:rsid w:val="00332C0F"/>
    <w:rsid w:val="00332E61"/>
    <w:rsid w:val="003332F2"/>
    <w:rsid w:val="003335C9"/>
    <w:rsid w:val="003337FF"/>
    <w:rsid w:val="0033384B"/>
    <w:rsid w:val="00334007"/>
    <w:rsid w:val="00334347"/>
    <w:rsid w:val="0033478E"/>
    <w:rsid w:val="0033493E"/>
    <w:rsid w:val="00334B2F"/>
    <w:rsid w:val="00334E23"/>
    <w:rsid w:val="00335181"/>
    <w:rsid w:val="003355E7"/>
    <w:rsid w:val="003356A5"/>
    <w:rsid w:val="00335B4C"/>
    <w:rsid w:val="00335BCD"/>
    <w:rsid w:val="00335CAA"/>
    <w:rsid w:val="00335CEA"/>
    <w:rsid w:val="00335DD1"/>
    <w:rsid w:val="00335E8E"/>
    <w:rsid w:val="003360E1"/>
    <w:rsid w:val="003363DE"/>
    <w:rsid w:val="003364CE"/>
    <w:rsid w:val="00336500"/>
    <w:rsid w:val="00336699"/>
    <w:rsid w:val="003366B7"/>
    <w:rsid w:val="00336938"/>
    <w:rsid w:val="00336A01"/>
    <w:rsid w:val="00336A45"/>
    <w:rsid w:val="00336E64"/>
    <w:rsid w:val="00336F45"/>
    <w:rsid w:val="00337549"/>
    <w:rsid w:val="00337807"/>
    <w:rsid w:val="003378A8"/>
    <w:rsid w:val="00337A08"/>
    <w:rsid w:val="00337A5E"/>
    <w:rsid w:val="00337CBD"/>
    <w:rsid w:val="00337DBD"/>
    <w:rsid w:val="00337FD4"/>
    <w:rsid w:val="0034009D"/>
    <w:rsid w:val="003401C2"/>
    <w:rsid w:val="00340233"/>
    <w:rsid w:val="003405DC"/>
    <w:rsid w:val="0034083B"/>
    <w:rsid w:val="00340CF3"/>
    <w:rsid w:val="00340FD8"/>
    <w:rsid w:val="00341081"/>
    <w:rsid w:val="00341604"/>
    <w:rsid w:val="00341788"/>
    <w:rsid w:val="00341819"/>
    <w:rsid w:val="00341DCA"/>
    <w:rsid w:val="00341F3F"/>
    <w:rsid w:val="00341FDF"/>
    <w:rsid w:val="003422AB"/>
    <w:rsid w:val="00342B75"/>
    <w:rsid w:val="00342D79"/>
    <w:rsid w:val="00342FC0"/>
    <w:rsid w:val="00342FD6"/>
    <w:rsid w:val="00343482"/>
    <w:rsid w:val="003437C9"/>
    <w:rsid w:val="00343C85"/>
    <w:rsid w:val="00343FCE"/>
    <w:rsid w:val="0034439E"/>
    <w:rsid w:val="0034446F"/>
    <w:rsid w:val="003446D2"/>
    <w:rsid w:val="00344965"/>
    <w:rsid w:val="003449E4"/>
    <w:rsid w:val="00344E86"/>
    <w:rsid w:val="00344F47"/>
    <w:rsid w:val="00344FC6"/>
    <w:rsid w:val="003450AF"/>
    <w:rsid w:val="00345599"/>
    <w:rsid w:val="003456C6"/>
    <w:rsid w:val="00345BA2"/>
    <w:rsid w:val="00345C79"/>
    <w:rsid w:val="00346070"/>
    <w:rsid w:val="003461A9"/>
    <w:rsid w:val="0034627B"/>
    <w:rsid w:val="00346542"/>
    <w:rsid w:val="00346A62"/>
    <w:rsid w:val="00346A99"/>
    <w:rsid w:val="00346AB0"/>
    <w:rsid w:val="0034701D"/>
    <w:rsid w:val="0034720F"/>
    <w:rsid w:val="0034728A"/>
    <w:rsid w:val="0034751E"/>
    <w:rsid w:val="003475B6"/>
    <w:rsid w:val="00347907"/>
    <w:rsid w:val="0034791D"/>
    <w:rsid w:val="00347CD7"/>
    <w:rsid w:val="00347D4C"/>
    <w:rsid w:val="00350210"/>
    <w:rsid w:val="003503EA"/>
    <w:rsid w:val="003506E7"/>
    <w:rsid w:val="00350C16"/>
    <w:rsid w:val="00350C58"/>
    <w:rsid w:val="00350D6B"/>
    <w:rsid w:val="00350E48"/>
    <w:rsid w:val="00351024"/>
    <w:rsid w:val="003513B7"/>
    <w:rsid w:val="00351891"/>
    <w:rsid w:val="00351A19"/>
    <w:rsid w:val="00351A88"/>
    <w:rsid w:val="00351A9B"/>
    <w:rsid w:val="00351CA5"/>
    <w:rsid w:val="003524A5"/>
    <w:rsid w:val="003524F6"/>
    <w:rsid w:val="00352550"/>
    <w:rsid w:val="00352D43"/>
    <w:rsid w:val="00353162"/>
    <w:rsid w:val="0035382F"/>
    <w:rsid w:val="0035385F"/>
    <w:rsid w:val="0035391F"/>
    <w:rsid w:val="00353AA5"/>
    <w:rsid w:val="00353ADE"/>
    <w:rsid w:val="00353D19"/>
    <w:rsid w:val="00353D28"/>
    <w:rsid w:val="00353E8E"/>
    <w:rsid w:val="00353EA6"/>
    <w:rsid w:val="00353F87"/>
    <w:rsid w:val="003544C3"/>
    <w:rsid w:val="00354A2F"/>
    <w:rsid w:val="00354AA1"/>
    <w:rsid w:val="003550C7"/>
    <w:rsid w:val="00355636"/>
    <w:rsid w:val="00355BF4"/>
    <w:rsid w:val="00355C6B"/>
    <w:rsid w:val="00355EF4"/>
    <w:rsid w:val="00355F62"/>
    <w:rsid w:val="0035604E"/>
    <w:rsid w:val="00356203"/>
    <w:rsid w:val="0035659C"/>
    <w:rsid w:val="00356D95"/>
    <w:rsid w:val="00356DC5"/>
    <w:rsid w:val="003571BA"/>
    <w:rsid w:val="00357294"/>
    <w:rsid w:val="00357316"/>
    <w:rsid w:val="003573B4"/>
    <w:rsid w:val="003574F3"/>
    <w:rsid w:val="00357715"/>
    <w:rsid w:val="00357AAA"/>
    <w:rsid w:val="00357FD4"/>
    <w:rsid w:val="003604A8"/>
    <w:rsid w:val="0036059E"/>
    <w:rsid w:val="003607D8"/>
    <w:rsid w:val="00360C46"/>
    <w:rsid w:val="00360D8D"/>
    <w:rsid w:val="00361101"/>
    <w:rsid w:val="00361202"/>
    <w:rsid w:val="00361324"/>
    <w:rsid w:val="003613D8"/>
    <w:rsid w:val="0036187E"/>
    <w:rsid w:val="00361A3E"/>
    <w:rsid w:val="00361E90"/>
    <w:rsid w:val="00362121"/>
    <w:rsid w:val="0036251E"/>
    <w:rsid w:val="00362728"/>
    <w:rsid w:val="003627E3"/>
    <w:rsid w:val="00362A81"/>
    <w:rsid w:val="00362CAD"/>
    <w:rsid w:val="00362EAD"/>
    <w:rsid w:val="00363137"/>
    <w:rsid w:val="003634B6"/>
    <w:rsid w:val="0036355D"/>
    <w:rsid w:val="003636D9"/>
    <w:rsid w:val="00363C83"/>
    <w:rsid w:val="00363D23"/>
    <w:rsid w:val="0036400B"/>
    <w:rsid w:val="0036441D"/>
    <w:rsid w:val="003644E3"/>
    <w:rsid w:val="003644F1"/>
    <w:rsid w:val="00364508"/>
    <w:rsid w:val="00364802"/>
    <w:rsid w:val="00364FBD"/>
    <w:rsid w:val="003650C2"/>
    <w:rsid w:val="00365183"/>
    <w:rsid w:val="00365215"/>
    <w:rsid w:val="00365358"/>
    <w:rsid w:val="00365613"/>
    <w:rsid w:val="00365C55"/>
    <w:rsid w:val="00366479"/>
    <w:rsid w:val="00366602"/>
    <w:rsid w:val="0036684D"/>
    <w:rsid w:val="00367128"/>
    <w:rsid w:val="0036720A"/>
    <w:rsid w:val="00367317"/>
    <w:rsid w:val="0036754D"/>
    <w:rsid w:val="00367E74"/>
    <w:rsid w:val="00367F02"/>
    <w:rsid w:val="00370219"/>
    <w:rsid w:val="00370750"/>
    <w:rsid w:val="003707CE"/>
    <w:rsid w:val="00370867"/>
    <w:rsid w:val="0037110A"/>
    <w:rsid w:val="0037150F"/>
    <w:rsid w:val="0037194D"/>
    <w:rsid w:val="003719F5"/>
    <w:rsid w:val="0037259E"/>
    <w:rsid w:val="003727AF"/>
    <w:rsid w:val="003727E6"/>
    <w:rsid w:val="00372A20"/>
    <w:rsid w:val="00372E8B"/>
    <w:rsid w:val="00372EEB"/>
    <w:rsid w:val="00372F6E"/>
    <w:rsid w:val="0037300D"/>
    <w:rsid w:val="00373053"/>
    <w:rsid w:val="00373528"/>
    <w:rsid w:val="0037397E"/>
    <w:rsid w:val="00374320"/>
    <w:rsid w:val="0037454F"/>
    <w:rsid w:val="00374C67"/>
    <w:rsid w:val="00374DA7"/>
    <w:rsid w:val="00374E9B"/>
    <w:rsid w:val="00374F18"/>
    <w:rsid w:val="00375362"/>
    <w:rsid w:val="003753CE"/>
    <w:rsid w:val="00375872"/>
    <w:rsid w:val="00375A55"/>
    <w:rsid w:val="00375D43"/>
    <w:rsid w:val="00375F65"/>
    <w:rsid w:val="00376015"/>
    <w:rsid w:val="00376037"/>
    <w:rsid w:val="0037645E"/>
    <w:rsid w:val="003769FC"/>
    <w:rsid w:val="00376C03"/>
    <w:rsid w:val="00376C11"/>
    <w:rsid w:val="00376CC6"/>
    <w:rsid w:val="00376DF3"/>
    <w:rsid w:val="00376DF7"/>
    <w:rsid w:val="0037717E"/>
    <w:rsid w:val="003772C2"/>
    <w:rsid w:val="00377534"/>
    <w:rsid w:val="0037770E"/>
    <w:rsid w:val="00377A2C"/>
    <w:rsid w:val="00377A9C"/>
    <w:rsid w:val="00377B2B"/>
    <w:rsid w:val="00377D7E"/>
    <w:rsid w:val="00380A34"/>
    <w:rsid w:val="00380F6C"/>
    <w:rsid w:val="00381360"/>
    <w:rsid w:val="00381A24"/>
    <w:rsid w:val="00382260"/>
    <w:rsid w:val="00382280"/>
    <w:rsid w:val="0038255F"/>
    <w:rsid w:val="0038268A"/>
    <w:rsid w:val="0038274F"/>
    <w:rsid w:val="00382791"/>
    <w:rsid w:val="00382A1E"/>
    <w:rsid w:val="00382A4B"/>
    <w:rsid w:val="00382D42"/>
    <w:rsid w:val="00382F5A"/>
    <w:rsid w:val="00383359"/>
    <w:rsid w:val="003834B6"/>
    <w:rsid w:val="003836FB"/>
    <w:rsid w:val="00383A8A"/>
    <w:rsid w:val="00383BBE"/>
    <w:rsid w:val="00383F17"/>
    <w:rsid w:val="0038400F"/>
    <w:rsid w:val="003842BE"/>
    <w:rsid w:val="00384431"/>
    <w:rsid w:val="003844F5"/>
    <w:rsid w:val="00384976"/>
    <w:rsid w:val="00384EA4"/>
    <w:rsid w:val="00385222"/>
    <w:rsid w:val="00385394"/>
    <w:rsid w:val="0038560F"/>
    <w:rsid w:val="00385EB0"/>
    <w:rsid w:val="0038627A"/>
    <w:rsid w:val="003862BE"/>
    <w:rsid w:val="00386493"/>
    <w:rsid w:val="00386FF4"/>
    <w:rsid w:val="0038703C"/>
    <w:rsid w:val="00387091"/>
    <w:rsid w:val="00387461"/>
    <w:rsid w:val="0038757A"/>
    <w:rsid w:val="0038758F"/>
    <w:rsid w:val="00387894"/>
    <w:rsid w:val="00387A54"/>
    <w:rsid w:val="00387F49"/>
    <w:rsid w:val="00390397"/>
    <w:rsid w:val="003904A9"/>
    <w:rsid w:val="00390768"/>
    <w:rsid w:val="00390AA5"/>
    <w:rsid w:val="00390B7B"/>
    <w:rsid w:val="00390B80"/>
    <w:rsid w:val="00390E1C"/>
    <w:rsid w:val="00390EA5"/>
    <w:rsid w:val="00390F39"/>
    <w:rsid w:val="00391074"/>
    <w:rsid w:val="00391615"/>
    <w:rsid w:val="00391C16"/>
    <w:rsid w:val="00391E39"/>
    <w:rsid w:val="00391EA3"/>
    <w:rsid w:val="00391FB0"/>
    <w:rsid w:val="003926C2"/>
    <w:rsid w:val="00392B41"/>
    <w:rsid w:val="00392C69"/>
    <w:rsid w:val="00392E61"/>
    <w:rsid w:val="00392F5A"/>
    <w:rsid w:val="00392FC1"/>
    <w:rsid w:val="00393966"/>
    <w:rsid w:val="0039415B"/>
    <w:rsid w:val="003942F8"/>
    <w:rsid w:val="00394329"/>
    <w:rsid w:val="003943B3"/>
    <w:rsid w:val="00395319"/>
    <w:rsid w:val="003957A5"/>
    <w:rsid w:val="00395AAE"/>
    <w:rsid w:val="00396022"/>
    <w:rsid w:val="0039630E"/>
    <w:rsid w:val="00396741"/>
    <w:rsid w:val="0039688B"/>
    <w:rsid w:val="003968D4"/>
    <w:rsid w:val="00396BFC"/>
    <w:rsid w:val="00396DEE"/>
    <w:rsid w:val="00396F8D"/>
    <w:rsid w:val="003971FD"/>
    <w:rsid w:val="00397986"/>
    <w:rsid w:val="00397A7E"/>
    <w:rsid w:val="00397B6E"/>
    <w:rsid w:val="00397BA2"/>
    <w:rsid w:val="00397C10"/>
    <w:rsid w:val="00397D97"/>
    <w:rsid w:val="00397E49"/>
    <w:rsid w:val="00397EEA"/>
    <w:rsid w:val="003A04DE"/>
    <w:rsid w:val="003A08B0"/>
    <w:rsid w:val="003A090F"/>
    <w:rsid w:val="003A0C0E"/>
    <w:rsid w:val="003A0F7B"/>
    <w:rsid w:val="003A126D"/>
    <w:rsid w:val="003A136F"/>
    <w:rsid w:val="003A1E5C"/>
    <w:rsid w:val="003A1F6D"/>
    <w:rsid w:val="003A24BD"/>
    <w:rsid w:val="003A24E1"/>
    <w:rsid w:val="003A272A"/>
    <w:rsid w:val="003A2A12"/>
    <w:rsid w:val="003A2AD4"/>
    <w:rsid w:val="003A2F7C"/>
    <w:rsid w:val="003A313B"/>
    <w:rsid w:val="003A3638"/>
    <w:rsid w:val="003A364D"/>
    <w:rsid w:val="003A38D7"/>
    <w:rsid w:val="003A3969"/>
    <w:rsid w:val="003A4361"/>
    <w:rsid w:val="003A4387"/>
    <w:rsid w:val="003A4586"/>
    <w:rsid w:val="003A4609"/>
    <w:rsid w:val="003A483F"/>
    <w:rsid w:val="003A4D26"/>
    <w:rsid w:val="003A4E86"/>
    <w:rsid w:val="003A502C"/>
    <w:rsid w:val="003A56CA"/>
    <w:rsid w:val="003A5822"/>
    <w:rsid w:val="003A5B47"/>
    <w:rsid w:val="003A5ED4"/>
    <w:rsid w:val="003A609C"/>
    <w:rsid w:val="003A628F"/>
    <w:rsid w:val="003A6383"/>
    <w:rsid w:val="003A6408"/>
    <w:rsid w:val="003A66D7"/>
    <w:rsid w:val="003A68D0"/>
    <w:rsid w:val="003A6B60"/>
    <w:rsid w:val="003A6DEC"/>
    <w:rsid w:val="003A6FEC"/>
    <w:rsid w:val="003A70DB"/>
    <w:rsid w:val="003A71EF"/>
    <w:rsid w:val="003A7477"/>
    <w:rsid w:val="003A77FD"/>
    <w:rsid w:val="003A7D98"/>
    <w:rsid w:val="003A7E0C"/>
    <w:rsid w:val="003B018A"/>
    <w:rsid w:val="003B060F"/>
    <w:rsid w:val="003B096B"/>
    <w:rsid w:val="003B0C1B"/>
    <w:rsid w:val="003B0D46"/>
    <w:rsid w:val="003B0DAC"/>
    <w:rsid w:val="003B1177"/>
    <w:rsid w:val="003B2549"/>
    <w:rsid w:val="003B2582"/>
    <w:rsid w:val="003B284E"/>
    <w:rsid w:val="003B28A2"/>
    <w:rsid w:val="003B291D"/>
    <w:rsid w:val="003B3291"/>
    <w:rsid w:val="003B3579"/>
    <w:rsid w:val="003B38E0"/>
    <w:rsid w:val="003B3DF2"/>
    <w:rsid w:val="003B3E64"/>
    <w:rsid w:val="003B3E7C"/>
    <w:rsid w:val="003B430D"/>
    <w:rsid w:val="003B4689"/>
    <w:rsid w:val="003B4784"/>
    <w:rsid w:val="003B4797"/>
    <w:rsid w:val="003B4E1E"/>
    <w:rsid w:val="003B50DB"/>
    <w:rsid w:val="003B518C"/>
    <w:rsid w:val="003B534C"/>
    <w:rsid w:val="003B53EB"/>
    <w:rsid w:val="003B63A9"/>
    <w:rsid w:val="003B63B7"/>
    <w:rsid w:val="003B6479"/>
    <w:rsid w:val="003B6B8E"/>
    <w:rsid w:val="003B6E73"/>
    <w:rsid w:val="003B70D6"/>
    <w:rsid w:val="003B746D"/>
    <w:rsid w:val="003B7A1D"/>
    <w:rsid w:val="003B7AC1"/>
    <w:rsid w:val="003B7BD8"/>
    <w:rsid w:val="003B7EAF"/>
    <w:rsid w:val="003B7F0A"/>
    <w:rsid w:val="003C02B4"/>
    <w:rsid w:val="003C04DC"/>
    <w:rsid w:val="003C0553"/>
    <w:rsid w:val="003C1186"/>
    <w:rsid w:val="003C11DC"/>
    <w:rsid w:val="003C12A0"/>
    <w:rsid w:val="003C12F5"/>
    <w:rsid w:val="003C198F"/>
    <w:rsid w:val="003C1D2F"/>
    <w:rsid w:val="003C20BC"/>
    <w:rsid w:val="003C216D"/>
    <w:rsid w:val="003C240E"/>
    <w:rsid w:val="003C24D6"/>
    <w:rsid w:val="003C2649"/>
    <w:rsid w:val="003C2696"/>
    <w:rsid w:val="003C27AE"/>
    <w:rsid w:val="003C2D4F"/>
    <w:rsid w:val="003C2E3C"/>
    <w:rsid w:val="003C2E97"/>
    <w:rsid w:val="003C3289"/>
    <w:rsid w:val="003C3311"/>
    <w:rsid w:val="003C3329"/>
    <w:rsid w:val="003C3565"/>
    <w:rsid w:val="003C36B6"/>
    <w:rsid w:val="003C4010"/>
    <w:rsid w:val="003C4030"/>
    <w:rsid w:val="003C4794"/>
    <w:rsid w:val="003C4980"/>
    <w:rsid w:val="003C4A25"/>
    <w:rsid w:val="003C51A4"/>
    <w:rsid w:val="003C51F4"/>
    <w:rsid w:val="003C5230"/>
    <w:rsid w:val="003C551A"/>
    <w:rsid w:val="003C5585"/>
    <w:rsid w:val="003C5A68"/>
    <w:rsid w:val="003C5BAA"/>
    <w:rsid w:val="003C5FD1"/>
    <w:rsid w:val="003C5FD9"/>
    <w:rsid w:val="003C6254"/>
    <w:rsid w:val="003C63D0"/>
    <w:rsid w:val="003C6726"/>
    <w:rsid w:val="003C6CD2"/>
    <w:rsid w:val="003C6D27"/>
    <w:rsid w:val="003C7378"/>
    <w:rsid w:val="003C7392"/>
    <w:rsid w:val="003C7797"/>
    <w:rsid w:val="003C7BC8"/>
    <w:rsid w:val="003C7BE2"/>
    <w:rsid w:val="003D00A1"/>
    <w:rsid w:val="003D00A3"/>
    <w:rsid w:val="003D0281"/>
    <w:rsid w:val="003D037A"/>
    <w:rsid w:val="003D0417"/>
    <w:rsid w:val="003D07C9"/>
    <w:rsid w:val="003D0B0E"/>
    <w:rsid w:val="003D0B6A"/>
    <w:rsid w:val="003D0CA7"/>
    <w:rsid w:val="003D0E0E"/>
    <w:rsid w:val="003D0E2B"/>
    <w:rsid w:val="003D10D7"/>
    <w:rsid w:val="003D1368"/>
    <w:rsid w:val="003D14AF"/>
    <w:rsid w:val="003D1628"/>
    <w:rsid w:val="003D1915"/>
    <w:rsid w:val="003D1C28"/>
    <w:rsid w:val="003D1F46"/>
    <w:rsid w:val="003D211F"/>
    <w:rsid w:val="003D2158"/>
    <w:rsid w:val="003D2357"/>
    <w:rsid w:val="003D248A"/>
    <w:rsid w:val="003D2659"/>
    <w:rsid w:val="003D284E"/>
    <w:rsid w:val="003D294F"/>
    <w:rsid w:val="003D2A90"/>
    <w:rsid w:val="003D2B18"/>
    <w:rsid w:val="003D2EC1"/>
    <w:rsid w:val="003D2F95"/>
    <w:rsid w:val="003D31B9"/>
    <w:rsid w:val="003D3206"/>
    <w:rsid w:val="003D326E"/>
    <w:rsid w:val="003D3350"/>
    <w:rsid w:val="003D33ED"/>
    <w:rsid w:val="003D39AE"/>
    <w:rsid w:val="003D3D4B"/>
    <w:rsid w:val="003D3DD9"/>
    <w:rsid w:val="003D40CC"/>
    <w:rsid w:val="003D48CF"/>
    <w:rsid w:val="003D49E8"/>
    <w:rsid w:val="003D4C2C"/>
    <w:rsid w:val="003D4D40"/>
    <w:rsid w:val="003D4EFE"/>
    <w:rsid w:val="003D5033"/>
    <w:rsid w:val="003D50BA"/>
    <w:rsid w:val="003D5244"/>
    <w:rsid w:val="003D5318"/>
    <w:rsid w:val="003D557C"/>
    <w:rsid w:val="003D5B8C"/>
    <w:rsid w:val="003D5C68"/>
    <w:rsid w:val="003D5E01"/>
    <w:rsid w:val="003D658D"/>
    <w:rsid w:val="003D6772"/>
    <w:rsid w:val="003D693B"/>
    <w:rsid w:val="003D6B26"/>
    <w:rsid w:val="003D6E4A"/>
    <w:rsid w:val="003D7853"/>
    <w:rsid w:val="003D7ABB"/>
    <w:rsid w:val="003D7F37"/>
    <w:rsid w:val="003E0108"/>
    <w:rsid w:val="003E01F6"/>
    <w:rsid w:val="003E0596"/>
    <w:rsid w:val="003E084D"/>
    <w:rsid w:val="003E0AFB"/>
    <w:rsid w:val="003E0BE0"/>
    <w:rsid w:val="003E0CB1"/>
    <w:rsid w:val="003E0D59"/>
    <w:rsid w:val="003E0DEB"/>
    <w:rsid w:val="003E0E26"/>
    <w:rsid w:val="003E0E75"/>
    <w:rsid w:val="003E1192"/>
    <w:rsid w:val="003E15BA"/>
    <w:rsid w:val="003E16A9"/>
    <w:rsid w:val="003E177E"/>
    <w:rsid w:val="003E182C"/>
    <w:rsid w:val="003E1CD7"/>
    <w:rsid w:val="003E217E"/>
    <w:rsid w:val="003E240C"/>
    <w:rsid w:val="003E25BF"/>
    <w:rsid w:val="003E270D"/>
    <w:rsid w:val="003E35B2"/>
    <w:rsid w:val="003E3729"/>
    <w:rsid w:val="003E3B9C"/>
    <w:rsid w:val="003E3D4A"/>
    <w:rsid w:val="003E3F12"/>
    <w:rsid w:val="003E3F1A"/>
    <w:rsid w:val="003E400F"/>
    <w:rsid w:val="003E4157"/>
    <w:rsid w:val="003E446E"/>
    <w:rsid w:val="003E4887"/>
    <w:rsid w:val="003E50F6"/>
    <w:rsid w:val="003E5175"/>
    <w:rsid w:val="003E52E2"/>
    <w:rsid w:val="003E5689"/>
    <w:rsid w:val="003E570E"/>
    <w:rsid w:val="003E580A"/>
    <w:rsid w:val="003E596D"/>
    <w:rsid w:val="003E5B28"/>
    <w:rsid w:val="003E5D04"/>
    <w:rsid w:val="003E5DDF"/>
    <w:rsid w:val="003E5E22"/>
    <w:rsid w:val="003E5F91"/>
    <w:rsid w:val="003E62AF"/>
    <w:rsid w:val="003E651C"/>
    <w:rsid w:val="003E6524"/>
    <w:rsid w:val="003E6C5B"/>
    <w:rsid w:val="003E6E26"/>
    <w:rsid w:val="003E6F5F"/>
    <w:rsid w:val="003E7735"/>
    <w:rsid w:val="003E7944"/>
    <w:rsid w:val="003E79A9"/>
    <w:rsid w:val="003E79F4"/>
    <w:rsid w:val="003E7A14"/>
    <w:rsid w:val="003E7BC8"/>
    <w:rsid w:val="003E7DA2"/>
    <w:rsid w:val="003F029C"/>
    <w:rsid w:val="003F0499"/>
    <w:rsid w:val="003F05CA"/>
    <w:rsid w:val="003F0CBA"/>
    <w:rsid w:val="003F0D8E"/>
    <w:rsid w:val="003F0E21"/>
    <w:rsid w:val="003F1072"/>
    <w:rsid w:val="003F1489"/>
    <w:rsid w:val="003F14DF"/>
    <w:rsid w:val="003F1707"/>
    <w:rsid w:val="003F183D"/>
    <w:rsid w:val="003F1961"/>
    <w:rsid w:val="003F1B60"/>
    <w:rsid w:val="003F1D8A"/>
    <w:rsid w:val="003F20F1"/>
    <w:rsid w:val="003F20F9"/>
    <w:rsid w:val="003F21C2"/>
    <w:rsid w:val="003F2604"/>
    <w:rsid w:val="003F2C44"/>
    <w:rsid w:val="003F2D16"/>
    <w:rsid w:val="003F2F40"/>
    <w:rsid w:val="003F30E8"/>
    <w:rsid w:val="003F3137"/>
    <w:rsid w:val="003F3142"/>
    <w:rsid w:val="003F329B"/>
    <w:rsid w:val="003F365B"/>
    <w:rsid w:val="003F3ABA"/>
    <w:rsid w:val="003F3B53"/>
    <w:rsid w:val="003F3C27"/>
    <w:rsid w:val="003F3C4C"/>
    <w:rsid w:val="003F3F13"/>
    <w:rsid w:val="003F4324"/>
    <w:rsid w:val="003F4768"/>
    <w:rsid w:val="003F4BAD"/>
    <w:rsid w:val="003F4BDA"/>
    <w:rsid w:val="003F4BDC"/>
    <w:rsid w:val="003F4E42"/>
    <w:rsid w:val="003F4F11"/>
    <w:rsid w:val="003F5302"/>
    <w:rsid w:val="003F543A"/>
    <w:rsid w:val="003F5C29"/>
    <w:rsid w:val="003F5EA4"/>
    <w:rsid w:val="003F5F07"/>
    <w:rsid w:val="003F601D"/>
    <w:rsid w:val="003F63FD"/>
    <w:rsid w:val="003F6E49"/>
    <w:rsid w:val="003F6E8E"/>
    <w:rsid w:val="003F6EF3"/>
    <w:rsid w:val="003F6FA2"/>
    <w:rsid w:val="003F721C"/>
    <w:rsid w:val="003F72DE"/>
    <w:rsid w:val="003F74A9"/>
    <w:rsid w:val="003F75F0"/>
    <w:rsid w:val="003F76BD"/>
    <w:rsid w:val="003F7BD7"/>
    <w:rsid w:val="003F7C89"/>
    <w:rsid w:val="00400015"/>
    <w:rsid w:val="004002E8"/>
    <w:rsid w:val="00400621"/>
    <w:rsid w:val="00400810"/>
    <w:rsid w:val="00400A33"/>
    <w:rsid w:val="00400EC0"/>
    <w:rsid w:val="00400F1F"/>
    <w:rsid w:val="00400F48"/>
    <w:rsid w:val="0040142E"/>
    <w:rsid w:val="004019B9"/>
    <w:rsid w:val="00401A92"/>
    <w:rsid w:val="00401C97"/>
    <w:rsid w:val="00401CA6"/>
    <w:rsid w:val="00401E9D"/>
    <w:rsid w:val="0040287E"/>
    <w:rsid w:val="00402D14"/>
    <w:rsid w:val="0040353D"/>
    <w:rsid w:val="00403649"/>
    <w:rsid w:val="00403769"/>
    <w:rsid w:val="004037E5"/>
    <w:rsid w:val="004039B3"/>
    <w:rsid w:val="00403AAD"/>
    <w:rsid w:val="00403AE6"/>
    <w:rsid w:val="00403B00"/>
    <w:rsid w:val="00403B72"/>
    <w:rsid w:val="00403D7F"/>
    <w:rsid w:val="00403F88"/>
    <w:rsid w:val="00403FB1"/>
    <w:rsid w:val="004041DD"/>
    <w:rsid w:val="00404277"/>
    <w:rsid w:val="00404477"/>
    <w:rsid w:val="0040491B"/>
    <w:rsid w:val="00404B62"/>
    <w:rsid w:val="00404C6D"/>
    <w:rsid w:val="00404C98"/>
    <w:rsid w:val="0040518E"/>
    <w:rsid w:val="00405512"/>
    <w:rsid w:val="00405B28"/>
    <w:rsid w:val="004060C5"/>
    <w:rsid w:val="004065ED"/>
    <w:rsid w:val="0040667F"/>
    <w:rsid w:val="00406CA8"/>
    <w:rsid w:val="004072F6"/>
    <w:rsid w:val="00407AE7"/>
    <w:rsid w:val="00407DC7"/>
    <w:rsid w:val="00407E98"/>
    <w:rsid w:val="004103D0"/>
    <w:rsid w:val="0041067E"/>
    <w:rsid w:val="004107A7"/>
    <w:rsid w:val="004108D3"/>
    <w:rsid w:val="0041099A"/>
    <w:rsid w:val="00410D15"/>
    <w:rsid w:val="00410F18"/>
    <w:rsid w:val="004111D1"/>
    <w:rsid w:val="00411712"/>
    <w:rsid w:val="00411776"/>
    <w:rsid w:val="004117DE"/>
    <w:rsid w:val="0041185A"/>
    <w:rsid w:val="00411AA9"/>
    <w:rsid w:val="00411AB6"/>
    <w:rsid w:val="00411B81"/>
    <w:rsid w:val="00411C78"/>
    <w:rsid w:val="00411F12"/>
    <w:rsid w:val="00411F4F"/>
    <w:rsid w:val="004123B5"/>
    <w:rsid w:val="00412438"/>
    <w:rsid w:val="0041244D"/>
    <w:rsid w:val="004127C0"/>
    <w:rsid w:val="00412BAF"/>
    <w:rsid w:val="00412C5A"/>
    <w:rsid w:val="00412F22"/>
    <w:rsid w:val="00412F62"/>
    <w:rsid w:val="00413068"/>
    <w:rsid w:val="00413072"/>
    <w:rsid w:val="00413074"/>
    <w:rsid w:val="004130EE"/>
    <w:rsid w:val="00413307"/>
    <w:rsid w:val="00413720"/>
    <w:rsid w:val="004139E7"/>
    <w:rsid w:val="00413A10"/>
    <w:rsid w:val="00413C58"/>
    <w:rsid w:val="00413D9F"/>
    <w:rsid w:val="00413FDC"/>
    <w:rsid w:val="004140DE"/>
    <w:rsid w:val="004142B3"/>
    <w:rsid w:val="0041460A"/>
    <w:rsid w:val="00414758"/>
    <w:rsid w:val="00414E6B"/>
    <w:rsid w:val="004150AA"/>
    <w:rsid w:val="004156A2"/>
    <w:rsid w:val="00415D72"/>
    <w:rsid w:val="00415F11"/>
    <w:rsid w:val="00415F8A"/>
    <w:rsid w:val="00416391"/>
    <w:rsid w:val="004167D6"/>
    <w:rsid w:val="0041683B"/>
    <w:rsid w:val="0041692C"/>
    <w:rsid w:val="00417409"/>
    <w:rsid w:val="0041758A"/>
    <w:rsid w:val="00417AE8"/>
    <w:rsid w:val="00417CB4"/>
    <w:rsid w:val="00417ED3"/>
    <w:rsid w:val="004203F7"/>
    <w:rsid w:val="00420E5E"/>
    <w:rsid w:val="00420E8E"/>
    <w:rsid w:val="0042109B"/>
    <w:rsid w:val="004214F6"/>
    <w:rsid w:val="00421532"/>
    <w:rsid w:val="00421ACC"/>
    <w:rsid w:val="00421D32"/>
    <w:rsid w:val="00422012"/>
    <w:rsid w:val="00422065"/>
    <w:rsid w:val="004228B1"/>
    <w:rsid w:val="00422AB3"/>
    <w:rsid w:val="00422C6D"/>
    <w:rsid w:val="004231B9"/>
    <w:rsid w:val="0042320E"/>
    <w:rsid w:val="00423250"/>
    <w:rsid w:val="0042329D"/>
    <w:rsid w:val="0042331B"/>
    <w:rsid w:val="0042351E"/>
    <w:rsid w:val="0042360D"/>
    <w:rsid w:val="0042379E"/>
    <w:rsid w:val="004237CC"/>
    <w:rsid w:val="00423E8D"/>
    <w:rsid w:val="0042455D"/>
    <w:rsid w:val="0042493F"/>
    <w:rsid w:val="00425365"/>
    <w:rsid w:val="004255CF"/>
    <w:rsid w:val="00425799"/>
    <w:rsid w:val="00425A87"/>
    <w:rsid w:val="00425AA5"/>
    <w:rsid w:val="00425DD2"/>
    <w:rsid w:val="00426035"/>
    <w:rsid w:val="00426109"/>
    <w:rsid w:val="004265C2"/>
    <w:rsid w:val="00426827"/>
    <w:rsid w:val="0042697E"/>
    <w:rsid w:val="00426B43"/>
    <w:rsid w:val="00426E07"/>
    <w:rsid w:val="004271C1"/>
    <w:rsid w:val="0042731A"/>
    <w:rsid w:val="00427518"/>
    <w:rsid w:val="00427752"/>
    <w:rsid w:val="00427E21"/>
    <w:rsid w:val="00427E73"/>
    <w:rsid w:val="0043010C"/>
    <w:rsid w:val="0043038E"/>
    <w:rsid w:val="004303D1"/>
    <w:rsid w:val="00430648"/>
    <w:rsid w:val="00430678"/>
    <w:rsid w:val="00430BB2"/>
    <w:rsid w:val="00430BD5"/>
    <w:rsid w:val="00430C31"/>
    <w:rsid w:val="00430CF1"/>
    <w:rsid w:val="00430FC7"/>
    <w:rsid w:val="00431019"/>
    <w:rsid w:val="00431582"/>
    <w:rsid w:val="00431677"/>
    <w:rsid w:val="00431827"/>
    <w:rsid w:val="00431863"/>
    <w:rsid w:val="0043186A"/>
    <w:rsid w:val="0043269D"/>
    <w:rsid w:val="004326A8"/>
    <w:rsid w:val="00432A1B"/>
    <w:rsid w:val="00432B29"/>
    <w:rsid w:val="00432E04"/>
    <w:rsid w:val="004331C5"/>
    <w:rsid w:val="004332DD"/>
    <w:rsid w:val="00433A00"/>
    <w:rsid w:val="00433C8B"/>
    <w:rsid w:val="00433E90"/>
    <w:rsid w:val="00433ED6"/>
    <w:rsid w:val="00433F82"/>
    <w:rsid w:val="0043473B"/>
    <w:rsid w:val="0043515C"/>
    <w:rsid w:val="0043526E"/>
    <w:rsid w:val="00435404"/>
    <w:rsid w:val="00435810"/>
    <w:rsid w:val="00435890"/>
    <w:rsid w:val="004358F3"/>
    <w:rsid w:val="00435B2B"/>
    <w:rsid w:val="00435CF7"/>
    <w:rsid w:val="00435D56"/>
    <w:rsid w:val="004362FC"/>
    <w:rsid w:val="0043646D"/>
    <w:rsid w:val="00436482"/>
    <w:rsid w:val="004365B5"/>
    <w:rsid w:val="00436CF5"/>
    <w:rsid w:val="004371F8"/>
    <w:rsid w:val="0043732E"/>
    <w:rsid w:val="00437822"/>
    <w:rsid w:val="0044016A"/>
    <w:rsid w:val="00440192"/>
    <w:rsid w:val="0044026D"/>
    <w:rsid w:val="004402E9"/>
    <w:rsid w:val="004403F4"/>
    <w:rsid w:val="004407B9"/>
    <w:rsid w:val="004408B7"/>
    <w:rsid w:val="004409D0"/>
    <w:rsid w:val="00440BEE"/>
    <w:rsid w:val="00440D25"/>
    <w:rsid w:val="0044111B"/>
    <w:rsid w:val="0044151C"/>
    <w:rsid w:val="00441663"/>
    <w:rsid w:val="00441B26"/>
    <w:rsid w:val="00441B4A"/>
    <w:rsid w:val="00441FF7"/>
    <w:rsid w:val="0044201C"/>
    <w:rsid w:val="0044206F"/>
    <w:rsid w:val="004421E3"/>
    <w:rsid w:val="004424D0"/>
    <w:rsid w:val="0044288D"/>
    <w:rsid w:val="00442953"/>
    <w:rsid w:val="004429EB"/>
    <w:rsid w:val="00442AA0"/>
    <w:rsid w:val="00442B75"/>
    <w:rsid w:val="004432F3"/>
    <w:rsid w:val="0044346C"/>
    <w:rsid w:val="004434A6"/>
    <w:rsid w:val="00443C04"/>
    <w:rsid w:val="00443CF5"/>
    <w:rsid w:val="00443D53"/>
    <w:rsid w:val="004440BB"/>
    <w:rsid w:val="0044416E"/>
    <w:rsid w:val="0044430D"/>
    <w:rsid w:val="00444891"/>
    <w:rsid w:val="004449B5"/>
    <w:rsid w:val="00444BE7"/>
    <w:rsid w:val="004450DB"/>
    <w:rsid w:val="004450F3"/>
    <w:rsid w:val="00445201"/>
    <w:rsid w:val="0044571D"/>
    <w:rsid w:val="00445843"/>
    <w:rsid w:val="00445B3A"/>
    <w:rsid w:val="00445B42"/>
    <w:rsid w:val="00445D39"/>
    <w:rsid w:val="00445D94"/>
    <w:rsid w:val="0044604C"/>
    <w:rsid w:val="0044626E"/>
    <w:rsid w:val="0044659B"/>
    <w:rsid w:val="00446687"/>
    <w:rsid w:val="0044682C"/>
    <w:rsid w:val="00446A25"/>
    <w:rsid w:val="00446B03"/>
    <w:rsid w:val="00446B52"/>
    <w:rsid w:val="00446CEE"/>
    <w:rsid w:val="004471C3"/>
    <w:rsid w:val="00447460"/>
    <w:rsid w:val="004475F4"/>
    <w:rsid w:val="00447E7A"/>
    <w:rsid w:val="0045035A"/>
    <w:rsid w:val="00450950"/>
    <w:rsid w:val="0045096A"/>
    <w:rsid w:val="00450C68"/>
    <w:rsid w:val="00450EA3"/>
    <w:rsid w:val="00451315"/>
    <w:rsid w:val="004514E6"/>
    <w:rsid w:val="004515E3"/>
    <w:rsid w:val="00451948"/>
    <w:rsid w:val="00451B56"/>
    <w:rsid w:val="00451BE2"/>
    <w:rsid w:val="00451D9C"/>
    <w:rsid w:val="00451DC1"/>
    <w:rsid w:val="00451E23"/>
    <w:rsid w:val="00451FCC"/>
    <w:rsid w:val="004522FA"/>
    <w:rsid w:val="00452A14"/>
    <w:rsid w:val="00452FBC"/>
    <w:rsid w:val="004530CC"/>
    <w:rsid w:val="004533FD"/>
    <w:rsid w:val="0045342F"/>
    <w:rsid w:val="004535F8"/>
    <w:rsid w:val="004538F5"/>
    <w:rsid w:val="00453D14"/>
    <w:rsid w:val="00453D86"/>
    <w:rsid w:val="0045414B"/>
    <w:rsid w:val="004541CA"/>
    <w:rsid w:val="0045444E"/>
    <w:rsid w:val="0045458D"/>
    <w:rsid w:val="00454608"/>
    <w:rsid w:val="00454BD1"/>
    <w:rsid w:val="00454D7E"/>
    <w:rsid w:val="0045500D"/>
    <w:rsid w:val="00455155"/>
    <w:rsid w:val="004552EC"/>
    <w:rsid w:val="004559EB"/>
    <w:rsid w:val="00455D9F"/>
    <w:rsid w:val="00455E4A"/>
    <w:rsid w:val="0045616F"/>
    <w:rsid w:val="00456519"/>
    <w:rsid w:val="00456723"/>
    <w:rsid w:val="0045678B"/>
    <w:rsid w:val="004567F2"/>
    <w:rsid w:val="004569F7"/>
    <w:rsid w:val="00456C0F"/>
    <w:rsid w:val="00456D80"/>
    <w:rsid w:val="0045710A"/>
    <w:rsid w:val="00457240"/>
    <w:rsid w:val="0045741C"/>
    <w:rsid w:val="00457A09"/>
    <w:rsid w:val="00457C2E"/>
    <w:rsid w:val="00457C48"/>
    <w:rsid w:val="00457DA9"/>
    <w:rsid w:val="00457E16"/>
    <w:rsid w:val="00460504"/>
    <w:rsid w:val="00460812"/>
    <w:rsid w:val="004608AB"/>
    <w:rsid w:val="00460938"/>
    <w:rsid w:val="004609D7"/>
    <w:rsid w:val="00460A8C"/>
    <w:rsid w:val="00460FCF"/>
    <w:rsid w:val="0046107E"/>
    <w:rsid w:val="004611D8"/>
    <w:rsid w:val="0046146D"/>
    <w:rsid w:val="004614C5"/>
    <w:rsid w:val="00461509"/>
    <w:rsid w:val="00461667"/>
    <w:rsid w:val="0046200A"/>
    <w:rsid w:val="00462273"/>
    <w:rsid w:val="004623D3"/>
    <w:rsid w:val="004629F5"/>
    <w:rsid w:val="00462A2C"/>
    <w:rsid w:val="00462A5F"/>
    <w:rsid w:val="00462CF6"/>
    <w:rsid w:val="00462ED4"/>
    <w:rsid w:val="00463555"/>
    <w:rsid w:val="00463959"/>
    <w:rsid w:val="00463F0B"/>
    <w:rsid w:val="00463F3C"/>
    <w:rsid w:val="004640E2"/>
    <w:rsid w:val="00464638"/>
    <w:rsid w:val="004654DA"/>
    <w:rsid w:val="004655B4"/>
    <w:rsid w:val="0046576D"/>
    <w:rsid w:val="00465BC1"/>
    <w:rsid w:val="00465C22"/>
    <w:rsid w:val="00465D2D"/>
    <w:rsid w:val="00465D33"/>
    <w:rsid w:val="00466011"/>
    <w:rsid w:val="0046625E"/>
    <w:rsid w:val="004662BF"/>
    <w:rsid w:val="00466658"/>
    <w:rsid w:val="00466776"/>
    <w:rsid w:val="004668C0"/>
    <w:rsid w:val="00466A8C"/>
    <w:rsid w:val="00466C5E"/>
    <w:rsid w:val="004670D9"/>
    <w:rsid w:val="00467252"/>
    <w:rsid w:val="00467259"/>
    <w:rsid w:val="004678CC"/>
    <w:rsid w:val="00467CE8"/>
    <w:rsid w:val="00467DB9"/>
    <w:rsid w:val="00467F17"/>
    <w:rsid w:val="00467F6E"/>
    <w:rsid w:val="004701AA"/>
    <w:rsid w:val="00470200"/>
    <w:rsid w:val="004702A0"/>
    <w:rsid w:val="004703C2"/>
    <w:rsid w:val="00470815"/>
    <w:rsid w:val="00470B3B"/>
    <w:rsid w:val="00470BE7"/>
    <w:rsid w:val="00470ECA"/>
    <w:rsid w:val="00471AD1"/>
    <w:rsid w:val="00471B22"/>
    <w:rsid w:val="00471E5F"/>
    <w:rsid w:val="0047247C"/>
    <w:rsid w:val="0047254F"/>
    <w:rsid w:val="0047275D"/>
    <w:rsid w:val="00472765"/>
    <w:rsid w:val="004727C1"/>
    <w:rsid w:val="004728E1"/>
    <w:rsid w:val="00473002"/>
    <w:rsid w:val="00473132"/>
    <w:rsid w:val="004731EE"/>
    <w:rsid w:val="00473413"/>
    <w:rsid w:val="004738EE"/>
    <w:rsid w:val="00473AD7"/>
    <w:rsid w:val="00473AE2"/>
    <w:rsid w:val="00473B7A"/>
    <w:rsid w:val="00473D62"/>
    <w:rsid w:val="0047405F"/>
    <w:rsid w:val="0047459F"/>
    <w:rsid w:val="00474A68"/>
    <w:rsid w:val="00474E14"/>
    <w:rsid w:val="004755D4"/>
    <w:rsid w:val="0047564B"/>
    <w:rsid w:val="00475744"/>
    <w:rsid w:val="00475895"/>
    <w:rsid w:val="004758FC"/>
    <w:rsid w:val="00475A11"/>
    <w:rsid w:val="00475AB5"/>
    <w:rsid w:val="00475DF9"/>
    <w:rsid w:val="0047606C"/>
    <w:rsid w:val="00476189"/>
    <w:rsid w:val="0047622B"/>
    <w:rsid w:val="004763DD"/>
    <w:rsid w:val="004769F8"/>
    <w:rsid w:val="00476B6D"/>
    <w:rsid w:val="00476F95"/>
    <w:rsid w:val="00477A2A"/>
    <w:rsid w:val="00477FCA"/>
    <w:rsid w:val="00480021"/>
    <w:rsid w:val="0048024D"/>
    <w:rsid w:val="00480B1C"/>
    <w:rsid w:val="00480E44"/>
    <w:rsid w:val="00481057"/>
    <w:rsid w:val="00481351"/>
    <w:rsid w:val="00481634"/>
    <w:rsid w:val="00481A06"/>
    <w:rsid w:val="00481DD3"/>
    <w:rsid w:val="00482FE7"/>
    <w:rsid w:val="0048317B"/>
    <w:rsid w:val="0048353A"/>
    <w:rsid w:val="0048380F"/>
    <w:rsid w:val="00483AFD"/>
    <w:rsid w:val="00483C1E"/>
    <w:rsid w:val="00483CF0"/>
    <w:rsid w:val="0048433B"/>
    <w:rsid w:val="0048445D"/>
    <w:rsid w:val="0048448E"/>
    <w:rsid w:val="004847A5"/>
    <w:rsid w:val="00484B98"/>
    <w:rsid w:val="00484C09"/>
    <w:rsid w:val="00484C50"/>
    <w:rsid w:val="00484E22"/>
    <w:rsid w:val="00484E8F"/>
    <w:rsid w:val="00485011"/>
    <w:rsid w:val="004852CB"/>
    <w:rsid w:val="004853F2"/>
    <w:rsid w:val="004854F1"/>
    <w:rsid w:val="00485695"/>
    <w:rsid w:val="004860CC"/>
    <w:rsid w:val="004860F7"/>
    <w:rsid w:val="004862E3"/>
    <w:rsid w:val="00486568"/>
    <w:rsid w:val="00486572"/>
    <w:rsid w:val="00486714"/>
    <w:rsid w:val="00486ADE"/>
    <w:rsid w:val="00486B92"/>
    <w:rsid w:val="00486C82"/>
    <w:rsid w:val="0048717F"/>
    <w:rsid w:val="004875BF"/>
    <w:rsid w:val="00487694"/>
    <w:rsid w:val="00487A6C"/>
    <w:rsid w:val="00487BB6"/>
    <w:rsid w:val="00487F75"/>
    <w:rsid w:val="004902B3"/>
    <w:rsid w:val="0049072A"/>
    <w:rsid w:val="00490B78"/>
    <w:rsid w:val="00490FC7"/>
    <w:rsid w:val="0049127F"/>
    <w:rsid w:val="0049159B"/>
    <w:rsid w:val="00491B3B"/>
    <w:rsid w:val="00491BA5"/>
    <w:rsid w:val="00491BF5"/>
    <w:rsid w:val="00491C58"/>
    <w:rsid w:val="0049251E"/>
    <w:rsid w:val="00492A0B"/>
    <w:rsid w:val="00492A1B"/>
    <w:rsid w:val="00492A87"/>
    <w:rsid w:val="00492C14"/>
    <w:rsid w:val="004932F9"/>
    <w:rsid w:val="0049343C"/>
    <w:rsid w:val="004935A6"/>
    <w:rsid w:val="004937C5"/>
    <w:rsid w:val="00493C07"/>
    <w:rsid w:val="00493D5C"/>
    <w:rsid w:val="00493F40"/>
    <w:rsid w:val="00494196"/>
    <w:rsid w:val="004948E1"/>
    <w:rsid w:val="00494A53"/>
    <w:rsid w:val="00494D83"/>
    <w:rsid w:val="00494E33"/>
    <w:rsid w:val="00495350"/>
    <w:rsid w:val="004954E5"/>
    <w:rsid w:val="004957DC"/>
    <w:rsid w:val="004957E5"/>
    <w:rsid w:val="00495D58"/>
    <w:rsid w:val="00496331"/>
    <w:rsid w:val="004963B2"/>
    <w:rsid w:val="00496CDB"/>
    <w:rsid w:val="00496DBA"/>
    <w:rsid w:val="00496DED"/>
    <w:rsid w:val="00496E64"/>
    <w:rsid w:val="00497075"/>
    <w:rsid w:val="00497323"/>
    <w:rsid w:val="0049757F"/>
    <w:rsid w:val="0049766A"/>
    <w:rsid w:val="00497B29"/>
    <w:rsid w:val="00497E71"/>
    <w:rsid w:val="004A020A"/>
    <w:rsid w:val="004A03C3"/>
    <w:rsid w:val="004A0656"/>
    <w:rsid w:val="004A06B5"/>
    <w:rsid w:val="004A079D"/>
    <w:rsid w:val="004A084F"/>
    <w:rsid w:val="004A0DDE"/>
    <w:rsid w:val="004A0F2D"/>
    <w:rsid w:val="004A0FC2"/>
    <w:rsid w:val="004A1027"/>
    <w:rsid w:val="004A1585"/>
    <w:rsid w:val="004A1840"/>
    <w:rsid w:val="004A19EE"/>
    <w:rsid w:val="004A2104"/>
    <w:rsid w:val="004A21DE"/>
    <w:rsid w:val="004A2834"/>
    <w:rsid w:val="004A289C"/>
    <w:rsid w:val="004A29DB"/>
    <w:rsid w:val="004A2D17"/>
    <w:rsid w:val="004A3262"/>
    <w:rsid w:val="004A341D"/>
    <w:rsid w:val="004A42B6"/>
    <w:rsid w:val="004A4669"/>
    <w:rsid w:val="004A5274"/>
    <w:rsid w:val="004A62DA"/>
    <w:rsid w:val="004A641E"/>
    <w:rsid w:val="004A6622"/>
    <w:rsid w:val="004A6651"/>
    <w:rsid w:val="004A69AA"/>
    <w:rsid w:val="004A6EC2"/>
    <w:rsid w:val="004A71AB"/>
    <w:rsid w:val="004A796E"/>
    <w:rsid w:val="004A7A42"/>
    <w:rsid w:val="004A7BDA"/>
    <w:rsid w:val="004B001A"/>
    <w:rsid w:val="004B0168"/>
    <w:rsid w:val="004B0318"/>
    <w:rsid w:val="004B03EB"/>
    <w:rsid w:val="004B0BBD"/>
    <w:rsid w:val="004B0BF3"/>
    <w:rsid w:val="004B0CA8"/>
    <w:rsid w:val="004B0D3F"/>
    <w:rsid w:val="004B10EE"/>
    <w:rsid w:val="004B133E"/>
    <w:rsid w:val="004B1409"/>
    <w:rsid w:val="004B14CE"/>
    <w:rsid w:val="004B166C"/>
    <w:rsid w:val="004B16D5"/>
    <w:rsid w:val="004B1743"/>
    <w:rsid w:val="004B190E"/>
    <w:rsid w:val="004B193A"/>
    <w:rsid w:val="004B19FB"/>
    <w:rsid w:val="004B1D10"/>
    <w:rsid w:val="004B2023"/>
    <w:rsid w:val="004B218B"/>
    <w:rsid w:val="004B2B80"/>
    <w:rsid w:val="004B2BF8"/>
    <w:rsid w:val="004B2E09"/>
    <w:rsid w:val="004B2F6E"/>
    <w:rsid w:val="004B3331"/>
    <w:rsid w:val="004B3AB0"/>
    <w:rsid w:val="004B414B"/>
    <w:rsid w:val="004B432F"/>
    <w:rsid w:val="004B444D"/>
    <w:rsid w:val="004B4A72"/>
    <w:rsid w:val="004B4C2B"/>
    <w:rsid w:val="004B5132"/>
    <w:rsid w:val="004B536C"/>
    <w:rsid w:val="004B53E8"/>
    <w:rsid w:val="004B545A"/>
    <w:rsid w:val="004B5D9C"/>
    <w:rsid w:val="004B5FC8"/>
    <w:rsid w:val="004B6522"/>
    <w:rsid w:val="004B65A9"/>
    <w:rsid w:val="004B65DE"/>
    <w:rsid w:val="004B69F4"/>
    <w:rsid w:val="004B6EE4"/>
    <w:rsid w:val="004B6FF3"/>
    <w:rsid w:val="004B72E9"/>
    <w:rsid w:val="004B78C7"/>
    <w:rsid w:val="004B7EE9"/>
    <w:rsid w:val="004C0141"/>
    <w:rsid w:val="004C01F5"/>
    <w:rsid w:val="004C057D"/>
    <w:rsid w:val="004C06A7"/>
    <w:rsid w:val="004C0767"/>
    <w:rsid w:val="004C0A3B"/>
    <w:rsid w:val="004C0AEB"/>
    <w:rsid w:val="004C123A"/>
    <w:rsid w:val="004C1D11"/>
    <w:rsid w:val="004C1E25"/>
    <w:rsid w:val="004C25D2"/>
    <w:rsid w:val="004C2A72"/>
    <w:rsid w:val="004C2BB6"/>
    <w:rsid w:val="004C347F"/>
    <w:rsid w:val="004C3486"/>
    <w:rsid w:val="004C34A6"/>
    <w:rsid w:val="004C3A3E"/>
    <w:rsid w:val="004C3A49"/>
    <w:rsid w:val="004C3EEE"/>
    <w:rsid w:val="004C40A3"/>
    <w:rsid w:val="004C40D9"/>
    <w:rsid w:val="004C41B1"/>
    <w:rsid w:val="004C460C"/>
    <w:rsid w:val="004C48E1"/>
    <w:rsid w:val="004C4933"/>
    <w:rsid w:val="004C5711"/>
    <w:rsid w:val="004C5BD6"/>
    <w:rsid w:val="004C5D7F"/>
    <w:rsid w:val="004C633D"/>
    <w:rsid w:val="004C6B8B"/>
    <w:rsid w:val="004C6BC6"/>
    <w:rsid w:val="004C6DBC"/>
    <w:rsid w:val="004C752E"/>
    <w:rsid w:val="004C7576"/>
    <w:rsid w:val="004C7950"/>
    <w:rsid w:val="004C7A15"/>
    <w:rsid w:val="004C7D03"/>
    <w:rsid w:val="004C7EBA"/>
    <w:rsid w:val="004D0424"/>
    <w:rsid w:val="004D0606"/>
    <w:rsid w:val="004D0724"/>
    <w:rsid w:val="004D08EC"/>
    <w:rsid w:val="004D092A"/>
    <w:rsid w:val="004D0A1F"/>
    <w:rsid w:val="004D0A38"/>
    <w:rsid w:val="004D0ECB"/>
    <w:rsid w:val="004D11A3"/>
    <w:rsid w:val="004D13BF"/>
    <w:rsid w:val="004D1632"/>
    <w:rsid w:val="004D1790"/>
    <w:rsid w:val="004D19D7"/>
    <w:rsid w:val="004D1B61"/>
    <w:rsid w:val="004D1C66"/>
    <w:rsid w:val="004D2120"/>
    <w:rsid w:val="004D22F7"/>
    <w:rsid w:val="004D232D"/>
    <w:rsid w:val="004D23BE"/>
    <w:rsid w:val="004D25D9"/>
    <w:rsid w:val="004D2BFF"/>
    <w:rsid w:val="004D2C03"/>
    <w:rsid w:val="004D2D6F"/>
    <w:rsid w:val="004D2FBA"/>
    <w:rsid w:val="004D325D"/>
    <w:rsid w:val="004D333F"/>
    <w:rsid w:val="004D3478"/>
    <w:rsid w:val="004D3781"/>
    <w:rsid w:val="004D3A1B"/>
    <w:rsid w:val="004D4897"/>
    <w:rsid w:val="004D4B3F"/>
    <w:rsid w:val="004D5754"/>
    <w:rsid w:val="004D58C6"/>
    <w:rsid w:val="004D5A59"/>
    <w:rsid w:val="004D5EA5"/>
    <w:rsid w:val="004D62B3"/>
    <w:rsid w:val="004D62C8"/>
    <w:rsid w:val="004D6538"/>
    <w:rsid w:val="004D66BD"/>
    <w:rsid w:val="004D67B5"/>
    <w:rsid w:val="004D67F3"/>
    <w:rsid w:val="004D683A"/>
    <w:rsid w:val="004D6A41"/>
    <w:rsid w:val="004D6A48"/>
    <w:rsid w:val="004D6AB9"/>
    <w:rsid w:val="004D6B58"/>
    <w:rsid w:val="004D6BAB"/>
    <w:rsid w:val="004D78AB"/>
    <w:rsid w:val="004D7E5D"/>
    <w:rsid w:val="004E0281"/>
    <w:rsid w:val="004E038E"/>
    <w:rsid w:val="004E03D7"/>
    <w:rsid w:val="004E0403"/>
    <w:rsid w:val="004E04DE"/>
    <w:rsid w:val="004E0C61"/>
    <w:rsid w:val="004E0EA7"/>
    <w:rsid w:val="004E0FC9"/>
    <w:rsid w:val="004E159C"/>
    <w:rsid w:val="004E185B"/>
    <w:rsid w:val="004E1A3E"/>
    <w:rsid w:val="004E1CBF"/>
    <w:rsid w:val="004E1D22"/>
    <w:rsid w:val="004E1EF5"/>
    <w:rsid w:val="004E2030"/>
    <w:rsid w:val="004E2319"/>
    <w:rsid w:val="004E2810"/>
    <w:rsid w:val="004E2CCD"/>
    <w:rsid w:val="004E2F3A"/>
    <w:rsid w:val="004E30D9"/>
    <w:rsid w:val="004E372F"/>
    <w:rsid w:val="004E3775"/>
    <w:rsid w:val="004E3A24"/>
    <w:rsid w:val="004E3B5F"/>
    <w:rsid w:val="004E3F1E"/>
    <w:rsid w:val="004E4200"/>
    <w:rsid w:val="004E4496"/>
    <w:rsid w:val="004E4614"/>
    <w:rsid w:val="004E470F"/>
    <w:rsid w:val="004E4B1E"/>
    <w:rsid w:val="004E4B3B"/>
    <w:rsid w:val="004E4D2B"/>
    <w:rsid w:val="004E50E9"/>
    <w:rsid w:val="004E5372"/>
    <w:rsid w:val="004E55A5"/>
    <w:rsid w:val="004E5B3A"/>
    <w:rsid w:val="004E5D08"/>
    <w:rsid w:val="004E6035"/>
    <w:rsid w:val="004E6128"/>
    <w:rsid w:val="004E6310"/>
    <w:rsid w:val="004E66C9"/>
    <w:rsid w:val="004E6756"/>
    <w:rsid w:val="004E6D29"/>
    <w:rsid w:val="004E6DC0"/>
    <w:rsid w:val="004E6DFB"/>
    <w:rsid w:val="004E6F51"/>
    <w:rsid w:val="004E71A8"/>
    <w:rsid w:val="004E7424"/>
    <w:rsid w:val="004E776B"/>
    <w:rsid w:val="004E7BA2"/>
    <w:rsid w:val="004E7C11"/>
    <w:rsid w:val="004E7CF7"/>
    <w:rsid w:val="004E7EAF"/>
    <w:rsid w:val="004F00CA"/>
    <w:rsid w:val="004F00FC"/>
    <w:rsid w:val="004F0197"/>
    <w:rsid w:val="004F025F"/>
    <w:rsid w:val="004F04AE"/>
    <w:rsid w:val="004F0924"/>
    <w:rsid w:val="004F0B03"/>
    <w:rsid w:val="004F0E87"/>
    <w:rsid w:val="004F1749"/>
    <w:rsid w:val="004F1A8E"/>
    <w:rsid w:val="004F227E"/>
    <w:rsid w:val="004F23BD"/>
    <w:rsid w:val="004F23E0"/>
    <w:rsid w:val="004F24BE"/>
    <w:rsid w:val="004F252B"/>
    <w:rsid w:val="004F29B0"/>
    <w:rsid w:val="004F301B"/>
    <w:rsid w:val="004F3055"/>
    <w:rsid w:val="004F35EA"/>
    <w:rsid w:val="004F3676"/>
    <w:rsid w:val="004F3AC4"/>
    <w:rsid w:val="004F3CB0"/>
    <w:rsid w:val="004F3CC0"/>
    <w:rsid w:val="004F41FE"/>
    <w:rsid w:val="004F4341"/>
    <w:rsid w:val="004F47DA"/>
    <w:rsid w:val="004F4993"/>
    <w:rsid w:val="004F4D18"/>
    <w:rsid w:val="004F4D92"/>
    <w:rsid w:val="004F4D9C"/>
    <w:rsid w:val="004F50A7"/>
    <w:rsid w:val="004F5251"/>
    <w:rsid w:val="004F55C5"/>
    <w:rsid w:val="004F5739"/>
    <w:rsid w:val="004F5951"/>
    <w:rsid w:val="004F5AFE"/>
    <w:rsid w:val="004F5EB3"/>
    <w:rsid w:val="004F5F0A"/>
    <w:rsid w:val="004F5F97"/>
    <w:rsid w:val="004F6130"/>
    <w:rsid w:val="004F61B6"/>
    <w:rsid w:val="004F635C"/>
    <w:rsid w:val="004F6429"/>
    <w:rsid w:val="004F64AB"/>
    <w:rsid w:val="004F6863"/>
    <w:rsid w:val="004F69B0"/>
    <w:rsid w:val="004F6F94"/>
    <w:rsid w:val="004F73A4"/>
    <w:rsid w:val="004F7B97"/>
    <w:rsid w:val="004F7E63"/>
    <w:rsid w:val="004F7EA2"/>
    <w:rsid w:val="004F7F13"/>
    <w:rsid w:val="004F7F60"/>
    <w:rsid w:val="0050015D"/>
    <w:rsid w:val="005004BA"/>
    <w:rsid w:val="005004BB"/>
    <w:rsid w:val="00500542"/>
    <w:rsid w:val="005005A9"/>
    <w:rsid w:val="00500671"/>
    <w:rsid w:val="00500799"/>
    <w:rsid w:val="005007AC"/>
    <w:rsid w:val="005010E0"/>
    <w:rsid w:val="00501189"/>
    <w:rsid w:val="00501296"/>
    <w:rsid w:val="005013FC"/>
    <w:rsid w:val="005017BC"/>
    <w:rsid w:val="00501A12"/>
    <w:rsid w:val="00501DE6"/>
    <w:rsid w:val="00501DF9"/>
    <w:rsid w:val="00501FEF"/>
    <w:rsid w:val="00502418"/>
    <w:rsid w:val="005024E5"/>
    <w:rsid w:val="0050254F"/>
    <w:rsid w:val="005026AB"/>
    <w:rsid w:val="005029C4"/>
    <w:rsid w:val="00502B10"/>
    <w:rsid w:val="00502B35"/>
    <w:rsid w:val="00502D3C"/>
    <w:rsid w:val="00502F32"/>
    <w:rsid w:val="005036C6"/>
    <w:rsid w:val="00503B53"/>
    <w:rsid w:val="00503BEF"/>
    <w:rsid w:val="00503CE7"/>
    <w:rsid w:val="00503F77"/>
    <w:rsid w:val="00503FB7"/>
    <w:rsid w:val="0050418E"/>
    <w:rsid w:val="0050463C"/>
    <w:rsid w:val="00504822"/>
    <w:rsid w:val="00504B06"/>
    <w:rsid w:val="00504D5D"/>
    <w:rsid w:val="0050511F"/>
    <w:rsid w:val="00505240"/>
    <w:rsid w:val="00505339"/>
    <w:rsid w:val="00505358"/>
    <w:rsid w:val="005053B7"/>
    <w:rsid w:val="00505555"/>
    <w:rsid w:val="005056D0"/>
    <w:rsid w:val="00505992"/>
    <w:rsid w:val="00505BAB"/>
    <w:rsid w:val="00505CFE"/>
    <w:rsid w:val="005060FF"/>
    <w:rsid w:val="005064F7"/>
    <w:rsid w:val="00506535"/>
    <w:rsid w:val="005065F4"/>
    <w:rsid w:val="005068C3"/>
    <w:rsid w:val="005069D6"/>
    <w:rsid w:val="005071C2"/>
    <w:rsid w:val="00507477"/>
    <w:rsid w:val="0050769B"/>
    <w:rsid w:val="005078C0"/>
    <w:rsid w:val="00507A0A"/>
    <w:rsid w:val="00507A49"/>
    <w:rsid w:val="00507BC5"/>
    <w:rsid w:val="005102DD"/>
    <w:rsid w:val="005102EE"/>
    <w:rsid w:val="005102F7"/>
    <w:rsid w:val="00510445"/>
    <w:rsid w:val="005104FF"/>
    <w:rsid w:val="00510552"/>
    <w:rsid w:val="00510722"/>
    <w:rsid w:val="0051089F"/>
    <w:rsid w:val="00510905"/>
    <w:rsid w:val="00510965"/>
    <w:rsid w:val="00510A50"/>
    <w:rsid w:val="00510C60"/>
    <w:rsid w:val="00510C97"/>
    <w:rsid w:val="00511009"/>
    <w:rsid w:val="0051123C"/>
    <w:rsid w:val="005112B0"/>
    <w:rsid w:val="005113A4"/>
    <w:rsid w:val="005113CC"/>
    <w:rsid w:val="00511964"/>
    <w:rsid w:val="00511CD5"/>
    <w:rsid w:val="00511D06"/>
    <w:rsid w:val="00511ECA"/>
    <w:rsid w:val="005120E8"/>
    <w:rsid w:val="00512171"/>
    <w:rsid w:val="00512633"/>
    <w:rsid w:val="0051280A"/>
    <w:rsid w:val="005129AD"/>
    <w:rsid w:val="00512D56"/>
    <w:rsid w:val="00512E82"/>
    <w:rsid w:val="00512FD6"/>
    <w:rsid w:val="00513015"/>
    <w:rsid w:val="00513297"/>
    <w:rsid w:val="00513300"/>
    <w:rsid w:val="005133AD"/>
    <w:rsid w:val="0051354D"/>
    <w:rsid w:val="00513587"/>
    <w:rsid w:val="005135B7"/>
    <w:rsid w:val="00513F30"/>
    <w:rsid w:val="00513FE1"/>
    <w:rsid w:val="00514198"/>
    <w:rsid w:val="00514335"/>
    <w:rsid w:val="0051454B"/>
    <w:rsid w:val="00514A04"/>
    <w:rsid w:val="00515024"/>
    <w:rsid w:val="00515590"/>
    <w:rsid w:val="00515778"/>
    <w:rsid w:val="00515B5F"/>
    <w:rsid w:val="00516431"/>
    <w:rsid w:val="0051698D"/>
    <w:rsid w:val="00516A7E"/>
    <w:rsid w:val="00516D4C"/>
    <w:rsid w:val="00516D5E"/>
    <w:rsid w:val="00516E72"/>
    <w:rsid w:val="00516F72"/>
    <w:rsid w:val="00517314"/>
    <w:rsid w:val="00517358"/>
    <w:rsid w:val="0051738F"/>
    <w:rsid w:val="005173B0"/>
    <w:rsid w:val="005176BB"/>
    <w:rsid w:val="00517F10"/>
    <w:rsid w:val="00520286"/>
    <w:rsid w:val="00520494"/>
    <w:rsid w:val="005205A4"/>
    <w:rsid w:val="00520832"/>
    <w:rsid w:val="00520875"/>
    <w:rsid w:val="00520E9A"/>
    <w:rsid w:val="005211B7"/>
    <w:rsid w:val="00521410"/>
    <w:rsid w:val="00521550"/>
    <w:rsid w:val="00521583"/>
    <w:rsid w:val="00521644"/>
    <w:rsid w:val="00521C42"/>
    <w:rsid w:val="00521CB6"/>
    <w:rsid w:val="00521D53"/>
    <w:rsid w:val="005222FD"/>
    <w:rsid w:val="00522329"/>
    <w:rsid w:val="005223BC"/>
    <w:rsid w:val="005223D0"/>
    <w:rsid w:val="00522654"/>
    <w:rsid w:val="005226AE"/>
    <w:rsid w:val="00522897"/>
    <w:rsid w:val="00522BF7"/>
    <w:rsid w:val="00522C45"/>
    <w:rsid w:val="00522F68"/>
    <w:rsid w:val="00522FA3"/>
    <w:rsid w:val="00523713"/>
    <w:rsid w:val="005237EC"/>
    <w:rsid w:val="00523802"/>
    <w:rsid w:val="00523AB0"/>
    <w:rsid w:val="005241CA"/>
    <w:rsid w:val="0052443A"/>
    <w:rsid w:val="005245F6"/>
    <w:rsid w:val="0052483F"/>
    <w:rsid w:val="0052484F"/>
    <w:rsid w:val="00524881"/>
    <w:rsid w:val="005248FA"/>
    <w:rsid w:val="00524A2A"/>
    <w:rsid w:val="00524A3E"/>
    <w:rsid w:val="00524C7C"/>
    <w:rsid w:val="00525125"/>
    <w:rsid w:val="005252F8"/>
    <w:rsid w:val="005254C2"/>
    <w:rsid w:val="005256F6"/>
    <w:rsid w:val="00525BF6"/>
    <w:rsid w:val="00525CDC"/>
    <w:rsid w:val="00525F31"/>
    <w:rsid w:val="005260EC"/>
    <w:rsid w:val="005262BE"/>
    <w:rsid w:val="005262C7"/>
    <w:rsid w:val="00526A4E"/>
    <w:rsid w:val="00526ECF"/>
    <w:rsid w:val="00526F77"/>
    <w:rsid w:val="00527102"/>
    <w:rsid w:val="005274FB"/>
    <w:rsid w:val="005275A8"/>
    <w:rsid w:val="00527AD7"/>
    <w:rsid w:val="00527CFE"/>
    <w:rsid w:val="00530216"/>
    <w:rsid w:val="005308E9"/>
    <w:rsid w:val="00530A0E"/>
    <w:rsid w:val="00530BB8"/>
    <w:rsid w:val="00530C73"/>
    <w:rsid w:val="0053111F"/>
    <w:rsid w:val="00531179"/>
    <w:rsid w:val="00531780"/>
    <w:rsid w:val="00531841"/>
    <w:rsid w:val="00531C12"/>
    <w:rsid w:val="00531FAD"/>
    <w:rsid w:val="005322DA"/>
    <w:rsid w:val="005324B9"/>
    <w:rsid w:val="005324E6"/>
    <w:rsid w:val="0053256C"/>
    <w:rsid w:val="00532662"/>
    <w:rsid w:val="0053290A"/>
    <w:rsid w:val="005329C3"/>
    <w:rsid w:val="005329E6"/>
    <w:rsid w:val="00532BEF"/>
    <w:rsid w:val="00532F3F"/>
    <w:rsid w:val="005331D4"/>
    <w:rsid w:val="00533DC1"/>
    <w:rsid w:val="00533E1B"/>
    <w:rsid w:val="00534018"/>
    <w:rsid w:val="0053424A"/>
    <w:rsid w:val="00534507"/>
    <w:rsid w:val="0053461F"/>
    <w:rsid w:val="00534CFA"/>
    <w:rsid w:val="00535154"/>
    <w:rsid w:val="005352DD"/>
    <w:rsid w:val="0053565A"/>
    <w:rsid w:val="00535DF0"/>
    <w:rsid w:val="00536026"/>
    <w:rsid w:val="0053611D"/>
    <w:rsid w:val="00536166"/>
    <w:rsid w:val="0053630D"/>
    <w:rsid w:val="005365B6"/>
    <w:rsid w:val="005365F8"/>
    <w:rsid w:val="005366E1"/>
    <w:rsid w:val="005366E6"/>
    <w:rsid w:val="0053697E"/>
    <w:rsid w:val="00536CAD"/>
    <w:rsid w:val="005375BB"/>
    <w:rsid w:val="00537A60"/>
    <w:rsid w:val="00537B56"/>
    <w:rsid w:val="00537E19"/>
    <w:rsid w:val="00540078"/>
    <w:rsid w:val="005401D6"/>
    <w:rsid w:val="005404DA"/>
    <w:rsid w:val="00540848"/>
    <w:rsid w:val="00540A0F"/>
    <w:rsid w:val="00540A90"/>
    <w:rsid w:val="00540E05"/>
    <w:rsid w:val="005410AB"/>
    <w:rsid w:val="005414B5"/>
    <w:rsid w:val="005415BB"/>
    <w:rsid w:val="00541AB0"/>
    <w:rsid w:val="00541AE5"/>
    <w:rsid w:val="00541ECB"/>
    <w:rsid w:val="00542141"/>
    <w:rsid w:val="005429E1"/>
    <w:rsid w:val="00542BE7"/>
    <w:rsid w:val="00542E88"/>
    <w:rsid w:val="0054307B"/>
    <w:rsid w:val="0054379C"/>
    <w:rsid w:val="00543C15"/>
    <w:rsid w:val="00543D88"/>
    <w:rsid w:val="005441D5"/>
    <w:rsid w:val="005441E2"/>
    <w:rsid w:val="00544692"/>
    <w:rsid w:val="0054491F"/>
    <w:rsid w:val="00544B28"/>
    <w:rsid w:val="00544E3A"/>
    <w:rsid w:val="005451C6"/>
    <w:rsid w:val="00545296"/>
    <w:rsid w:val="005452D3"/>
    <w:rsid w:val="00545369"/>
    <w:rsid w:val="00545C45"/>
    <w:rsid w:val="00545CFF"/>
    <w:rsid w:val="00545D6E"/>
    <w:rsid w:val="00546467"/>
    <w:rsid w:val="00546867"/>
    <w:rsid w:val="00546B39"/>
    <w:rsid w:val="00546BC6"/>
    <w:rsid w:val="00546C03"/>
    <w:rsid w:val="00546C3F"/>
    <w:rsid w:val="0054707B"/>
    <w:rsid w:val="0054748F"/>
    <w:rsid w:val="00547594"/>
    <w:rsid w:val="00547839"/>
    <w:rsid w:val="00547874"/>
    <w:rsid w:val="00550107"/>
    <w:rsid w:val="00550BD2"/>
    <w:rsid w:val="00550D00"/>
    <w:rsid w:val="00550E67"/>
    <w:rsid w:val="00550EF4"/>
    <w:rsid w:val="0055107A"/>
    <w:rsid w:val="00551113"/>
    <w:rsid w:val="005516EC"/>
    <w:rsid w:val="00551CDF"/>
    <w:rsid w:val="00552340"/>
    <w:rsid w:val="0055234D"/>
    <w:rsid w:val="0055237F"/>
    <w:rsid w:val="0055243B"/>
    <w:rsid w:val="005524E7"/>
    <w:rsid w:val="005524FD"/>
    <w:rsid w:val="00552B4F"/>
    <w:rsid w:val="00552BEF"/>
    <w:rsid w:val="00552EEB"/>
    <w:rsid w:val="00553188"/>
    <w:rsid w:val="005534E7"/>
    <w:rsid w:val="00553597"/>
    <w:rsid w:val="00553BB4"/>
    <w:rsid w:val="00553D54"/>
    <w:rsid w:val="005541C1"/>
    <w:rsid w:val="00554483"/>
    <w:rsid w:val="005544C1"/>
    <w:rsid w:val="0055498A"/>
    <w:rsid w:val="00554DCF"/>
    <w:rsid w:val="00554F04"/>
    <w:rsid w:val="00555508"/>
    <w:rsid w:val="005555F4"/>
    <w:rsid w:val="00556289"/>
    <w:rsid w:val="005565F5"/>
    <w:rsid w:val="00556AE3"/>
    <w:rsid w:val="00556D08"/>
    <w:rsid w:val="00556D09"/>
    <w:rsid w:val="0055745B"/>
    <w:rsid w:val="00557468"/>
    <w:rsid w:val="00557550"/>
    <w:rsid w:val="005575E7"/>
    <w:rsid w:val="00557781"/>
    <w:rsid w:val="00557BA1"/>
    <w:rsid w:val="00557EA5"/>
    <w:rsid w:val="00557FE1"/>
    <w:rsid w:val="00560191"/>
    <w:rsid w:val="0056029F"/>
    <w:rsid w:val="00560F85"/>
    <w:rsid w:val="005611B7"/>
    <w:rsid w:val="00561264"/>
    <w:rsid w:val="0056164B"/>
    <w:rsid w:val="00561D2C"/>
    <w:rsid w:val="0056200A"/>
    <w:rsid w:val="00562037"/>
    <w:rsid w:val="00562060"/>
    <w:rsid w:val="005620EC"/>
    <w:rsid w:val="005621BD"/>
    <w:rsid w:val="0056224D"/>
    <w:rsid w:val="005625AC"/>
    <w:rsid w:val="00562CB2"/>
    <w:rsid w:val="00562E91"/>
    <w:rsid w:val="00562ED8"/>
    <w:rsid w:val="00562EFB"/>
    <w:rsid w:val="00562FEC"/>
    <w:rsid w:val="0056318B"/>
    <w:rsid w:val="005631D9"/>
    <w:rsid w:val="005632DF"/>
    <w:rsid w:val="0056349E"/>
    <w:rsid w:val="005638CC"/>
    <w:rsid w:val="005639B0"/>
    <w:rsid w:val="0056430C"/>
    <w:rsid w:val="005643AE"/>
    <w:rsid w:val="005646C5"/>
    <w:rsid w:val="00564E41"/>
    <w:rsid w:val="0056530C"/>
    <w:rsid w:val="00565935"/>
    <w:rsid w:val="005659CF"/>
    <w:rsid w:val="00565C99"/>
    <w:rsid w:val="00565E9F"/>
    <w:rsid w:val="00565FB6"/>
    <w:rsid w:val="0056602B"/>
    <w:rsid w:val="005661E6"/>
    <w:rsid w:val="005662DE"/>
    <w:rsid w:val="00566B7C"/>
    <w:rsid w:val="00567402"/>
    <w:rsid w:val="00567469"/>
    <w:rsid w:val="005679EF"/>
    <w:rsid w:val="00567C6F"/>
    <w:rsid w:val="00567CC4"/>
    <w:rsid w:val="00567DA2"/>
    <w:rsid w:val="00567E77"/>
    <w:rsid w:val="00567F73"/>
    <w:rsid w:val="00570223"/>
    <w:rsid w:val="005704F6"/>
    <w:rsid w:val="00570962"/>
    <w:rsid w:val="00570E03"/>
    <w:rsid w:val="00570F83"/>
    <w:rsid w:val="00570FB0"/>
    <w:rsid w:val="00571029"/>
    <w:rsid w:val="00571252"/>
    <w:rsid w:val="00571C3C"/>
    <w:rsid w:val="00571D18"/>
    <w:rsid w:val="00572367"/>
    <w:rsid w:val="00572487"/>
    <w:rsid w:val="00572A52"/>
    <w:rsid w:val="00572B18"/>
    <w:rsid w:val="00572E91"/>
    <w:rsid w:val="005733DE"/>
    <w:rsid w:val="005738D3"/>
    <w:rsid w:val="00573D24"/>
    <w:rsid w:val="00573D51"/>
    <w:rsid w:val="00574262"/>
    <w:rsid w:val="00574483"/>
    <w:rsid w:val="00574718"/>
    <w:rsid w:val="005749C2"/>
    <w:rsid w:val="005749D3"/>
    <w:rsid w:val="00574C9A"/>
    <w:rsid w:val="00574F58"/>
    <w:rsid w:val="00575193"/>
    <w:rsid w:val="00575233"/>
    <w:rsid w:val="00575362"/>
    <w:rsid w:val="00575390"/>
    <w:rsid w:val="0057565C"/>
    <w:rsid w:val="0057570F"/>
    <w:rsid w:val="005757E7"/>
    <w:rsid w:val="005761AB"/>
    <w:rsid w:val="005762B5"/>
    <w:rsid w:val="005762BE"/>
    <w:rsid w:val="0057659E"/>
    <w:rsid w:val="00576614"/>
    <w:rsid w:val="0057676A"/>
    <w:rsid w:val="00576DB1"/>
    <w:rsid w:val="005770E1"/>
    <w:rsid w:val="00577206"/>
    <w:rsid w:val="00577A24"/>
    <w:rsid w:val="00577BA3"/>
    <w:rsid w:val="00577D42"/>
    <w:rsid w:val="00580243"/>
    <w:rsid w:val="00580322"/>
    <w:rsid w:val="00580A60"/>
    <w:rsid w:val="00580A75"/>
    <w:rsid w:val="00580B08"/>
    <w:rsid w:val="005818F5"/>
    <w:rsid w:val="00581A88"/>
    <w:rsid w:val="00581C74"/>
    <w:rsid w:val="00581D40"/>
    <w:rsid w:val="00581FCF"/>
    <w:rsid w:val="00582039"/>
    <w:rsid w:val="00582251"/>
    <w:rsid w:val="005832BE"/>
    <w:rsid w:val="00583410"/>
    <w:rsid w:val="00583438"/>
    <w:rsid w:val="00583768"/>
    <w:rsid w:val="005837B1"/>
    <w:rsid w:val="005837C6"/>
    <w:rsid w:val="00583843"/>
    <w:rsid w:val="00583C50"/>
    <w:rsid w:val="00583DCF"/>
    <w:rsid w:val="005841E1"/>
    <w:rsid w:val="005842B4"/>
    <w:rsid w:val="00584360"/>
    <w:rsid w:val="00584503"/>
    <w:rsid w:val="005848C5"/>
    <w:rsid w:val="00584D4A"/>
    <w:rsid w:val="00584FDE"/>
    <w:rsid w:val="00585142"/>
    <w:rsid w:val="0058516A"/>
    <w:rsid w:val="005859DD"/>
    <w:rsid w:val="0058618C"/>
    <w:rsid w:val="005861D9"/>
    <w:rsid w:val="0058651A"/>
    <w:rsid w:val="00586879"/>
    <w:rsid w:val="00586959"/>
    <w:rsid w:val="00586DE2"/>
    <w:rsid w:val="00586F9D"/>
    <w:rsid w:val="00587A2F"/>
    <w:rsid w:val="00587D21"/>
    <w:rsid w:val="00587DD8"/>
    <w:rsid w:val="00587FE5"/>
    <w:rsid w:val="00590423"/>
    <w:rsid w:val="005904EC"/>
    <w:rsid w:val="0059094C"/>
    <w:rsid w:val="0059098C"/>
    <w:rsid w:val="00590CB9"/>
    <w:rsid w:val="00590D07"/>
    <w:rsid w:val="00590D38"/>
    <w:rsid w:val="00591073"/>
    <w:rsid w:val="0059114E"/>
    <w:rsid w:val="00591422"/>
    <w:rsid w:val="00591639"/>
    <w:rsid w:val="0059184E"/>
    <w:rsid w:val="00591AAF"/>
    <w:rsid w:val="00591C9A"/>
    <w:rsid w:val="00591F27"/>
    <w:rsid w:val="00592025"/>
    <w:rsid w:val="005920B0"/>
    <w:rsid w:val="00592209"/>
    <w:rsid w:val="0059237A"/>
    <w:rsid w:val="0059272B"/>
    <w:rsid w:val="00592E19"/>
    <w:rsid w:val="00593815"/>
    <w:rsid w:val="00593833"/>
    <w:rsid w:val="00594050"/>
    <w:rsid w:val="005941D5"/>
    <w:rsid w:val="0059483B"/>
    <w:rsid w:val="00594B93"/>
    <w:rsid w:val="00594CED"/>
    <w:rsid w:val="00594D2D"/>
    <w:rsid w:val="0059552F"/>
    <w:rsid w:val="005956AE"/>
    <w:rsid w:val="00595807"/>
    <w:rsid w:val="00595B79"/>
    <w:rsid w:val="00595CBD"/>
    <w:rsid w:val="00595D36"/>
    <w:rsid w:val="00595E81"/>
    <w:rsid w:val="005961AD"/>
    <w:rsid w:val="005961D7"/>
    <w:rsid w:val="00596280"/>
    <w:rsid w:val="00596573"/>
    <w:rsid w:val="00596675"/>
    <w:rsid w:val="005969D7"/>
    <w:rsid w:val="00596C91"/>
    <w:rsid w:val="005971AA"/>
    <w:rsid w:val="00597377"/>
    <w:rsid w:val="00597750"/>
    <w:rsid w:val="00597772"/>
    <w:rsid w:val="00597790"/>
    <w:rsid w:val="00597805"/>
    <w:rsid w:val="00597984"/>
    <w:rsid w:val="00597E17"/>
    <w:rsid w:val="00597EC8"/>
    <w:rsid w:val="005A000E"/>
    <w:rsid w:val="005A0377"/>
    <w:rsid w:val="005A07FB"/>
    <w:rsid w:val="005A0E83"/>
    <w:rsid w:val="005A17AE"/>
    <w:rsid w:val="005A1AA7"/>
    <w:rsid w:val="005A1EF8"/>
    <w:rsid w:val="005A215A"/>
    <w:rsid w:val="005A26DD"/>
    <w:rsid w:val="005A2880"/>
    <w:rsid w:val="005A2B22"/>
    <w:rsid w:val="005A2D24"/>
    <w:rsid w:val="005A2E4C"/>
    <w:rsid w:val="005A3043"/>
    <w:rsid w:val="005A326B"/>
    <w:rsid w:val="005A3422"/>
    <w:rsid w:val="005A3955"/>
    <w:rsid w:val="005A39A5"/>
    <w:rsid w:val="005A3A7C"/>
    <w:rsid w:val="005A3BFB"/>
    <w:rsid w:val="005A3CAF"/>
    <w:rsid w:val="005A3FE5"/>
    <w:rsid w:val="005A4354"/>
    <w:rsid w:val="005A43BB"/>
    <w:rsid w:val="005A4559"/>
    <w:rsid w:val="005A4C7A"/>
    <w:rsid w:val="005A4C96"/>
    <w:rsid w:val="005A4DDF"/>
    <w:rsid w:val="005A51BB"/>
    <w:rsid w:val="005A530E"/>
    <w:rsid w:val="005A548F"/>
    <w:rsid w:val="005A5658"/>
    <w:rsid w:val="005A5A78"/>
    <w:rsid w:val="005A5C19"/>
    <w:rsid w:val="005A5EEE"/>
    <w:rsid w:val="005A619C"/>
    <w:rsid w:val="005A62EF"/>
    <w:rsid w:val="005A632F"/>
    <w:rsid w:val="005A641C"/>
    <w:rsid w:val="005A6457"/>
    <w:rsid w:val="005A6471"/>
    <w:rsid w:val="005A66D2"/>
    <w:rsid w:val="005A680E"/>
    <w:rsid w:val="005A68A6"/>
    <w:rsid w:val="005A6B82"/>
    <w:rsid w:val="005A6F73"/>
    <w:rsid w:val="005A71C4"/>
    <w:rsid w:val="005A72F8"/>
    <w:rsid w:val="005A76A6"/>
    <w:rsid w:val="005A7A66"/>
    <w:rsid w:val="005A7E43"/>
    <w:rsid w:val="005B003C"/>
    <w:rsid w:val="005B04B5"/>
    <w:rsid w:val="005B04CF"/>
    <w:rsid w:val="005B08B7"/>
    <w:rsid w:val="005B0DDD"/>
    <w:rsid w:val="005B0E1E"/>
    <w:rsid w:val="005B1089"/>
    <w:rsid w:val="005B1157"/>
    <w:rsid w:val="005B11F9"/>
    <w:rsid w:val="005B123E"/>
    <w:rsid w:val="005B1252"/>
    <w:rsid w:val="005B1348"/>
    <w:rsid w:val="005B13CA"/>
    <w:rsid w:val="005B1674"/>
    <w:rsid w:val="005B1893"/>
    <w:rsid w:val="005B19D2"/>
    <w:rsid w:val="005B1AB7"/>
    <w:rsid w:val="005B1C35"/>
    <w:rsid w:val="005B2008"/>
    <w:rsid w:val="005B20B3"/>
    <w:rsid w:val="005B22DA"/>
    <w:rsid w:val="005B265B"/>
    <w:rsid w:val="005B27C3"/>
    <w:rsid w:val="005B2A7D"/>
    <w:rsid w:val="005B2AAB"/>
    <w:rsid w:val="005B2BD0"/>
    <w:rsid w:val="005B2DE5"/>
    <w:rsid w:val="005B30D1"/>
    <w:rsid w:val="005B3281"/>
    <w:rsid w:val="005B32B6"/>
    <w:rsid w:val="005B3443"/>
    <w:rsid w:val="005B360C"/>
    <w:rsid w:val="005B36AA"/>
    <w:rsid w:val="005B3B14"/>
    <w:rsid w:val="005B3BD2"/>
    <w:rsid w:val="005B3E9C"/>
    <w:rsid w:val="005B3FE6"/>
    <w:rsid w:val="005B400D"/>
    <w:rsid w:val="005B469D"/>
    <w:rsid w:val="005B4AAB"/>
    <w:rsid w:val="005B4D49"/>
    <w:rsid w:val="005B4FEE"/>
    <w:rsid w:val="005B51A4"/>
    <w:rsid w:val="005B576C"/>
    <w:rsid w:val="005B5845"/>
    <w:rsid w:val="005B5920"/>
    <w:rsid w:val="005B5921"/>
    <w:rsid w:val="005B5973"/>
    <w:rsid w:val="005B5A61"/>
    <w:rsid w:val="005B5C81"/>
    <w:rsid w:val="005B5F66"/>
    <w:rsid w:val="005B62E9"/>
    <w:rsid w:val="005B6896"/>
    <w:rsid w:val="005B68F7"/>
    <w:rsid w:val="005B69EF"/>
    <w:rsid w:val="005B6B46"/>
    <w:rsid w:val="005B72BF"/>
    <w:rsid w:val="005B7469"/>
    <w:rsid w:val="005B76E9"/>
    <w:rsid w:val="005B77F5"/>
    <w:rsid w:val="005B7B34"/>
    <w:rsid w:val="005B7ECF"/>
    <w:rsid w:val="005C057E"/>
    <w:rsid w:val="005C07DC"/>
    <w:rsid w:val="005C0943"/>
    <w:rsid w:val="005C09F7"/>
    <w:rsid w:val="005C0AC6"/>
    <w:rsid w:val="005C0D9B"/>
    <w:rsid w:val="005C0EDA"/>
    <w:rsid w:val="005C14F8"/>
    <w:rsid w:val="005C19FD"/>
    <w:rsid w:val="005C1E84"/>
    <w:rsid w:val="005C1EE1"/>
    <w:rsid w:val="005C2157"/>
    <w:rsid w:val="005C2539"/>
    <w:rsid w:val="005C256A"/>
    <w:rsid w:val="005C275A"/>
    <w:rsid w:val="005C2915"/>
    <w:rsid w:val="005C2969"/>
    <w:rsid w:val="005C2C11"/>
    <w:rsid w:val="005C2CAF"/>
    <w:rsid w:val="005C2EE1"/>
    <w:rsid w:val="005C3029"/>
    <w:rsid w:val="005C35A5"/>
    <w:rsid w:val="005C391B"/>
    <w:rsid w:val="005C3C6F"/>
    <w:rsid w:val="005C3E08"/>
    <w:rsid w:val="005C4213"/>
    <w:rsid w:val="005C4666"/>
    <w:rsid w:val="005C4952"/>
    <w:rsid w:val="005C4B75"/>
    <w:rsid w:val="005C4BA6"/>
    <w:rsid w:val="005C5054"/>
    <w:rsid w:val="005C5078"/>
    <w:rsid w:val="005C5356"/>
    <w:rsid w:val="005C55ED"/>
    <w:rsid w:val="005C562C"/>
    <w:rsid w:val="005C5A31"/>
    <w:rsid w:val="005C5AF4"/>
    <w:rsid w:val="005C5EAD"/>
    <w:rsid w:val="005C62A5"/>
    <w:rsid w:val="005C641E"/>
    <w:rsid w:val="005C66B4"/>
    <w:rsid w:val="005C6F29"/>
    <w:rsid w:val="005C7005"/>
    <w:rsid w:val="005C7B3E"/>
    <w:rsid w:val="005C7FB2"/>
    <w:rsid w:val="005C7FEA"/>
    <w:rsid w:val="005D03B2"/>
    <w:rsid w:val="005D0499"/>
    <w:rsid w:val="005D05C2"/>
    <w:rsid w:val="005D080E"/>
    <w:rsid w:val="005D08AA"/>
    <w:rsid w:val="005D0B15"/>
    <w:rsid w:val="005D0BA9"/>
    <w:rsid w:val="005D11F0"/>
    <w:rsid w:val="005D1380"/>
    <w:rsid w:val="005D13EF"/>
    <w:rsid w:val="005D14CB"/>
    <w:rsid w:val="005D1610"/>
    <w:rsid w:val="005D16C4"/>
    <w:rsid w:val="005D1818"/>
    <w:rsid w:val="005D1D01"/>
    <w:rsid w:val="005D1DC4"/>
    <w:rsid w:val="005D1DF5"/>
    <w:rsid w:val="005D1F9A"/>
    <w:rsid w:val="005D2613"/>
    <w:rsid w:val="005D272E"/>
    <w:rsid w:val="005D29AD"/>
    <w:rsid w:val="005D316E"/>
    <w:rsid w:val="005D3280"/>
    <w:rsid w:val="005D3330"/>
    <w:rsid w:val="005D34F6"/>
    <w:rsid w:val="005D38D8"/>
    <w:rsid w:val="005D38E3"/>
    <w:rsid w:val="005D3C22"/>
    <w:rsid w:val="005D3D23"/>
    <w:rsid w:val="005D3D43"/>
    <w:rsid w:val="005D4137"/>
    <w:rsid w:val="005D4323"/>
    <w:rsid w:val="005D4545"/>
    <w:rsid w:val="005D46F1"/>
    <w:rsid w:val="005D4781"/>
    <w:rsid w:val="005D4862"/>
    <w:rsid w:val="005D4AA1"/>
    <w:rsid w:val="005D4C80"/>
    <w:rsid w:val="005D54B9"/>
    <w:rsid w:val="005D5657"/>
    <w:rsid w:val="005D57CF"/>
    <w:rsid w:val="005D588E"/>
    <w:rsid w:val="005D59A2"/>
    <w:rsid w:val="005D5C63"/>
    <w:rsid w:val="005D605F"/>
    <w:rsid w:val="005D68C0"/>
    <w:rsid w:val="005D6D4D"/>
    <w:rsid w:val="005D6F4E"/>
    <w:rsid w:val="005D6FB1"/>
    <w:rsid w:val="005D70B6"/>
    <w:rsid w:val="005D70D1"/>
    <w:rsid w:val="005D74E5"/>
    <w:rsid w:val="005D763F"/>
    <w:rsid w:val="005D79E4"/>
    <w:rsid w:val="005D7FF4"/>
    <w:rsid w:val="005E04AF"/>
    <w:rsid w:val="005E0655"/>
    <w:rsid w:val="005E06F7"/>
    <w:rsid w:val="005E071D"/>
    <w:rsid w:val="005E0B6B"/>
    <w:rsid w:val="005E0B7D"/>
    <w:rsid w:val="005E0C2A"/>
    <w:rsid w:val="005E0C59"/>
    <w:rsid w:val="005E0E6B"/>
    <w:rsid w:val="005E0E7F"/>
    <w:rsid w:val="005E110F"/>
    <w:rsid w:val="005E1253"/>
    <w:rsid w:val="005E1384"/>
    <w:rsid w:val="005E1A2D"/>
    <w:rsid w:val="005E1E56"/>
    <w:rsid w:val="005E1E82"/>
    <w:rsid w:val="005E1F2A"/>
    <w:rsid w:val="005E24DA"/>
    <w:rsid w:val="005E283C"/>
    <w:rsid w:val="005E2B57"/>
    <w:rsid w:val="005E2B60"/>
    <w:rsid w:val="005E2E00"/>
    <w:rsid w:val="005E3013"/>
    <w:rsid w:val="005E3053"/>
    <w:rsid w:val="005E313A"/>
    <w:rsid w:val="005E327F"/>
    <w:rsid w:val="005E37B9"/>
    <w:rsid w:val="005E3811"/>
    <w:rsid w:val="005E389C"/>
    <w:rsid w:val="005E38AE"/>
    <w:rsid w:val="005E391D"/>
    <w:rsid w:val="005E39F5"/>
    <w:rsid w:val="005E3A21"/>
    <w:rsid w:val="005E3DF2"/>
    <w:rsid w:val="005E4378"/>
    <w:rsid w:val="005E4736"/>
    <w:rsid w:val="005E4997"/>
    <w:rsid w:val="005E4A8A"/>
    <w:rsid w:val="005E4F6F"/>
    <w:rsid w:val="005E4FB1"/>
    <w:rsid w:val="005E51F8"/>
    <w:rsid w:val="005E556F"/>
    <w:rsid w:val="005E565D"/>
    <w:rsid w:val="005E57D0"/>
    <w:rsid w:val="005E57D7"/>
    <w:rsid w:val="005E5941"/>
    <w:rsid w:val="005E5A45"/>
    <w:rsid w:val="005E5A95"/>
    <w:rsid w:val="005E5B38"/>
    <w:rsid w:val="005E5E51"/>
    <w:rsid w:val="005E5F0D"/>
    <w:rsid w:val="005E5F16"/>
    <w:rsid w:val="005E6253"/>
    <w:rsid w:val="005E64B9"/>
    <w:rsid w:val="005E64CF"/>
    <w:rsid w:val="005E64DA"/>
    <w:rsid w:val="005E6797"/>
    <w:rsid w:val="005E685D"/>
    <w:rsid w:val="005E68DB"/>
    <w:rsid w:val="005E6D91"/>
    <w:rsid w:val="005E6DAE"/>
    <w:rsid w:val="005E7295"/>
    <w:rsid w:val="005E72D4"/>
    <w:rsid w:val="005E78AA"/>
    <w:rsid w:val="005E7947"/>
    <w:rsid w:val="005E79DE"/>
    <w:rsid w:val="005E7BB8"/>
    <w:rsid w:val="005E7DE1"/>
    <w:rsid w:val="005E7DF4"/>
    <w:rsid w:val="005F00AD"/>
    <w:rsid w:val="005F056C"/>
    <w:rsid w:val="005F0F57"/>
    <w:rsid w:val="005F10C2"/>
    <w:rsid w:val="005F19FE"/>
    <w:rsid w:val="005F1B01"/>
    <w:rsid w:val="005F1B73"/>
    <w:rsid w:val="005F1C93"/>
    <w:rsid w:val="005F1D60"/>
    <w:rsid w:val="005F1F05"/>
    <w:rsid w:val="005F1F86"/>
    <w:rsid w:val="005F26B3"/>
    <w:rsid w:val="005F2945"/>
    <w:rsid w:val="005F2C55"/>
    <w:rsid w:val="005F3016"/>
    <w:rsid w:val="005F3057"/>
    <w:rsid w:val="005F32DD"/>
    <w:rsid w:val="005F32E0"/>
    <w:rsid w:val="005F380E"/>
    <w:rsid w:val="005F38B4"/>
    <w:rsid w:val="005F38DE"/>
    <w:rsid w:val="005F3AD6"/>
    <w:rsid w:val="005F3ADF"/>
    <w:rsid w:val="005F3C4F"/>
    <w:rsid w:val="005F3FCD"/>
    <w:rsid w:val="005F43EA"/>
    <w:rsid w:val="005F481D"/>
    <w:rsid w:val="005F4C20"/>
    <w:rsid w:val="005F4D5C"/>
    <w:rsid w:val="005F4DF4"/>
    <w:rsid w:val="005F4E33"/>
    <w:rsid w:val="005F4E8D"/>
    <w:rsid w:val="005F4F29"/>
    <w:rsid w:val="005F50FE"/>
    <w:rsid w:val="005F5B9C"/>
    <w:rsid w:val="005F5DDE"/>
    <w:rsid w:val="005F5F9E"/>
    <w:rsid w:val="005F614A"/>
    <w:rsid w:val="005F65F0"/>
    <w:rsid w:val="005F666B"/>
    <w:rsid w:val="005F69A5"/>
    <w:rsid w:val="005F69AB"/>
    <w:rsid w:val="005F6A37"/>
    <w:rsid w:val="005F6B19"/>
    <w:rsid w:val="005F6BB1"/>
    <w:rsid w:val="005F6BC5"/>
    <w:rsid w:val="005F749A"/>
    <w:rsid w:val="005F7550"/>
    <w:rsid w:val="005F7637"/>
    <w:rsid w:val="005F78C7"/>
    <w:rsid w:val="005F7A12"/>
    <w:rsid w:val="005F7A65"/>
    <w:rsid w:val="005F7BC7"/>
    <w:rsid w:val="005F7EA6"/>
    <w:rsid w:val="005F7F28"/>
    <w:rsid w:val="00600009"/>
    <w:rsid w:val="00600103"/>
    <w:rsid w:val="00600239"/>
    <w:rsid w:val="00600355"/>
    <w:rsid w:val="00600840"/>
    <w:rsid w:val="00600A2C"/>
    <w:rsid w:val="00601011"/>
    <w:rsid w:val="006012D9"/>
    <w:rsid w:val="00601398"/>
    <w:rsid w:val="006016A5"/>
    <w:rsid w:val="006016B4"/>
    <w:rsid w:val="00601794"/>
    <w:rsid w:val="00601C90"/>
    <w:rsid w:val="006022DB"/>
    <w:rsid w:val="0060232C"/>
    <w:rsid w:val="0060240E"/>
    <w:rsid w:val="00602455"/>
    <w:rsid w:val="00602B16"/>
    <w:rsid w:val="00602C15"/>
    <w:rsid w:val="00602D85"/>
    <w:rsid w:val="00602F0B"/>
    <w:rsid w:val="006031AD"/>
    <w:rsid w:val="00603266"/>
    <w:rsid w:val="00603772"/>
    <w:rsid w:val="00603ACA"/>
    <w:rsid w:val="00603BAE"/>
    <w:rsid w:val="0060470B"/>
    <w:rsid w:val="006047AC"/>
    <w:rsid w:val="0060492C"/>
    <w:rsid w:val="00604CC6"/>
    <w:rsid w:val="00604FC9"/>
    <w:rsid w:val="006050B4"/>
    <w:rsid w:val="00605561"/>
    <w:rsid w:val="006055B9"/>
    <w:rsid w:val="006058BA"/>
    <w:rsid w:val="00605E54"/>
    <w:rsid w:val="00606311"/>
    <w:rsid w:val="00606834"/>
    <w:rsid w:val="00606867"/>
    <w:rsid w:val="006068CA"/>
    <w:rsid w:val="00606C28"/>
    <w:rsid w:val="00606E35"/>
    <w:rsid w:val="00607B8C"/>
    <w:rsid w:val="00607CEF"/>
    <w:rsid w:val="006102AC"/>
    <w:rsid w:val="00610647"/>
    <w:rsid w:val="00610916"/>
    <w:rsid w:val="00610945"/>
    <w:rsid w:val="00610F0B"/>
    <w:rsid w:val="0061107F"/>
    <w:rsid w:val="006110D5"/>
    <w:rsid w:val="006111D0"/>
    <w:rsid w:val="00611201"/>
    <w:rsid w:val="0061121D"/>
    <w:rsid w:val="00611456"/>
    <w:rsid w:val="006119D2"/>
    <w:rsid w:val="00611C47"/>
    <w:rsid w:val="00611CAC"/>
    <w:rsid w:val="00611F80"/>
    <w:rsid w:val="0061241C"/>
    <w:rsid w:val="00612861"/>
    <w:rsid w:val="006128BE"/>
    <w:rsid w:val="00612DD5"/>
    <w:rsid w:val="00612E10"/>
    <w:rsid w:val="00613012"/>
    <w:rsid w:val="006130EB"/>
    <w:rsid w:val="0061315B"/>
    <w:rsid w:val="00613527"/>
    <w:rsid w:val="0061358E"/>
    <w:rsid w:val="00613787"/>
    <w:rsid w:val="00613B6E"/>
    <w:rsid w:val="00613C07"/>
    <w:rsid w:val="006141C4"/>
    <w:rsid w:val="006142EB"/>
    <w:rsid w:val="00614523"/>
    <w:rsid w:val="006145E5"/>
    <w:rsid w:val="00614765"/>
    <w:rsid w:val="00614974"/>
    <w:rsid w:val="00614B04"/>
    <w:rsid w:val="00614C1F"/>
    <w:rsid w:val="0061546C"/>
    <w:rsid w:val="0061559B"/>
    <w:rsid w:val="006155E6"/>
    <w:rsid w:val="00615C47"/>
    <w:rsid w:val="00615CEC"/>
    <w:rsid w:val="00615E04"/>
    <w:rsid w:val="0061611E"/>
    <w:rsid w:val="0061659B"/>
    <w:rsid w:val="0061675A"/>
    <w:rsid w:val="00616CFF"/>
    <w:rsid w:val="006171E1"/>
    <w:rsid w:val="0061733F"/>
    <w:rsid w:val="00617555"/>
    <w:rsid w:val="00617671"/>
    <w:rsid w:val="00617827"/>
    <w:rsid w:val="00617B80"/>
    <w:rsid w:val="00617C0D"/>
    <w:rsid w:val="00617D82"/>
    <w:rsid w:val="00617EB8"/>
    <w:rsid w:val="00620069"/>
    <w:rsid w:val="0062032D"/>
    <w:rsid w:val="006205AB"/>
    <w:rsid w:val="006206CD"/>
    <w:rsid w:val="0062071B"/>
    <w:rsid w:val="00620AAE"/>
    <w:rsid w:val="00620AFC"/>
    <w:rsid w:val="00620B93"/>
    <w:rsid w:val="00620D7A"/>
    <w:rsid w:val="00621156"/>
    <w:rsid w:val="006212C4"/>
    <w:rsid w:val="0062169A"/>
    <w:rsid w:val="0062180D"/>
    <w:rsid w:val="00621BB9"/>
    <w:rsid w:val="00621C13"/>
    <w:rsid w:val="00621FEF"/>
    <w:rsid w:val="0062249D"/>
    <w:rsid w:val="006224EB"/>
    <w:rsid w:val="006228DB"/>
    <w:rsid w:val="006228EC"/>
    <w:rsid w:val="00622C70"/>
    <w:rsid w:val="00623751"/>
    <w:rsid w:val="00623A1F"/>
    <w:rsid w:val="00623AF7"/>
    <w:rsid w:val="00623B37"/>
    <w:rsid w:val="00623C5A"/>
    <w:rsid w:val="00623D09"/>
    <w:rsid w:val="00624006"/>
    <w:rsid w:val="00624170"/>
    <w:rsid w:val="006242B9"/>
    <w:rsid w:val="006244A2"/>
    <w:rsid w:val="00624588"/>
    <w:rsid w:val="00624932"/>
    <w:rsid w:val="00624A5F"/>
    <w:rsid w:val="00624C09"/>
    <w:rsid w:val="00624CC5"/>
    <w:rsid w:val="00624FD9"/>
    <w:rsid w:val="00625025"/>
    <w:rsid w:val="0062511D"/>
    <w:rsid w:val="00625199"/>
    <w:rsid w:val="006251D4"/>
    <w:rsid w:val="006252E0"/>
    <w:rsid w:val="0062570C"/>
    <w:rsid w:val="006258A0"/>
    <w:rsid w:val="006259F6"/>
    <w:rsid w:val="00625A6E"/>
    <w:rsid w:val="00625A93"/>
    <w:rsid w:val="00625B85"/>
    <w:rsid w:val="00625E40"/>
    <w:rsid w:val="00625F51"/>
    <w:rsid w:val="0062684F"/>
    <w:rsid w:val="00626967"/>
    <w:rsid w:val="00626CD8"/>
    <w:rsid w:val="00626DA4"/>
    <w:rsid w:val="006273CE"/>
    <w:rsid w:val="00630089"/>
    <w:rsid w:val="00630363"/>
    <w:rsid w:val="006304F6"/>
    <w:rsid w:val="00630524"/>
    <w:rsid w:val="006308BF"/>
    <w:rsid w:val="00630A9A"/>
    <w:rsid w:val="00630AC5"/>
    <w:rsid w:val="00630E9C"/>
    <w:rsid w:val="00630F3F"/>
    <w:rsid w:val="0063119C"/>
    <w:rsid w:val="00631681"/>
    <w:rsid w:val="00631EC8"/>
    <w:rsid w:val="00631FBB"/>
    <w:rsid w:val="00631FFE"/>
    <w:rsid w:val="0063226F"/>
    <w:rsid w:val="0063229D"/>
    <w:rsid w:val="0063232B"/>
    <w:rsid w:val="006324B3"/>
    <w:rsid w:val="00632646"/>
    <w:rsid w:val="006326DB"/>
    <w:rsid w:val="006329AE"/>
    <w:rsid w:val="006329BF"/>
    <w:rsid w:val="00632DCA"/>
    <w:rsid w:val="00632E6E"/>
    <w:rsid w:val="0063306C"/>
    <w:rsid w:val="00633092"/>
    <w:rsid w:val="006332F2"/>
    <w:rsid w:val="00633720"/>
    <w:rsid w:val="0063375F"/>
    <w:rsid w:val="006341FD"/>
    <w:rsid w:val="00634306"/>
    <w:rsid w:val="00634ACE"/>
    <w:rsid w:val="00634B2D"/>
    <w:rsid w:val="00634E67"/>
    <w:rsid w:val="00635050"/>
    <w:rsid w:val="006351F9"/>
    <w:rsid w:val="006357DB"/>
    <w:rsid w:val="006358DB"/>
    <w:rsid w:val="00635938"/>
    <w:rsid w:val="00636038"/>
    <w:rsid w:val="006363F8"/>
    <w:rsid w:val="00636475"/>
    <w:rsid w:val="00636845"/>
    <w:rsid w:val="00636B3B"/>
    <w:rsid w:val="0063723B"/>
    <w:rsid w:val="00637634"/>
    <w:rsid w:val="00637F02"/>
    <w:rsid w:val="00637FE8"/>
    <w:rsid w:val="00640027"/>
    <w:rsid w:val="0064020A"/>
    <w:rsid w:val="006403F0"/>
    <w:rsid w:val="0064060E"/>
    <w:rsid w:val="00640866"/>
    <w:rsid w:val="00640C10"/>
    <w:rsid w:val="00640D93"/>
    <w:rsid w:val="00640F6C"/>
    <w:rsid w:val="0064158C"/>
    <w:rsid w:val="006415B0"/>
    <w:rsid w:val="006415B5"/>
    <w:rsid w:val="0064187E"/>
    <w:rsid w:val="00641BEA"/>
    <w:rsid w:val="00641D01"/>
    <w:rsid w:val="00642376"/>
    <w:rsid w:val="006426FD"/>
    <w:rsid w:val="00642901"/>
    <w:rsid w:val="00642B4E"/>
    <w:rsid w:val="00642BF4"/>
    <w:rsid w:val="00642DD0"/>
    <w:rsid w:val="006433D8"/>
    <w:rsid w:val="00643428"/>
    <w:rsid w:val="0064355B"/>
    <w:rsid w:val="00643AC3"/>
    <w:rsid w:val="00643C2D"/>
    <w:rsid w:val="00643D10"/>
    <w:rsid w:val="0064413D"/>
    <w:rsid w:val="00644381"/>
    <w:rsid w:val="006444C3"/>
    <w:rsid w:val="00644C96"/>
    <w:rsid w:val="00644D24"/>
    <w:rsid w:val="006450EE"/>
    <w:rsid w:val="006451FB"/>
    <w:rsid w:val="00645A41"/>
    <w:rsid w:val="00645D2E"/>
    <w:rsid w:val="00645E1E"/>
    <w:rsid w:val="00646725"/>
    <w:rsid w:val="00646833"/>
    <w:rsid w:val="00646A49"/>
    <w:rsid w:val="00646BD8"/>
    <w:rsid w:val="00646C3E"/>
    <w:rsid w:val="00646EAD"/>
    <w:rsid w:val="00647322"/>
    <w:rsid w:val="00647484"/>
    <w:rsid w:val="006504D7"/>
    <w:rsid w:val="006505D6"/>
    <w:rsid w:val="00650D95"/>
    <w:rsid w:val="00650FAB"/>
    <w:rsid w:val="00651000"/>
    <w:rsid w:val="006510A8"/>
    <w:rsid w:val="006511FC"/>
    <w:rsid w:val="00651375"/>
    <w:rsid w:val="006515D3"/>
    <w:rsid w:val="006519A2"/>
    <w:rsid w:val="00651B5B"/>
    <w:rsid w:val="00651E00"/>
    <w:rsid w:val="006520F8"/>
    <w:rsid w:val="0065278A"/>
    <w:rsid w:val="0065294D"/>
    <w:rsid w:val="006529C0"/>
    <w:rsid w:val="00652AEB"/>
    <w:rsid w:val="00652B9E"/>
    <w:rsid w:val="00652CBF"/>
    <w:rsid w:val="00652F09"/>
    <w:rsid w:val="006533CE"/>
    <w:rsid w:val="00653A7E"/>
    <w:rsid w:val="00653AE6"/>
    <w:rsid w:val="00653F83"/>
    <w:rsid w:val="0065475B"/>
    <w:rsid w:val="00654DCC"/>
    <w:rsid w:val="0065558A"/>
    <w:rsid w:val="00655655"/>
    <w:rsid w:val="00655701"/>
    <w:rsid w:val="00655BB3"/>
    <w:rsid w:val="006563AE"/>
    <w:rsid w:val="00656498"/>
    <w:rsid w:val="0065698C"/>
    <w:rsid w:val="00656EAC"/>
    <w:rsid w:val="00656FE2"/>
    <w:rsid w:val="0065743C"/>
    <w:rsid w:val="00657669"/>
    <w:rsid w:val="00657C4D"/>
    <w:rsid w:val="0066007F"/>
    <w:rsid w:val="006602CB"/>
    <w:rsid w:val="00660373"/>
    <w:rsid w:val="00660428"/>
    <w:rsid w:val="0066045F"/>
    <w:rsid w:val="00660B8A"/>
    <w:rsid w:val="00660DDB"/>
    <w:rsid w:val="00660E5D"/>
    <w:rsid w:val="00661611"/>
    <w:rsid w:val="00661628"/>
    <w:rsid w:val="006616B5"/>
    <w:rsid w:val="00661809"/>
    <w:rsid w:val="00661897"/>
    <w:rsid w:val="00661DD4"/>
    <w:rsid w:val="00661EDB"/>
    <w:rsid w:val="006621A9"/>
    <w:rsid w:val="0066229C"/>
    <w:rsid w:val="0066244F"/>
    <w:rsid w:val="00662493"/>
    <w:rsid w:val="0066273A"/>
    <w:rsid w:val="00662D78"/>
    <w:rsid w:val="00663000"/>
    <w:rsid w:val="006634A6"/>
    <w:rsid w:val="0066354A"/>
    <w:rsid w:val="0066365F"/>
    <w:rsid w:val="00663D73"/>
    <w:rsid w:val="00663DAF"/>
    <w:rsid w:val="006641D7"/>
    <w:rsid w:val="00664309"/>
    <w:rsid w:val="006643B9"/>
    <w:rsid w:val="00664993"/>
    <w:rsid w:val="00664A89"/>
    <w:rsid w:val="006652F8"/>
    <w:rsid w:val="006655DA"/>
    <w:rsid w:val="00665717"/>
    <w:rsid w:val="00665836"/>
    <w:rsid w:val="00665DF5"/>
    <w:rsid w:val="00666013"/>
    <w:rsid w:val="0066639B"/>
    <w:rsid w:val="006663FD"/>
    <w:rsid w:val="00666406"/>
    <w:rsid w:val="00666623"/>
    <w:rsid w:val="006667D5"/>
    <w:rsid w:val="00666BDC"/>
    <w:rsid w:val="00667B74"/>
    <w:rsid w:val="00667BC0"/>
    <w:rsid w:val="00667C47"/>
    <w:rsid w:val="00667D7B"/>
    <w:rsid w:val="00667DCE"/>
    <w:rsid w:val="00667F14"/>
    <w:rsid w:val="0067012D"/>
    <w:rsid w:val="0067014E"/>
    <w:rsid w:val="00670FAC"/>
    <w:rsid w:val="00670FF3"/>
    <w:rsid w:val="006711E4"/>
    <w:rsid w:val="006716E8"/>
    <w:rsid w:val="0067178C"/>
    <w:rsid w:val="00671B08"/>
    <w:rsid w:val="00671B4D"/>
    <w:rsid w:val="00671CE8"/>
    <w:rsid w:val="0067237C"/>
    <w:rsid w:val="006724FC"/>
    <w:rsid w:val="00672605"/>
    <w:rsid w:val="006729B4"/>
    <w:rsid w:val="00672A24"/>
    <w:rsid w:val="00672BC1"/>
    <w:rsid w:val="00672C24"/>
    <w:rsid w:val="00672C2B"/>
    <w:rsid w:val="00672DD9"/>
    <w:rsid w:val="00672DDC"/>
    <w:rsid w:val="0067303D"/>
    <w:rsid w:val="00673211"/>
    <w:rsid w:val="0067389A"/>
    <w:rsid w:val="00673D7E"/>
    <w:rsid w:val="00674B9B"/>
    <w:rsid w:val="00674C01"/>
    <w:rsid w:val="00674F4D"/>
    <w:rsid w:val="00675094"/>
    <w:rsid w:val="006750FA"/>
    <w:rsid w:val="0067522D"/>
    <w:rsid w:val="00675418"/>
    <w:rsid w:val="00675C16"/>
    <w:rsid w:val="00675C3E"/>
    <w:rsid w:val="00676171"/>
    <w:rsid w:val="0067631C"/>
    <w:rsid w:val="00676554"/>
    <w:rsid w:val="00676576"/>
    <w:rsid w:val="0067693A"/>
    <w:rsid w:val="0067697B"/>
    <w:rsid w:val="00676996"/>
    <w:rsid w:val="0067759F"/>
    <w:rsid w:val="0067760D"/>
    <w:rsid w:val="006778C3"/>
    <w:rsid w:val="00677B5C"/>
    <w:rsid w:val="00680178"/>
    <w:rsid w:val="0068037A"/>
    <w:rsid w:val="0068062A"/>
    <w:rsid w:val="00680639"/>
    <w:rsid w:val="006809B1"/>
    <w:rsid w:val="00680BDD"/>
    <w:rsid w:val="00680D24"/>
    <w:rsid w:val="0068116A"/>
    <w:rsid w:val="0068126E"/>
    <w:rsid w:val="00681660"/>
    <w:rsid w:val="0068166E"/>
    <w:rsid w:val="00681794"/>
    <w:rsid w:val="00681BAF"/>
    <w:rsid w:val="00681CB6"/>
    <w:rsid w:val="00681DD1"/>
    <w:rsid w:val="00681EE4"/>
    <w:rsid w:val="00681F37"/>
    <w:rsid w:val="00682150"/>
    <w:rsid w:val="006821E5"/>
    <w:rsid w:val="00682A1E"/>
    <w:rsid w:val="00682CF3"/>
    <w:rsid w:val="00682F73"/>
    <w:rsid w:val="0068312E"/>
    <w:rsid w:val="006833D1"/>
    <w:rsid w:val="006833FF"/>
    <w:rsid w:val="006835D0"/>
    <w:rsid w:val="0068378F"/>
    <w:rsid w:val="00683BCC"/>
    <w:rsid w:val="00683E81"/>
    <w:rsid w:val="0068416B"/>
    <w:rsid w:val="006842C2"/>
    <w:rsid w:val="006843FC"/>
    <w:rsid w:val="006847BF"/>
    <w:rsid w:val="006847ED"/>
    <w:rsid w:val="00684DAE"/>
    <w:rsid w:val="0068514C"/>
    <w:rsid w:val="006854B1"/>
    <w:rsid w:val="00685AAA"/>
    <w:rsid w:val="00685D74"/>
    <w:rsid w:val="00685DE6"/>
    <w:rsid w:val="0068601B"/>
    <w:rsid w:val="0068602E"/>
    <w:rsid w:val="00686150"/>
    <w:rsid w:val="00686162"/>
    <w:rsid w:val="006861DD"/>
    <w:rsid w:val="00686563"/>
    <w:rsid w:val="00686ACC"/>
    <w:rsid w:val="00686D6B"/>
    <w:rsid w:val="006871D1"/>
    <w:rsid w:val="0068758D"/>
    <w:rsid w:val="0068767B"/>
    <w:rsid w:val="006879BF"/>
    <w:rsid w:val="00687A7E"/>
    <w:rsid w:val="00687AA6"/>
    <w:rsid w:val="00687C02"/>
    <w:rsid w:val="00687C06"/>
    <w:rsid w:val="00687C51"/>
    <w:rsid w:val="00687E0B"/>
    <w:rsid w:val="00690171"/>
    <w:rsid w:val="006902FD"/>
    <w:rsid w:val="006903A6"/>
    <w:rsid w:val="006906C1"/>
    <w:rsid w:val="006907C7"/>
    <w:rsid w:val="00690836"/>
    <w:rsid w:val="0069083B"/>
    <w:rsid w:val="006909A5"/>
    <w:rsid w:val="006909C1"/>
    <w:rsid w:val="00690B90"/>
    <w:rsid w:val="00690DE6"/>
    <w:rsid w:val="00690DEE"/>
    <w:rsid w:val="0069106C"/>
    <w:rsid w:val="006910DE"/>
    <w:rsid w:val="0069116C"/>
    <w:rsid w:val="0069198C"/>
    <w:rsid w:val="00691A21"/>
    <w:rsid w:val="00691C0F"/>
    <w:rsid w:val="0069202F"/>
    <w:rsid w:val="00692044"/>
    <w:rsid w:val="00692086"/>
    <w:rsid w:val="00692093"/>
    <w:rsid w:val="0069240F"/>
    <w:rsid w:val="006928BB"/>
    <w:rsid w:val="00692BF6"/>
    <w:rsid w:val="00692D85"/>
    <w:rsid w:val="00692E80"/>
    <w:rsid w:val="006930DC"/>
    <w:rsid w:val="00693212"/>
    <w:rsid w:val="0069338E"/>
    <w:rsid w:val="0069356D"/>
    <w:rsid w:val="00693C29"/>
    <w:rsid w:val="00693DB0"/>
    <w:rsid w:val="006942B5"/>
    <w:rsid w:val="00694521"/>
    <w:rsid w:val="00694B86"/>
    <w:rsid w:val="00694BE3"/>
    <w:rsid w:val="00694CA5"/>
    <w:rsid w:val="00694D8B"/>
    <w:rsid w:val="00694F58"/>
    <w:rsid w:val="00694F67"/>
    <w:rsid w:val="0069541B"/>
    <w:rsid w:val="006954F2"/>
    <w:rsid w:val="0069579D"/>
    <w:rsid w:val="00695C71"/>
    <w:rsid w:val="0069626D"/>
    <w:rsid w:val="0069639C"/>
    <w:rsid w:val="0069644E"/>
    <w:rsid w:val="0069655C"/>
    <w:rsid w:val="00696A2E"/>
    <w:rsid w:val="00696A94"/>
    <w:rsid w:val="00696B9A"/>
    <w:rsid w:val="00696BAB"/>
    <w:rsid w:val="00696F44"/>
    <w:rsid w:val="006976EB"/>
    <w:rsid w:val="00697C21"/>
    <w:rsid w:val="00697D35"/>
    <w:rsid w:val="006A05F5"/>
    <w:rsid w:val="006A07EB"/>
    <w:rsid w:val="006A09E1"/>
    <w:rsid w:val="006A16DC"/>
    <w:rsid w:val="006A1AD5"/>
    <w:rsid w:val="006A1E8B"/>
    <w:rsid w:val="006A2AD3"/>
    <w:rsid w:val="006A2AFC"/>
    <w:rsid w:val="006A2D44"/>
    <w:rsid w:val="006A2D9F"/>
    <w:rsid w:val="006A3539"/>
    <w:rsid w:val="006A366E"/>
    <w:rsid w:val="006A3971"/>
    <w:rsid w:val="006A39B0"/>
    <w:rsid w:val="006A39F1"/>
    <w:rsid w:val="006A3C1F"/>
    <w:rsid w:val="006A3D27"/>
    <w:rsid w:val="006A3E28"/>
    <w:rsid w:val="006A3E7B"/>
    <w:rsid w:val="006A3F43"/>
    <w:rsid w:val="006A4594"/>
    <w:rsid w:val="006A4641"/>
    <w:rsid w:val="006A49A2"/>
    <w:rsid w:val="006A4FA8"/>
    <w:rsid w:val="006A5348"/>
    <w:rsid w:val="006A5416"/>
    <w:rsid w:val="006A5460"/>
    <w:rsid w:val="006A577C"/>
    <w:rsid w:val="006A5F9B"/>
    <w:rsid w:val="006A64C7"/>
    <w:rsid w:val="006A698A"/>
    <w:rsid w:val="006A6B84"/>
    <w:rsid w:val="006A6C18"/>
    <w:rsid w:val="006A6D65"/>
    <w:rsid w:val="006A6DE8"/>
    <w:rsid w:val="006A6EF8"/>
    <w:rsid w:val="006A742B"/>
    <w:rsid w:val="006A7584"/>
    <w:rsid w:val="006A7981"/>
    <w:rsid w:val="006A7BEA"/>
    <w:rsid w:val="006A7DD1"/>
    <w:rsid w:val="006B005F"/>
    <w:rsid w:val="006B00DE"/>
    <w:rsid w:val="006B0247"/>
    <w:rsid w:val="006B052A"/>
    <w:rsid w:val="006B0711"/>
    <w:rsid w:val="006B08BD"/>
    <w:rsid w:val="006B0F33"/>
    <w:rsid w:val="006B1049"/>
    <w:rsid w:val="006B12B6"/>
    <w:rsid w:val="006B13BA"/>
    <w:rsid w:val="006B1448"/>
    <w:rsid w:val="006B1630"/>
    <w:rsid w:val="006B208F"/>
    <w:rsid w:val="006B209A"/>
    <w:rsid w:val="006B216C"/>
    <w:rsid w:val="006B228B"/>
    <w:rsid w:val="006B2426"/>
    <w:rsid w:val="006B25CA"/>
    <w:rsid w:val="006B276F"/>
    <w:rsid w:val="006B2CA7"/>
    <w:rsid w:val="006B318A"/>
    <w:rsid w:val="006B338E"/>
    <w:rsid w:val="006B3589"/>
    <w:rsid w:val="006B3695"/>
    <w:rsid w:val="006B372B"/>
    <w:rsid w:val="006B3970"/>
    <w:rsid w:val="006B3A2E"/>
    <w:rsid w:val="006B3AE3"/>
    <w:rsid w:val="006B3D2D"/>
    <w:rsid w:val="006B3EEF"/>
    <w:rsid w:val="006B3F23"/>
    <w:rsid w:val="006B41AC"/>
    <w:rsid w:val="006B433D"/>
    <w:rsid w:val="006B4AA5"/>
    <w:rsid w:val="006B4CA9"/>
    <w:rsid w:val="006B4D80"/>
    <w:rsid w:val="006B513A"/>
    <w:rsid w:val="006B52E3"/>
    <w:rsid w:val="006B5419"/>
    <w:rsid w:val="006B5544"/>
    <w:rsid w:val="006B577C"/>
    <w:rsid w:val="006B5B0B"/>
    <w:rsid w:val="006B601A"/>
    <w:rsid w:val="006B6354"/>
    <w:rsid w:val="006B6465"/>
    <w:rsid w:val="006B6468"/>
    <w:rsid w:val="006B6674"/>
    <w:rsid w:val="006B6B9E"/>
    <w:rsid w:val="006B6C09"/>
    <w:rsid w:val="006B6DE8"/>
    <w:rsid w:val="006B6FCF"/>
    <w:rsid w:val="006B70FE"/>
    <w:rsid w:val="006B7886"/>
    <w:rsid w:val="006B792D"/>
    <w:rsid w:val="006B7B56"/>
    <w:rsid w:val="006B7EED"/>
    <w:rsid w:val="006C0246"/>
    <w:rsid w:val="006C029B"/>
    <w:rsid w:val="006C089D"/>
    <w:rsid w:val="006C0C8D"/>
    <w:rsid w:val="006C0EEC"/>
    <w:rsid w:val="006C10B7"/>
    <w:rsid w:val="006C13BF"/>
    <w:rsid w:val="006C1593"/>
    <w:rsid w:val="006C16A4"/>
    <w:rsid w:val="006C195C"/>
    <w:rsid w:val="006C1AEF"/>
    <w:rsid w:val="006C2121"/>
    <w:rsid w:val="006C2197"/>
    <w:rsid w:val="006C23BE"/>
    <w:rsid w:val="006C276C"/>
    <w:rsid w:val="006C2D21"/>
    <w:rsid w:val="006C2D8A"/>
    <w:rsid w:val="006C2EE9"/>
    <w:rsid w:val="006C3116"/>
    <w:rsid w:val="006C3262"/>
    <w:rsid w:val="006C3886"/>
    <w:rsid w:val="006C38B2"/>
    <w:rsid w:val="006C3E18"/>
    <w:rsid w:val="006C3EC5"/>
    <w:rsid w:val="006C47B2"/>
    <w:rsid w:val="006C483A"/>
    <w:rsid w:val="006C5496"/>
    <w:rsid w:val="006C5607"/>
    <w:rsid w:val="006C5896"/>
    <w:rsid w:val="006C5C6A"/>
    <w:rsid w:val="006C5D02"/>
    <w:rsid w:val="006C62E5"/>
    <w:rsid w:val="006C6460"/>
    <w:rsid w:val="006C6503"/>
    <w:rsid w:val="006C6921"/>
    <w:rsid w:val="006C6949"/>
    <w:rsid w:val="006C69F4"/>
    <w:rsid w:val="006C6CBC"/>
    <w:rsid w:val="006C6F3A"/>
    <w:rsid w:val="006C6F72"/>
    <w:rsid w:val="006C7289"/>
    <w:rsid w:val="006C7454"/>
    <w:rsid w:val="006C760C"/>
    <w:rsid w:val="006C7A0A"/>
    <w:rsid w:val="006C7AC3"/>
    <w:rsid w:val="006C7D77"/>
    <w:rsid w:val="006D0011"/>
    <w:rsid w:val="006D0306"/>
    <w:rsid w:val="006D0398"/>
    <w:rsid w:val="006D054B"/>
    <w:rsid w:val="006D067E"/>
    <w:rsid w:val="006D088B"/>
    <w:rsid w:val="006D092C"/>
    <w:rsid w:val="006D0D24"/>
    <w:rsid w:val="006D0D28"/>
    <w:rsid w:val="006D0D54"/>
    <w:rsid w:val="006D124D"/>
    <w:rsid w:val="006D135D"/>
    <w:rsid w:val="006D1873"/>
    <w:rsid w:val="006D1C7C"/>
    <w:rsid w:val="006D1CEC"/>
    <w:rsid w:val="006D1E6E"/>
    <w:rsid w:val="006D1F92"/>
    <w:rsid w:val="006D23A2"/>
    <w:rsid w:val="006D23A9"/>
    <w:rsid w:val="006D2469"/>
    <w:rsid w:val="006D2551"/>
    <w:rsid w:val="006D275C"/>
    <w:rsid w:val="006D2AB1"/>
    <w:rsid w:val="006D2C1D"/>
    <w:rsid w:val="006D2DE7"/>
    <w:rsid w:val="006D2E28"/>
    <w:rsid w:val="006D2EA7"/>
    <w:rsid w:val="006D31D6"/>
    <w:rsid w:val="006D3240"/>
    <w:rsid w:val="006D3566"/>
    <w:rsid w:val="006D35F7"/>
    <w:rsid w:val="006D39EB"/>
    <w:rsid w:val="006D3AA6"/>
    <w:rsid w:val="006D436F"/>
    <w:rsid w:val="006D4411"/>
    <w:rsid w:val="006D469C"/>
    <w:rsid w:val="006D475D"/>
    <w:rsid w:val="006D4803"/>
    <w:rsid w:val="006D4820"/>
    <w:rsid w:val="006D4A5E"/>
    <w:rsid w:val="006D4F16"/>
    <w:rsid w:val="006D4F30"/>
    <w:rsid w:val="006D5168"/>
    <w:rsid w:val="006D52EC"/>
    <w:rsid w:val="006D54B6"/>
    <w:rsid w:val="006D5746"/>
    <w:rsid w:val="006D5A45"/>
    <w:rsid w:val="006D6089"/>
    <w:rsid w:val="006D62AF"/>
    <w:rsid w:val="006D6534"/>
    <w:rsid w:val="006D6763"/>
    <w:rsid w:val="006D6AA2"/>
    <w:rsid w:val="006D6C20"/>
    <w:rsid w:val="006D6C4B"/>
    <w:rsid w:val="006D6CDB"/>
    <w:rsid w:val="006D7030"/>
    <w:rsid w:val="006D7231"/>
    <w:rsid w:val="006D73A7"/>
    <w:rsid w:val="006D765B"/>
    <w:rsid w:val="006D76FE"/>
    <w:rsid w:val="006D7AD7"/>
    <w:rsid w:val="006D7B97"/>
    <w:rsid w:val="006D7DDD"/>
    <w:rsid w:val="006E0178"/>
    <w:rsid w:val="006E01E1"/>
    <w:rsid w:val="006E0571"/>
    <w:rsid w:val="006E0912"/>
    <w:rsid w:val="006E0C80"/>
    <w:rsid w:val="006E0ED1"/>
    <w:rsid w:val="006E0F63"/>
    <w:rsid w:val="006E117C"/>
    <w:rsid w:val="006E13A7"/>
    <w:rsid w:val="006E18CC"/>
    <w:rsid w:val="006E1AAC"/>
    <w:rsid w:val="006E1B21"/>
    <w:rsid w:val="006E268F"/>
    <w:rsid w:val="006E289B"/>
    <w:rsid w:val="006E28C4"/>
    <w:rsid w:val="006E2EC6"/>
    <w:rsid w:val="006E2EEC"/>
    <w:rsid w:val="006E30CE"/>
    <w:rsid w:val="006E3AD2"/>
    <w:rsid w:val="006E3D52"/>
    <w:rsid w:val="006E3D79"/>
    <w:rsid w:val="006E3F32"/>
    <w:rsid w:val="006E47CC"/>
    <w:rsid w:val="006E4988"/>
    <w:rsid w:val="006E4BA2"/>
    <w:rsid w:val="006E4C69"/>
    <w:rsid w:val="006E5527"/>
    <w:rsid w:val="006E559B"/>
    <w:rsid w:val="006E55E0"/>
    <w:rsid w:val="006E582B"/>
    <w:rsid w:val="006E5CAE"/>
    <w:rsid w:val="006E61E4"/>
    <w:rsid w:val="006E66CC"/>
    <w:rsid w:val="006E6CD7"/>
    <w:rsid w:val="006E6FC0"/>
    <w:rsid w:val="006E7167"/>
    <w:rsid w:val="006E7253"/>
    <w:rsid w:val="006E72FA"/>
    <w:rsid w:val="006E79DF"/>
    <w:rsid w:val="006E7B22"/>
    <w:rsid w:val="006E7E5A"/>
    <w:rsid w:val="006E7EBB"/>
    <w:rsid w:val="006E7EF7"/>
    <w:rsid w:val="006F0697"/>
    <w:rsid w:val="006F0D4D"/>
    <w:rsid w:val="006F0D8B"/>
    <w:rsid w:val="006F107A"/>
    <w:rsid w:val="006F1431"/>
    <w:rsid w:val="006F1679"/>
    <w:rsid w:val="006F16FF"/>
    <w:rsid w:val="006F1A7F"/>
    <w:rsid w:val="006F1BB2"/>
    <w:rsid w:val="006F23AB"/>
    <w:rsid w:val="006F2671"/>
    <w:rsid w:val="006F26B5"/>
    <w:rsid w:val="006F270B"/>
    <w:rsid w:val="006F2749"/>
    <w:rsid w:val="006F27B8"/>
    <w:rsid w:val="006F2877"/>
    <w:rsid w:val="006F28A5"/>
    <w:rsid w:val="006F297A"/>
    <w:rsid w:val="006F2A01"/>
    <w:rsid w:val="006F2A4B"/>
    <w:rsid w:val="006F3D65"/>
    <w:rsid w:val="006F3DA7"/>
    <w:rsid w:val="006F3E10"/>
    <w:rsid w:val="006F3E28"/>
    <w:rsid w:val="006F3EA7"/>
    <w:rsid w:val="006F428B"/>
    <w:rsid w:val="006F456A"/>
    <w:rsid w:val="006F459C"/>
    <w:rsid w:val="006F49CB"/>
    <w:rsid w:val="006F4B48"/>
    <w:rsid w:val="006F4DA9"/>
    <w:rsid w:val="006F4F6C"/>
    <w:rsid w:val="006F4FD0"/>
    <w:rsid w:val="006F53FC"/>
    <w:rsid w:val="006F55BB"/>
    <w:rsid w:val="006F58EC"/>
    <w:rsid w:val="006F5B8D"/>
    <w:rsid w:val="006F72BD"/>
    <w:rsid w:val="006F7683"/>
    <w:rsid w:val="006F79F5"/>
    <w:rsid w:val="006F7A52"/>
    <w:rsid w:val="006F7A5B"/>
    <w:rsid w:val="006F7BFE"/>
    <w:rsid w:val="006F7D68"/>
    <w:rsid w:val="006F7DB9"/>
    <w:rsid w:val="00700049"/>
    <w:rsid w:val="00700279"/>
    <w:rsid w:val="007005D6"/>
    <w:rsid w:val="00700728"/>
    <w:rsid w:val="00700E93"/>
    <w:rsid w:val="00700F11"/>
    <w:rsid w:val="0070109E"/>
    <w:rsid w:val="00701327"/>
    <w:rsid w:val="00701533"/>
    <w:rsid w:val="00701BAA"/>
    <w:rsid w:val="00701F7C"/>
    <w:rsid w:val="0070253A"/>
    <w:rsid w:val="00702686"/>
    <w:rsid w:val="00702BDF"/>
    <w:rsid w:val="00702C09"/>
    <w:rsid w:val="0070307A"/>
    <w:rsid w:val="00703164"/>
    <w:rsid w:val="00703399"/>
    <w:rsid w:val="00703950"/>
    <w:rsid w:val="00703BC3"/>
    <w:rsid w:val="00703E39"/>
    <w:rsid w:val="00703F3A"/>
    <w:rsid w:val="00704680"/>
    <w:rsid w:val="0070469B"/>
    <w:rsid w:val="00704BA0"/>
    <w:rsid w:val="00704E1D"/>
    <w:rsid w:val="00704FE6"/>
    <w:rsid w:val="00705247"/>
    <w:rsid w:val="007052BF"/>
    <w:rsid w:val="007059D0"/>
    <w:rsid w:val="00705E72"/>
    <w:rsid w:val="00705F35"/>
    <w:rsid w:val="00705F5C"/>
    <w:rsid w:val="00706143"/>
    <w:rsid w:val="00706356"/>
    <w:rsid w:val="00706586"/>
    <w:rsid w:val="00706866"/>
    <w:rsid w:val="00706BDA"/>
    <w:rsid w:val="00707091"/>
    <w:rsid w:val="00707100"/>
    <w:rsid w:val="0070711B"/>
    <w:rsid w:val="007075C4"/>
    <w:rsid w:val="00707604"/>
    <w:rsid w:val="007077EB"/>
    <w:rsid w:val="0070785B"/>
    <w:rsid w:val="00707997"/>
    <w:rsid w:val="00707BDD"/>
    <w:rsid w:val="00707C31"/>
    <w:rsid w:val="00707CF3"/>
    <w:rsid w:val="00707DA0"/>
    <w:rsid w:val="00707E8D"/>
    <w:rsid w:val="00707EAC"/>
    <w:rsid w:val="00707F24"/>
    <w:rsid w:val="00710020"/>
    <w:rsid w:val="007103B8"/>
    <w:rsid w:val="007105DA"/>
    <w:rsid w:val="00710683"/>
    <w:rsid w:val="007107C2"/>
    <w:rsid w:val="00710AEC"/>
    <w:rsid w:val="00710E00"/>
    <w:rsid w:val="00711363"/>
    <w:rsid w:val="007114EC"/>
    <w:rsid w:val="007115A6"/>
    <w:rsid w:val="007115BA"/>
    <w:rsid w:val="0071164A"/>
    <w:rsid w:val="00711B03"/>
    <w:rsid w:val="00711FFF"/>
    <w:rsid w:val="007126C0"/>
    <w:rsid w:val="00712855"/>
    <w:rsid w:val="007129D2"/>
    <w:rsid w:val="00712B03"/>
    <w:rsid w:val="00712DEC"/>
    <w:rsid w:val="00713051"/>
    <w:rsid w:val="0071320A"/>
    <w:rsid w:val="00713350"/>
    <w:rsid w:val="00713CF4"/>
    <w:rsid w:val="0071417B"/>
    <w:rsid w:val="00714491"/>
    <w:rsid w:val="007145A9"/>
    <w:rsid w:val="00714631"/>
    <w:rsid w:val="00714863"/>
    <w:rsid w:val="00714C14"/>
    <w:rsid w:val="00714CE1"/>
    <w:rsid w:val="00714D6F"/>
    <w:rsid w:val="00714DBA"/>
    <w:rsid w:val="0071558B"/>
    <w:rsid w:val="00715675"/>
    <w:rsid w:val="00715A88"/>
    <w:rsid w:val="00715D7C"/>
    <w:rsid w:val="00716629"/>
    <w:rsid w:val="007170E6"/>
    <w:rsid w:val="0071712D"/>
    <w:rsid w:val="0071723F"/>
    <w:rsid w:val="007176CF"/>
    <w:rsid w:val="00717E21"/>
    <w:rsid w:val="0072043A"/>
    <w:rsid w:val="007205EA"/>
    <w:rsid w:val="00720683"/>
    <w:rsid w:val="00720881"/>
    <w:rsid w:val="00720983"/>
    <w:rsid w:val="00720A59"/>
    <w:rsid w:val="00720A6C"/>
    <w:rsid w:val="00720CD5"/>
    <w:rsid w:val="00720ECA"/>
    <w:rsid w:val="00720F60"/>
    <w:rsid w:val="00720F91"/>
    <w:rsid w:val="00721541"/>
    <w:rsid w:val="007217F0"/>
    <w:rsid w:val="00721BEC"/>
    <w:rsid w:val="00721C21"/>
    <w:rsid w:val="00721E18"/>
    <w:rsid w:val="00721F82"/>
    <w:rsid w:val="007222A2"/>
    <w:rsid w:val="007222A6"/>
    <w:rsid w:val="0072249B"/>
    <w:rsid w:val="007228D7"/>
    <w:rsid w:val="007231BE"/>
    <w:rsid w:val="0072323F"/>
    <w:rsid w:val="007232C5"/>
    <w:rsid w:val="007232E3"/>
    <w:rsid w:val="0072334B"/>
    <w:rsid w:val="007233A8"/>
    <w:rsid w:val="007233E9"/>
    <w:rsid w:val="007235C2"/>
    <w:rsid w:val="007236E5"/>
    <w:rsid w:val="00723834"/>
    <w:rsid w:val="00723951"/>
    <w:rsid w:val="007239E8"/>
    <w:rsid w:val="00723ECE"/>
    <w:rsid w:val="00723F25"/>
    <w:rsid w:val="0072430D"/>
    <w:rsid w:val="00724812"/>
    <w:rsid w:val="007249FC"/>
    <w:rsid w:val="00724F71"/>
    <w:rsid w:val="00725121"/>
    <w:rsid w:val="007251BC"/>
    <w:rsid w:val="0072556A"/>
    <w:rsid w:val="0072587E"/>
    <w:rsid w:val="007259A8"/>
    <w:rsid w:val="007259AA"/>
    <w:rsid w:val="007259B3"/>
    <w:rsid w:val="007259C9"/>
    <w:rsid w:val="00725B34"/>
    <w:rsid w:val="00725C45"/>
    <w:rsid w:val="00725FC1"/>
    <w:rsid w:val="007264C3"/>
    <w:rsid w:val="00726CC2"/>
    <w:rsid w:val="00726DD3"/>
    <w:rsid w:val="00727124"/>
    <w:rsid w:val="0072717B"/>
    <w:rsid w:val="007271F2"/>
    <w:rsid w:val="007276CA"/>
    <w:rsid w:val="00727BE5"/>
    <w:rsid w:val="00727D93"/>
    <w:rsid w:val="00727EEF"/>
    <w:rsid w:val="00727FB5"/>
    <w:rsid w:val="00730372"/>
    <w:rsid w:val="00730DDF"/>
    <w:rsid w:val="00730E6E"/>
    <w:rsid w:val="00730FDB"/>
    <w:rsid w:val="0073101A"/>
    <w:rsid w:val="00731380"/>
    <w:rsid w:val="0073163F"/>
    <w:rsid w:val="00731C33"/>
    <w:rsid w:val="00731F77"/>
    <w:rsid w:val="00731F94"/>
    <w:rsid w:val="00731FA5"/>
    <w:rsid w:val="00732049"/>
    <w:rsid w:val="00732066"/>
    <w:rsid w:val="00732250"/>
    <w:rsid w:val="00732347"/>
    <w:rsid w:val="00732369"/>
    <w:rsid w:val="00732711"/>
    <w:rsid w:val="00732780"/>
    <w:rsid w:val="00732AB6"/>
    <w:rsid w:val="00732BCC"/>
    <w:rsid w:val="00732E71"/>
    <w:rsid w:val="00732E77"/>
    <w:rsid w:val="00733239"/>
    <w:rsid w:val="0073323A"/>
    <w:rsid w:val="0073326D"/>
    <w:rsid w:val="00733341"/>
    <w:rsid w:val="007334E3"/>
    <w:rsid w:val="00733668"/>
    <w:rsid w:val="00733744"/>
    <w:rsid w:val="007338D4"/>
    <w:rsid w:val="00733BAD"/>
    <w:rsid w:val="00733BCE"/>
    <w:rsid w:val="00734244"/>
    <w:rsid w:val="00734268"/>
    <w:rsid w:val="00734341"/>
    <w:rsid w:val="007346A6"/>
    <w:rsid w:val="00734A6E"/>
    <w:rsid w:val="00734B89"/>
    <w:rsid w:val="007350B2"/>
    <w:rsid w:val="007353CA"/>
    <w:rsid w:val="00735956"/>
    <w:rsid w:val="0073599F"/>
    <w:rsid w:val="00735C92"/>
    <w:rsid w:val="00735D0E"/>
    <w:rsid w:val="00735F27"/>
    <w:rsid w:val="00735FE4"/>
    <w:rsid w:val="007366DA"/>
    <w:rsid w:val="007366FB"/>
    <w:rsid w:val="0073684F"/>
    <w:rsid w:val="00736A77"/>
    <w:rsid w:val="00737020"/>
    <w:rsid w:val="00737130"/>
    <w:rsid w:val="007372D0"/>
    <w:rsid w:val="00737BA3"/>
    <w:rsid w:val="00737E83"/>
    <w:rsid w:val="00737F77"/>
    <w:rsid w:val="00740194"/>
    <w:rsid w:val="007403D7"/>
    <w:rsid w:val="00740BBB"/>
    <w:rsid w:val="00740C46"/>
    <w:rsid w:val="00740D31"/>
    <w:rsid w:val="007415A4"/>
    <w:rsid w:val="00741BF8"/>
    <w:rsid w:val="00741C38"/>
    <w:rsid w:val="00741E0F"/>
    <w:rsid w:val="00742104"/>
    <w:rsid w:val="00742242"/>
    <w:rsid w:val="0074231E"/>
    <w:rsid w:val="00742A71"/>
    <w:rsid w:val="00742B95"/>
    <w:rsid w:val="00743277"/>
    <w:rsid w:val="007433E9"/>
    <w:rsid w:val="0074352A"/>
    <w:rsid w:val="007437B0"/>
    <w:rsid w:val="007438D4"/>
    <w:rsid w:val="00743A83"/>
    <w:rsid w:val="00743F46"/>
    <w:rsid w:val="007441CD"/>
    <w:rsid w:val="0074427F"/>
    <w:rsid w:val="007443CF"/>
    <w:rsid w:val="00744658"/>
    <w:rsid w:val="00744747"/>
    <w:rsid w:val="00744B9A"/>
    <w:rsid w:val="00744CF6"/>
    <w:rsid w:val="00744D36"/>
    <w:rsid w:val="007452AB"/>
    <w:rsid w:val="00745382"/>
    <w:rsid w:val="00745B6E"/>
    <w:rsid w:val="00745DC8"/>
    <w:rsid w:val="00746886"/>
    <w:rsid w:val="00746BC4"/>
    <w:rsid w:val="00746C12"/>
    <w:rsid w:val="00746C15"/>
    <w:rsid w:val="00746EC3"/>
    <w:rsid w:val="007471A0"/>
    <w:rsid w:val="00747309"/>
    <w:rsid w:val="0074735F"/>
    <w:rsid w:val="007473CF"/>
    <w:rsid w:val="00747437"/>
    <w:rsid w:val="00747676"/>
    <w:rsid w:val="007477D1"/>
    <w:rsid w:val="00747AA6"/>
    <w:rsid w:val="00747AB2"/>
    <w:rsid w:val="00747AD3"/>
    <w:rsid w:val="00747AD5"/>
    <w:rsid w:val="00747BA9"/>
    <w:rsid w:val="00747DB8"/>
    <w:rsid w:val="00747DFB"/>
    <w:rsid w:val="0075021B"/>
    <w:rsid w:val="00750452"/>
    <w:rsid w:val="00750466"/>
    <w:rsid w:val="0075064B"/>
    <w:rsid w:val="00750828"/>
    <w:rsid w:val="00750C65"/>
    <w:rsid w:val="00750D76"/>
    <w:rsid w:val="00750DDB"/>
    <w:rsid w:val="0075115D"/>
    <w:rsid w:val="00751275"/>
    <w:rsid w:val="0075157A"/>
    <w:rsid w:val="0075172A"/>
    <w:rsid w:val="00751A1C"/>
    <w:rsid w:val="00751A6C"/>
    <w:rsid w:val="00751C28"/>
    <w:rsid w:val="00751C7C"/>
    <w:rsid w:val="00751E35"/>
    <w:rsid w:val="00751E5E"/>
    <w:rsid w:val="00752009"/>
    <w:rsid w:val="00752462"/>
    <w:rsid w:val="00752611"/>
    <w:rsid w:val="0075278F"/>
    <w:rsid w:val="00752AE8"/>
    <w:rsid w:val="00752E26"/>
    <w:rsid w:val="00752F7C"/>
    <w:rsid w:val="00753106"/>
    <w:rsid w:val="007532C2"/>
    <w:rsid w:val="007536BE"/>
    <w:rsid w:val="00753742"/>
    <w:rsid w:val="0075386B"/>
    <w:rsid w:val="00753AF4"/>
    <w:rsid w:val="007540A4"/>
    <w:rsid w:val="007542F7"/>
    <w:rsid w:val="00754446"/>
    <w:rsid w:val="00754770"/>
    <w:rsid w:val="007547BB"/>
    <w:rsid w:val="00754E9D"/>
    <w:rsid w:val="00755394"/>
    <w:rsid w:val="007553C9"/>
    <w:rsid w:val="007553E0"/>
    <w:rsid w:val="007558FD"/>
    <w:rsid w:val="00755913"/>
    <w:rsid w:val="00755B00"/>
    <w:rsid w:val="00755DEE"/>
    <w:rsid w:val="00755F2E"/>
    <w:rsid w:val="00755F7E"/>
    <w:rsid w:val="007560A0"/>
    <w:rsid w:val="00756239"/>
    <w:rsid w:val="00756242"/>
    <w:rsid w:val="007568C0"/>
    <w:rsid w:val="007568CD"/>
    <w:rsid w:val="00756AFD"/>
    <w:rsid w:val="00756BF5"/>
    <w:rsid w:val="00757430"/>
    <w:rsid w:val="0075755C"/>
    <w:rsid w:val="00757566"/>
    <w:rsid w:val="007577C4"/>
    <w:rsid w:val="00757817"/>
    <w:rsid w:val="0075787A"/>
    <w:rsid w:val="00757A9F"/>
    <w:rsid w:val="00757B29"/>
    <w:rsid w:val="00760280"/>
    <w:rsid w:val="007602DB"/>
    <w:rsid w:val="007609F4"/>
    <w:rsid w:val="00760A86"/>
    <w:rsid w:val="0076100E"/>
    <w:rsid w:val="0076113A"/>
    <w:rsid w:val="0076118B"/>
    <w:rsid w:val="0076127D"/>
    <w:rsid w:val="00761376"/>
    <w:rsid w:val="0076146C"/>
    <w:rsid w:val="0076155C"/>
    <w:rsid w:val="0076173E"/>
    <w:rsid w:val="00761847"/>
    <w:rsid w:val="00761E77"/>
    <w:rsid w:val="00762035"/>
    <w:rsid w:val="00762253"/>
    <w:rsid w:val="0076229D"/>
    <w:rsid w:val="00762657"/>
    <w:rsid w:val="00762A6F"/>
    <w:rsid w:val="00762B68"/>
    <w:rsid w:val="00762FE2"/>
    <w:rsid w:val="00763703"/>
    <w:rsid w:val="00763901"/>
    <w:rsid w:val="00763C68"/>
    <w:rsid w:val="00763ECA"/>
    <w:rsid w:val="0076420F"/>
    <w:rsid w:val="0076461A"/>
    <w:rsid w:val="007649B5"/>
    <w:rsid w:val="007649C7"/>
    <w:rsid w:val="00764AEE"/>
    <w:rsid w:val="00764E59"/>
    <w:rsid w:val="00764FF6"/>
    <w:rsid w:val="00765132"/>
    <w:rsid w:val="007652A6"/>
    <w:rsid w:val="0076532F"/>
    <w:rsid w:val="007659B5"/>
    <w:rsid w:val="007659B9"/>
    <w:rsid w:val="00765B9F"/>
    <w:rsid w:val="00765C62"/>
    <w:rsid w:val="00765DC4"/>
    <w:rsid w:val="00765EC9"/>
    <w:rsid w:val="00766084"/>
    <w:rsid w:val="00766192"/>
    <w:rsid w:val="00766201"/>
    <w:rsid w:val="00766503"/>
    <w:rsid w:val="00766509"/>
    <w:rsid w:val="00766E30"/>
    <w:rsid w:val="00766E5D"/>
    <w:rsid w:val="0076724F"/>
    <w:rsid w:val="007672CD"/>
    <w:rsid w:val="00767531"/>
    <w:rsid w:val="00767823"/>
    <w:rsid w:val="00767AFF"/>
    <w:rsid w:val="00767DA5"/>
    <w:rsid w:val="007702FD"/>
    <w:rsid w:val="00770661"/>
    <w:rsid w:val="00770C0E"/>
    <w:rsid w:val="00770DD7"/>
    <w:rsid w:val="00770F63"/>
    <w:rsid w:val="00771082"/>
    <w:rsid w:val="0077170E"/>
    <w:rsid w:val="0077173B"/>
    <w:rsid w:val="0077175C"/>
    <w:rsid w:val="00771801"/>
    <w:rsid w:val="00771899"/>
    <w:rsid w:val="00771B36"/>
    <w:rsid w:val="00771E7B"/>
    <w:rsid w:val="00771F1A"/>
    <w:rsid w:val="00771FBB"/>
    <w:rsid w:val="007726DE"/>
    <w:rsid w:val="0077272B"/>
    <w:rsid w:val="0077285D"/>
    <w:rsid w:val="00772EA7"/>
    <w:rsid w:val="00772F04"/>
    <w:rsid w:val="007734DA"/>
    <w:rsid w:val="007735A5"/>
    <w:rsid w:val="0077363F"/>
    <w:rsid w:val="0077375B"/>
    <w:rsid w:val="00773A0E"/>
    <w:rsid w:val="0077438F"/>
    <w:rsid w:val="007746A9"/>
    <w:rsid w:val="007746AB"/>
    <w:rsid w:val="00774A5D"/>
    <w:rsid w:val="0077511C"/>
    <w:rsid w:val="00775639"/>
    <w:rsid w:val="00775735"/>
    <w:rsid w:val="007759C3"/>
    <w:rsid w:val="0077613D"/>
    <w:rsid w:val="007762F7"/>
    <w:rsid w:val="00776343"/>
    <w:rsid w:val="00776709"/>
    <w:rsid w:val="00776852"/>
    <w:rsid w:val="00776A23"/>
    <w:rsid w:val="00776AE4"/>
    <w:rsid w:val="00776AEB"/>
    <w:rsid w:val="00776CA7"/>
    <w:rsid w:val="00776F2B"/>
    <w:rsid w:val="00776F49"/>
    <w:rsid w:val="00776FB7"/>
    <w:rsid w:val="007772F9"/>
    <w:rsid w:val="007773B2"/>
    <w:rsid w:val="00777570"/>
    <w:rsid w:val="00777728"/>
    <w:rsid w:val="00777860"/>
    <w:rsid w:val="007779A1"/>
    <w:rsid w:val="007779F1"/>
    <w:rsid w:val="00777EDE"/>
    <w:rsid w:val="0078034C"/>
    <w:rsid w:val="0078058E"/>
    <w:rsid w:val="00780C3D"/>
    <w:rsid w:val="00780DB1"/>
    <w:rsid w:val="00780FDC"/>
    <w:rsid w:val="007815E9"/>
    <w:rsid w:val="00781647"/>
    <w:rsid w:val="007816E7"/>
    <w:rsid w:val="007817B8"/>
    <w:rsid w:val="007818D3"/>
    <w:rsid w:val="00781A2D"/>
    <w:rsid w:val="00782311"/>
    <w:rsid w:val="00782569"/>
    <w:rsid w:val="00782900"/>
    <w:rsid w:val="0078292E"/>
    <w:rsid w:val="00782A4C"/>
    <w:rsid w:val="00782D4E"/>
    <w:rsid w:val="00782D70"/>
    <w:rsid w:val="00783075"/>
    <w:rsid w:val="007836C6"/>
    <w:rsid w:val="00783C5F"/>
    <w:rsid w:val="00783E13"/>
    <w:rsid w:val="0078405B"/>
    <w:rsid w:val="00784176"/>
    <w:rsid w:val="007841B4"/>
    <w:rsid w:val="00784632"/>
    <w:rsid w:val="007849F7"/>
    <w:rsid w:val="00784B87"/>
    <w:rsid w:val="00784D1C"/>
    <w:rsid w:val="00784E4D"/>
    <w:rsid w:val="00784F1F"/>
    <w:rsid w:val="00784F35"/>
    <w:rsid w:val="0078581D"/>
    <w:rsid w:val="0078584B"/>
    <w:rsid w:val="00785ABC"/>
    <w:rsid w:val="007860D6"/>
    <w:rsid w:val="0078656B"/>
    <w:rsid w:val="007868F2"/>
    <w:rsid w:val="00786B61"/>
    <w:rsid w:val="00786C40"/>
    <w:rsid w:val="00787493"/>
    <w:rsid w:val="00787542"/>
    <w:rsid w:val="00787575"/>
    <w:rsid w:val="0078797B"/>
    <w:rsid w:val="00790220"/>
    <w:rsid w:val="007902C2"/>
    <w:rsid w:val="00790CF5"/>
    <w:rsid w:val="00790D04"/>
    <w:rsid w:val="0079139D"/>
    <w:rsid w:val="0079179E"/>
    <w:rsid w:val="00791878"/>
    <w:rsid w:val="00791ACA"/>
    <w:rsid w:val="00791C99"/>
    <w:rsid w:val="00791DBB"/>
    <w:rsid w:val="00791DFB"/>
    <w:rsid w:val="00792156"/>
    <w:rsid w:val="007923D0"/>
    <w:rsid w:val="0079296B"/>
    <w:rsid w:val="00792DDD"/>
    <w:rsid w:val="007931EC"/>
    <w:rsid w:val="00793214"/>
    <w:rsid w:val="0079350E"/>
    <w:rsid w:val="00794167"/>
    <w:rsid w:val="007942C3"/>
    <w:rsid w:val="007945AC"/>
    <w:rsid w:val="007945DD"/>
    <w:rsid w:val="007946A3"/>
    <w:rsid w:val="00794777"/>
    <w:rsid w:val="00794899"/>
    <w:rsid w:val="007948DF"/>
    <w:rsid w:val="00794913"/>
    <w:rsid w:val="00794950"/>
    <w:rsid w:val="00794C7B"/>
    <w:rsid w:val="00795218"/>
    <w:rsid w:val="0079551A"/>
    <w:rsid w:val="00795A8F"/>
    <w:rsid w:val="00795B0A"/>
    <w:rsid w:val="00795B49"/>
    <w:rsid w:val="00795BC6"/>
    <w:rsid w:val="00795FEF"/>
    <w:rsid w:val="0079614A"/>
    <w:rsid w:val="007962B0"/>
    <w:rsid w:val="00796357"/>
    <w:rsid w:val="0079675C"/>
    <w:rsid w:val="00796DC0"/>
    <w:rsid w:val="00797384"/>
    <w:rsid w:val="007978F6"/>
    <w:rsid w:val="0079797C"/>
    <w:rsid w:val="007979C3"/>
    <w:rsid w:val="007A03DC"/>
    <w:rsid w:val="007A0444"/>
    <w:rsid w:val="007A0494"/>
    <w:rsid w:val="007A04A1"/>
    <w:rsid w:val="007A05E2"/>
    <w:rsid w:val="007A0C1D"/>
    <w:rsid w:val="007A0C49"/>
    <w:rsid w:val="007A1036"/>
    <w:rsid w:val="007A1264"/>
    <w:rsid w:val="007A1509"/>
    <w:rsid w:val="007A1537"/>
    <w:rsid w:val="007A1549"/>
    <w:rsid w:val="007A1675"/>
    <w:rsid w:val="007A1A98"/>
    <w:rsid w:val="007A1B78"/>
    <w:rsid w:val="007A1CAF"/>
    <w:rsid w:val="007A1FD4"/>
    <w:rsid w:val="007A24D1"/>
    <w:rsid w:val="007A283B"/>
    <w:rsid w:val="007A2867"/>
    <w:rsid w:val="007A2AE8"/>
    <w:rsid w:val="007A2C0A"/>
    <w:rsid w:val="007A3372"/>
    <w:rsid w:val="007A3A1C"/>
    <w:rsid w:val="007A3C8A"/>
    <w:rsid w:val="007A3F05"/>
    <w:rsid w:val="007A423B"/>
    <w:rsid w:val="007A4400"/>
    <w:rsid w:val="007A4AD1"/>
    <w:rsid w:val="007A5171"/>
    <w:rsid w:val="007A52D0"/>
    <w:rsid w:val="007A56DC"/>
    <w:rsid w:val="007A58B5"/>
    <w:rsid w:val="007A5B56"/>
    <w:rsid w:val="007A5BB3"/>
    <w:rsid w:val="007A5BCA"/>
    <w:rsid w:val="007A62CE"/>
    <w:rsid w:val="007A62DF"/>
    <w:rsid w:val="007A6382"/>
    <w:rsid w:val="007A6B67"/>
    <w:rsid w:val="007A6DA3"/>
    <w:rsid w:val="007A71B2"/>
    <w:rsid w:val="007A723C"/>
    <w:rsid w:val="007A762C"/>
    <w:rsid w:val="007A7BE8"/>
    <w:rsid w:val="007A7C27"/>
    <w:rsid w:val="007B09ED"/>
    <w:rsid w:val="007B0B8D"/>
    <w:rsid w:val="007B0BE4"/>
    <w:rsid w:val="007B0DF9"/>
    <w:rsid w:val="007B0F98"/>
    <w:rsid w:val="007B0FC2"/>
    <w:rsid w:val="007B122C"/>
    <w:rsid w:val="007B149D"/>
    <w:rsid w:val="007B1546"/>
    <w:rsid w:val="007B16F4"/>
    <w:rsid w:val="007B170A"/>
    <w:rsid w:val="007B1986"/>
    <w:rsid w:val="007B1A99"/>
    <w:rsid w:val="007B1AED"/>
    <w:rsid w:val="007B1C51"/>
    <w:rsid w:val="007B2102"/>
    <w:rsid w:val="007B2133"/>
    <w:rsid w:val="007B2139"/>
    <w:rsid w:val="007B2890"/>
    <w:rsid w:val="007B28B6"/>
    <w:rsid w:val="007B2F6C"/>
    <w:rsid w:val="007B346E"/>
    <w:rsid w:val="007B371D"/>
    <w:rsid w:val="007B3B86"/>
    <w:rsid w:val="007B3BEE"/>
    <w:rsid w:val="007B3F47"/>
    <w:rsid w:val="007B4255"/>
    <w:rsid w:val="007B43AD"/>
    <w:rsid w:val="007B4850"/>
    <w:rsid w:val="007B49A6"/>
    <w:rsid w:val="007B4AAF"/>
    <w:rsid w:val="007B4DEF"/>
    <w:rsid w:val="007B4DFB"/>
    <w:rsid w:val="007B501D"/>
    <w:rsid w:val="007B54B2"/>
    <w:rsid w:val="007B55A3"/>
    <w:rsid w:val="007B588C"/>
    <w:rsid w:val="007B5BAF"/>
    <w:rsid w:val="007B5D8E"/>
    <w:rsid w:val="007B5F31"/>
    <w:rsid w:val="007B60EA"/>
    <w:rsid w:val="007B6128"/>
    <w:rsid w:val="007B6586"/>
    <w:rsid w:val="007B65D5"/>
    <w:rsid w:val="007B6B7F"/>
    <w:rsid w:val="007B6C38"/>
    <w:rsid w:val="007B6CC8"/>
    <w:rsid w:val="007B7715"/>
    <w:rsid w:val="007B7A97"/>
    <w:rsid w:val="007B7DCF"/>
    <w:rsid w:val="007B7E97"/>
    <w:rsid w:val="007C01B4"/>
    <w:rsid w:val="007C068E"/>
    <w:rsid w:val="007C0767"/>
    <w:rsid w:val="007C0825"/>
    <w:rsid w:val="007C0C24"/>
    <w:rsid w:val="007C0F21"/>
    <w:rsid w:val="007C142F"/>
    <w:rsid w:val="007C156F"/>
    <w:rsid w:val="007C15CC"/>
    <w:rsid w:val="007C19B8"/>
    <w:rsid w:val="007C1AD3"/>
    <w:rsid w:val="007C1F63"/>
    <w:rsid w:val="007C2293"/>
    <w:rsid w:val="007C2394"/>
    <w:rsid w:val="007C23A9"/>
    <w:rsid w:val="007C23DE"/>
    <w:rsid w:val="007C25D9"/>
    <w:rsid w:val="007C299A"/>
    <w:rsid w:val="007C2B16"/>
    <w:rsid w:val="007C2BB6"/>
    <w:rsid w:val="007C2CBA"/>
    <w:rsid w:val="007C2CF8"/>
    <w:rsid w:val="007C2D0C"/>
    <w:rsid w:val="007C2DAD"/>
    <w:rsid w:val="007C3591"/>
    <w:rsid w:val="007C388F"/>
    <w:rsid w:val="007C39FF"/>
    <w:rsid w:val="007C3F95"/>
    <w:rsid w:val="007C43C5"/>
    <w:rsid w:val="007C43D1"/>
    <w:rsid w:val="007C4A8F"/>
    <w:rsid w:val="007C4C7B"/>
    <w:rsid w:val="007C57DD"/>
    <w:rsid w:val="007C5C9B"/>
    <w:rsid w:val="007C6080"/>
    <w:rsid w:val="007C65E2"/>
    <w:rsid w:val="007C6B19"/>
    <w:rsid w:val="007C6B58"/>
    <w:rsid w:val="007C716D"/>
    <w:rsid w:val="007C73CF"/>
    <w:rsid w:val="007C74A5"/>
    <w:rsid w:val="007C7686"/>
    <w:rsid w:val="007C7C15"/>
    <w:rsid w:val="007C7E7B"/>
    <w:rsid w:val="007C7F78"/>
    <w:rsid w:val="007D0146"/>
    <w:rsid w:val="007D03A8"/>
    <w:rsid w:val="007D0A3B"/>
    <w:rsid w:val="007D0B7D"/>
    <w:rsid w:val="007D120A"/>
    <w:rsid w:val="007D13AE"/>
    <w:rsid w:val="007D19EA"/>
    <w:rsid w:val="007D1BF5"/>
    <w:rsid w:val="007D23C1"/>
    <w:rsid w:val="007D24A2"/>
    <w:rsid w:val="007D25C8"/>
    <w:rsid w:val="007D2730"/>
    <w:rsid w:val="007D278B"/>
    <w:rsid w:val="007D3079"/>
    <w:rsid w:val="007D3733"/>
    <w:rsid w:val="007D38D9"/>
    <w:rsid w:val="007D39B4"/>
    <w:rsid w:val="007D39DB"/>
    <w:rsid w:val="007D3ECB"/>
    <w:rsid w:val="007D423F"/>
    <w:rsid w:val="007D427C"/>
    <w:rsid w:val="007D4296"/>
    <w:rsid w:val="007D433A"/>
    <w:rsid w:val="007D44B0"/>
    <w:rsid w:val="007D4B35"/>
    <w:rsid w:val="007D4CB2"/>
    <w:rsid w:val="007D4D0E"/>
    <w:rsid w:val="007D4D6B"/>
    <w:rsid w:val="007D4F31"/>
    <w:rsid w:val="007D4FF7"/>
    <w:rsid w:val="007D5085"/>
    <w:rsid w:val="007D55FF"/>
    <w:rsid w:val="007D5961"/>
    <w:rsid w:val="007D5F4B"/>
    <w:rsid w:val="007D6BC2"/>
    <w:rsid w:val="007D6E90"/>
    <w:rsid w:val="007D728F"/>
    <w:rsid w:val="007D75A6"/>
    <w:rsid w:val="007D7BF4"/>
    <w:rsid w:val="007D7CD9"/>
    <w:rsid w:val="007D7CE2"/>
    <w:rsid w:val="007D7D30"/>
    <w:rsid w:val="007E0355"/>
    <w:rsid w:val="007E0911"/>
    <w:rsid w:val="007E0E09"/>
    <w:rsid w:val="007E0E14"/>
    <w:rsid w:val="007E0F39"/>
    <w:rsid w:val="007E0F45"/>
    <w:rsid w:val="007E10EF"/>
    <w:rsid w:val="007E113D"/>
    <w:rsid w:val="007E120C"/>
    <w:rsid w:val="007E1290"/>
    <w:rsid w:val="007E131E"/>
    <w:rsid w:val="007E1836"/>
    <w:rsid w:val="007E184A"/>
    <w:rsid w:val="007E19F9"/>
    <w:rsid w:val="007E1A08"/>
    <w:rsid w:val="007E2C08"/>
    <w:rsid w:val="007E2D29"/>
    <w:rsid w:val="007E2E29"/>
    <w:rsid w:val="007E32EA"/>
    <w:rsid w:val="007E3A5C"/>
    <w:rsid w:val="007E471C"/>
    <w:rsid w:val="007E47C3"/>
    <w:rsid w:val="007E47CA"/>
    <w:rsid w:val="007E4F15"/>
    <w:rsid w:val="007E5077"/>
    <w:rsid w:val="007E518F"/>
    <w:rsid w:val="007E51E1"/>
    <w:rsid w:val="007E5358"/>
    <w:rsid w:val="007E5D7B"/>
    <w:rsid w:val="007E5D8D"/>
    <w:rsid w:val="007E5E7B"/>
    <w:rsid w:val="007E5F88"/>
    <w:rsid w:val="007E63D6"/>
    <w:rsid w:val="007E64AD"/>
    <w:rsid w:val="007E65F3"/>
    <w:rsid w:val="007E6675"/>
    <w:rsid w:val="007E6C66"/>
    <w:rsid w:val="007E6CF1"/>
    <w:rsid w:val="007E6E00"/>
    <w:rsid w:val="007E6EE1"/>
    <w:rsid w:val="007E6FF5"/>
    <w:rsid w:val="007E7127"/>
    <w:rsid w:val="007E728B"/>
    <w:rsid w:val="007E74FE"/>
    <w:rsid w:val="007E7736"/>
    <w:rsid w:val="007E775B"/>
    <w:rsid w:val="007E7766"/>
    <w:rsid w:val="007E7D90"/>
    <w:rsid w:val="007E7E0F"/>
    <w:rsid w:val="007E7F83"/>
    <w:rsid w:val="007F01DA"/>
    <w:rsid w:val="007F033E"/>
    <w:rsid w:val="007F050D"/>
    <w:rsid w:val="007F0629"/>
    <w:rsid w:val="007F0891"/>
    <w:rsid w:val="007F0EB7"/>
    <w:rsid w:val="007F0F68"/>
    <w:rsid w:val="007F14E1"/>
    <w:rsid w:val="007F172D"/>
    <w:rsid w:val="007F17DB"/>
    <w:rsid w:val="007F1C2C"/>
    <w:rsid w:val="007F204D"/>
    <w:rsid w:val="007F20BD"/>
    <w:rsid w:val="007F21F3"/>
    <w:rsid w:val="007F270D"/>
    <w:rsid w:val="007F2928"/>
    <w:rsid w:val="007F2A24"/>
    <w:rsid w:val="007F2C63"/>
    <w:rsid w:val="007F2D46"/>
    <w:rsid w:val="007F2D80"/>
    <w:rsid w:val="007F2DB2"/>
    <w:rsid w:val="007F326C"/>
    <w:rsid w:val="007F35DB"/>
    <w:rsid w:val="007F37B4"/>
    <w:rsid w:val="007F3B29"/>
    <w:rsid w:val="007F3E7D"/>
    <w:rsid w:val="007F46F6"/>
    <w:rsid w:val="007F50D8"/>
    <w:rsid w:val="007F599B"/>
    <w:rsid w:val="007F5C2E"/>
    <w:rsid w:val="007F5E54"/>
    <w:rsid w:val="007F5E88"/>
    <w:rsid w:val="007F608E"/>
    <w:rsid w:val="007F60BE"/>
    <w:rsid w:val="007F6860"/>
    <w:rsid w:val="007F687C"/>
    <w:rsid w:val="007F6DB2"/>
    <w:rsid w:val="007F70EA"/>
    <w:rsid w:val="007F712E"/>
    <w:rsid w:val="007F7B67"/>
    <w:rsid w:val="007F7ED1"/>
    <w:rsid w:val="00800248"/>
    <w:rsid w:val="008003EE"/>
    <w:rsid w:val="00800A71"/>
    <w:rsid w:val="00800B49"/>
    <w:rsid w:val="00800BE4"/>
    <w:rsid w:val="00801093"/>
    <w:rsid w:val="00801326"/>
    <w:rsid w:val="0080137A"/>
    <w:rsid w:val="00801511"/>
    <w:rsid w:val="0080159D"/>
    <w:rsid w:val="00801CB1"/>
    <w:rsid w:val="00801D10"/>
    <w:rsid w:val="0080206E"/>
    <w:rsid w:val="008021E1"/>
    <w:rsid w:val="008022AE"/>
    <w:rsid w:val="00802490"/>
    <w:rsid w:val="008027C9"/>
    <w:rsid w:val="008029ED"/>
    <w:rsid w:val="00802C51"/>
    <w:rsid w:val="008030A4"/>
    <w:rsid w:val="008030B4"/>
    <w:rsid w:val="00803321"/>
    <w:rsid w:val="00803625"/>
    <w:rsid w:val="0080373D"/>
    <w:rsid w:val="00803EDD"/>
    <w:rsid w:val="00803EE5"/>
    <w:rsid w:val="00804135"/>
    <w:rsid w:val="008041C1"/>
    <w:rsid w:val="008042D0"/>
    <w:rsid w:val="0080438E"/>
    <w:rsid w:val="008046E5"/>
    <w:rsid w:val="00804864"/>
    <w:rsid w:val="00804AE1"/>
    <w:rsid w:val="00804FAD"/>
    <w:rsid w:val="00805191"/>
    <w:rsid w:val="008053CA"/>
    <w:rsid w:val="008057D7"/>
    <w:rsid w:val="00805FEC"/>
    <w:rsid w:val="0080668B"/>
    <w:rsid w:val="008069AE"/>
    <w:rsid w:val="00806B4C"/>
    <w:rsid w:val="00806DFE"/>
    <w:rsid w:val="00806F12"/>
    <w:rsid w:val="008070E3"/>
    <w:rsid w:val="008073ED"/>
    <w:rsid w:val="00807463"/>
    <w:rsid w:val="0080758B"/>
    <w:rsid w:val="00807633"/>
    <w:rsid w:val="00807863"/>
    <w:rsid w:val="00807A5C"/>
    <w:rsid w:val="00807AE0"/>
    <w:rsid w:val="00807B0A"/>
    <w:rsid w:val="00807C9E"/>
    <w:rsid w:val="00810509"/>
    <w:rsid w:val="008107DC"/>
    <w:rsid w:val="008108BD"/>
    <w:rsid w:val="008108C9"/>
    <w:rsid w:val="008109FA"/>
    <w:rsid w:val="00810A49"/>
    <w:rsid w:val="00810AA7"/>
    <w:rsid w:val="00810B9C"/>
    <w:rsid w:val="00810E4B"/>
    <w:rsid w:val="00810EC7"/>
    <w:rsid w:val="00811419"/>
    <w:rsid w:val="0081146E"/>
    <w:rsid w:val="00811641"/>
    <w:rsid w:val="00811D3B"/>
    <w:rsid w:val="00811E8D"/>
    <w:rsid w:val="008120D4"/>
    <w:rsid w:val="008123A0"/>
    <w:rsid w:val="0081246A"/>
    <w:rsid w:val="00812487"/>
    <w:rsid w:val="008127B7"/>
    <w:rsid w:val="0081280D"/>
    <w:rsid w:val="00812839"/>
    <w:rsid w:val="00812B8B"/>
    <w:rsid w:val="00812FA1"/>
    <w:rsid w:val="008135BA"/>
    <w:rsid w:val="00813676"/>
    <w:rsid w:val="0081378F"/>
    <w:rsid w:val="008140AB"/>
    <w:rsid w:val="00814225"/>
    <w:rsid w:val="00814468"/>
    <w:rsid w:val="00814497"/>
    <w:rsid w:val="00814878"/>
    <w:rsid w:val="00814AE6"/>
    <w:rsid w:val="00815008"/>
    <w:rsid w:val="00815251"/>
    <w:rsid w:val="00815383"/>
    <w:rsid w:val="008154BC"/>
    <w:rsid w:val="008155EF"/>
    <w:rsid w:val="0081572E"/>
    <w:rsid w:val="00815882"/>
    <w:rsid w:val="008159B6"/>
    <w:rsid w:val="00815DBB"/>
    <w:rsid w:val="00815EF9"/>
    <w:rsid w:val="00815F2D"/>
    <w:rsid w:val="00816754"/>
    <w:rsid w:val="00816809"/>
    <w:rsid w:val="0081703F"/>
    <w:rsid w:val="00817069"/>
    <w:rsid w:val="00817929"/>
    <w:rsid w:val="00817BAA"/>
    <w:rsid w:val="008201B1"/>
    <w:rsid w:val="0082041A"/>
    <w:rsid w:val="008206D3"/>
    <w:rsid w:val="008209B5"/>
    <w:rsid w:val="00820BA1"/>
    <w:rsid w:val="00820ED0"/>
    <w:rsid w:val="0082107B"/>
    <w:rsid w:val="00821BBA"/>
    <w:rsid w:val="00821EC2"/>
    <w:rsid w:val="00821F7D"/>
    <w:rsid w:val="00821FFA"/>
    <w:rsid w:val="0082269B"/>
    <w:rsid w:val="008228A9"/>
    <w:rsid w:val="00823123"/>
    <w:rsid w:val="00823651"/>
    <w:rsid w:val="0082383A"/>
    <w:rsid w:val="008238B4"/>
    <w:rsid w:val="00823932"/>
    <w:rsid w:val="00823F84"/>
    <w:rsid w:val="00824044"/>
    <w:rsid w:val="008240CF"/>
    <w:rsid w:val="00824337"/>
    <w:rsid w:val="008243FB"/>
    <w:rsid w:val="008244F5"/>
    <w:rsid w:val="00824C92"/>
    <w:rsid w:val="008250D6"/>
    <w:rsid w:val="008254A8"/>
    <w:rsid w:val="008256DF"/>
    <w:rsid w:val="00825C32"/>
    <w:rsid w:val="00825E5E"/>
    <w:rsid w:val="00826093"/>
    <w:rsid w:val="008260E7"/>
    <w:rsid w:val="00826100"/>
    <w:rsid w:val="0082618D"/>
    <w:rsid w:val="008261D2"/>
    <w:rsid w:val="0082632B"/>
    <w:rsid w:val="00826430"/>
    <w:rsid w:val="008265B7"/>
    <w:rsid w:val="00826F69"/>
    <w:rsid w:val="00827633"/>
    <w:rsid w:val="008278A6"/>
    <w:rsid w:val="008278BE"/>
    <w:rsid w:val="00827BC1"/>
    <w:rsid w:val="00827C53"/>
    <w:rsid w:val="0083031C"/>
    <w:rsid w:val="0083067A"/>
    <w:rsid w:val="008306E4"/>
    <w:rsid w:val="00830A2F"/>
    <w:rsid w:val="00830B13"/>
    <w:rsid w:val="00830CB5"/>
    <w:rsid w:val="0083133E"/>
    <w:rsid w:val="0083153C"/>
    <w:rsid w:val="0083184D"/>
    <w:rsid w:val="00831E2B"/>
    <w:rsid w:val="00831EBD"/>
    <w:rsid w:val="0083256B"/>
    <w:rsid w:val="00832875"/>
    <w:rsid w:val="00832AAE"/>
    <w:rsid w:val="00832CDD"/>
    <w:rsid w:val="0083304C"/>
    <w:rsid w:val="00833097"/>
    <w:rsid w:val="008331B8"/>
    <w:rsid w:val="0083362E"/>
    <w:rsid w:val="008339B3"/>
    <w:rsid w:val="00833A58"/>
    <w:rsid w:val="00833C2F"/>
    <w:rsid w:val="00834926"/>
    <w:rsid w:val="0083498A"/>
    <w:rsid w:val="00834E3C"/>
    <w:rsid w:val="00834F18"/>
    <w:rsid w:val="00835084"/>
    <w:rsid w:val="008352AB"/>
    <w:rsid w:val="0083534E"/>
    <w:rsid w:val="00835597"/>
    <w:rsid w:val="008356A1"/>
    <w:rsid w:val="00835B33"/>
    <w:rsid w:val="0083603A"/>
    <w:rsid w:val="0083603D"/>
    <w:rsid w:val="008367E4"/>
    <w:rsid w:val="00836B71"/>
    <w:rsid w:val="00836E10"/>
    <w:rsid w:val="008376A9"/>
    <w:rsid w:val="008379E1"/>
    <w:rsid w:val="00837A95"/>
    <w:rsid w:val="008408DF"/>
    <w:rsid w:val="00840DC7"/>
    <w:rsid w:val="008411BF"/>
    <w:rsid w:val="00841416"/>
    <w:rsid w:val="00841572"/>
    <w:rsid w:val="0084159E"/>
    <w:rsid w:val="00841713"/>
    <w:rsid w:val="0084171A"/>
    <w:rsid w:val="00841721"/>
    <w:rsid w:val="0084174E"/>
    <w:rsid w:val="008419CC"/>
    <w:rsid w:val="00841A30"/>
    <w:rsid w:val="0084202E"/>
    <w:rsid w:val="008420E8"/>
    <w:rsid w:val="008421BB"/>
    <w:rsid w:val="008426C2"/>
    <w:rsid w:val="00842C9A"/>
    <w:rsid w:val="00842E77"/>
    <w:rsid w:val="00842E9A"/>
    <w:rsid w:val="00842ECF"/>
    <w:rsid w:val="008435A9"/>
    <w:rsid w:val="0084386B"/>
    <w:rsid w:val="00843EAF"/>
    <w:rsid w:val="00844055"/>
    <w:rsid w:val="008442EA"/>
    <w:rsid w:val="008447CE"/>
    <w:rsid w:val="008447E5"/>
    <w:rsid w:val="00844A7A"/>
    <w:rsid w:val="00844B6D"/>
    <w:rsid w:val="00844ED2"/>
    <w:rsid w:val="00844F22"/>
    <w:rsid w:val="008452B8"/>
    <w:rsid w:val="0084563C"/>
    <w:rsid w:val="008459EE"/>
    <w:rsid w:val="00846146"/>
    <w:rsid w:val="008462C4"/>
    <w:rsid w:val="00846705"/>
    <w:rsid w:val="00846740"/>
    <w:rsid w:val="00846DF6"/>
    <w:rsid w:val="00846E11"/>
    <w:rsid w:val="008471DE"/>
    <w:rsid w:val="008474A5"/>
    <w:rsid w:val="0084752D"/>
    <w:rsid w:val="00847825"/>
    <w:rsid w:val="00847A00"/>
    <w:rsid w:val="00847A37"/>
    <w:rsid w:val="008500EF"/>
    <w:rsid w:val="0085015F"/>
    <w:rsid w:val="0085047C"/>
    <w:rsid w:val="00850498"/>
    <w:rsid w:val="008504F4"/>
    <w:rsid w:val="0085059C"/>
    <w:rsid w:val="00850660"/>
    <w:rsid w:val="00850667"/>
    <w:rsid w:val="0085068E"/>
    <w:rsid w:val="008506DC"/>
    <w:rsid w:val="008507DE"/>
    <w:rsid w:val="008509B6"/>
    <w:rsid w:val="00850F1E"/>
    <w:rsid w:val="0085115B"/>
    <w:rsid w:val="00851604"/>
    <w:rsid w:val="0085194D"/>
    <w:rsid w:val="00851A19"/>
    <w:rsid w:val="00851B32"/>
    <w:rsid w:val="00852010"/>
    <w:rsid w:val="00852081"/>
    <w:rsid w:val="008523D0"/>
    <w:rsid w:val="00852546"/>
    <w:rsid w:val="008525AF"/>
    <w:rsid w:val="00852B24"/>
    <w:rsid w:val="008531AA"/>
    <w:rsid w:val="008531E8"/>
    <w:rsid w:val="008534CF"/>
    <w:rsid w:val="00853519"/>
    <w:rsid w:val="00853824"/>
    <w:rsid w:val="00853950"/>
    <w:rsid w:val="00853C8B"/>
    <w:rsid w:val="00853CDC"/>
    <w:rsid w:val="00853F7D"/>
    <w:rsid w:val="00854046"/>
    <w:rsid w:val="00854337"/>
    <w:rsid w:val="00854415"/>
    <w:rsid w:val="00854423"/>
    <w:rsid w:val="0085467B"/>
    <w:rsid w:val="00854BB3"/>
    <w:rsid w:val="00854BC8"/>
    <w:rsid w:val="00855351"/>
    <w:rsid w:val="0085576E"/>
    <w:rsid w:val="00855805"/>
    <w:rsid w:val="00855E64"/>
    <w:rsid w:val="00855F3A"/>
    <w:rsid w:val="00856496"/>
    <w:rsid w:val="0085665D"/>
    <w:rsid w:val="0085683B"/>
    <w:rsid w:val="00856C33"/>
    <w:rsid w:val="00856E4C"/>
    <w:rsid w:val="00856F17"/>
    <w:rsid w:val="00857035"/>
    <w:rsid w:val="008572AB"/>
    <w:rsid w:val="008572AE"/>
    <w:rsid w:val="008572EF"/>
    <w:rsid w:val="00857469"/>
    <w:rsid w:val="00857584"/>
    <w:rsid w:val="008575CC"/>
    <w:rsid w:val="00857D2F"/>
    <w:rsid w:val="00857F9C"/>
    <w:rsid w:val="008603C5"/>
    <w:rsid w:val="00860430"/>
    <w:rsid w:val="008604ED"/>
    <w:rsid w:val="008605C2"/>
    <w:rsid w:val="0086079A"/>
    <w:rsid w:val="00860D83"/>
    <w:rsid w:val="00860FD3"/>
    <w:rsid w:val="00861897"/>
    <w:rsid w:val="008618E7"/>
    <w:rsid w:val="00861941"/>
    <w:rsid w:val="00861D31"/>
    <w:rsid w:val="00861D8B"/>
    <w:rsid w:val="00861E82"/>
    <w:rsid w:val="00861EE4"/>
    <w:rsid w:val="00862473"/>
    <w:rsid w:val="00862EB4"/>
    <w:rsid w:val="00862F7F"/>
    <w:rsid w:val="008636A6"/>
    <w:rsid w:val="00863916"/>
    <w:rsid w:val="00863CAB"/>
    <w:rsid w:val="0086449A"/>
    <w:rsid w:val="008648BF"/>
    <w:rsid w:val="0086492B"/>
    <w:rsid w:val="00864B0D"/>
    <w:rsid w:val="00864EAD"/>
    <w:rsid w:val="00865009"/>
    <w:rsid w:val="0086509E"/>
    <w:rsid w:val="0086566C"/>
    <w:rsid w:val="008658D7"/>
    <w:rsid w:val="0086594C"/>
    <w:rsid w:val="00865BA1"/>
    <w:rsid w:val="00865C41"/>
    <w:rsid w:val="008663D1"/>
    <w:rsid w:val="008667B4"/>
    <w:rsid w:val="0086681D"/>
    <w:rsid w:val="00866905"/>
    <w:rsid w:val="00866CD3"/>
    <w:rsid w:val="00866D38"/>
    <w:rsid w:val="00867006"/>
    <w:rsid w:val="00867025"/>
    <w:rsid w:val="0086754D"/>
    <w:rsid w:val="008677B5"/>
    <w:rsid w:val="00867E2F"/>
    <w:rsid w:val="00867F23"/>
    <w:rsid w:val="008700C9"/>
    <w:rsid w:val="00870377"/>
    <w:rsid w:val="00870580"/>
    <w:rsid w:val="008712CB"/>
    <w:rsid w:val="00871866"/>
    <w:rsid w:val="00871892"/>
    <w:rsid w:val="00871CDE"/>
    <w:rsid w:val="00871D4E"/>
    <w:rsid w:val="00872015"/>
    <w:rsid w:val="0087207A"/>
    <w:rsid w:val="00872546"/>
    <w:rsid w:val="008729C5"/>
    <w:rsid w:val="00872E4D"/>
    <w:rsid w:val="00873360"/>
    <w:rsid w:val="008737F0"/>
    <w:rsid w:val="0087387B"/>
    <w:rsid w:val="00873964"/>
    <w:rsid w:val="00873B6B"/>
    <w:rsid w:val="00873DD1"/>
    <w:rsid w:val="00873E11"/>
    <w:rsid w:val="00873F1A"/>
    <w:rsid w:val="00873F8B"/>
    <w:rsid w:val="008741F1"/>
    <w:rsid w:val="008744CA"/>
    <w:rsid w:val="00874DDD"/>
    <w:rsid w:val="00874E2F"/>
    <w:rsid w:val="00874EFE"/>
    <w:rsid w:val="00875186"/>
    <w:rsid w:val="00876382"/>
    <w:rsid w:val="0087653D"/>
    <w:rsid w:val="0087663D"/>
    <w:rsid w:val="0087687C"/>
    <w:rsid w:val="00876982"/>
    <w:rsid w:val="00876CDC"/>
    <w:rsid w:val="00876E80"/>
    <w:rsid w:val="0087723D"/>
    <w:rsid w:val="008772B0"/>
    <w:rsid w:val="00877A68"/>
    <w:rsid w:val="00877EF3"/>
    <w:rsid w:val="00877F54"/>
    <w:rsid w:val="008807D3"/>
    <w:rsid w:val="00881830"/>
    <w:rsid w:val="00881914"/>
    <w:rsid w:val="00881A09"/>
    <w:rsid w:val="00881AA2"/>
    <w:rsid w:val="00881C4C"/>
    <w:rsid w:val="00881D5F"/>
    <w:rsid w:val="00881DBA"/>
    <w:rsid w:val="00881E25"/>
    <w:rsid w:val="00881E85"/>
    <w:rsid w:val="00882221"/>
    <w:rsid w:val="00882263"/>
    <w:rsid w:val="00882273"/>
    <w:rsid w:val="008825FD"/>
    <w:rsid w:val="00882762"/>
    <w:rsid w:val="008829E9"/>
    <w:rsid w:val="00882C15"/>
    <w:rsid w:val="00882FB5"/>
    <w:rsid w:val="00882FE1"/>
    <w:rsid w:val="0088334A"/>
    <w:rsid w:val="00883570"/>
    <w:rsid w:val="0088372D"/>
    <w:rsid w:val="008837B6"/>
    <w:rsid w:val="008837D0"/>
    <w:rsid w:val="00883CB8"/>
    <w:rsid w:val="00883E2C"/>
    <w:rsid w:val="00884116"/>
    <w:rsid w:val="008841AD"/>
    <w:rsid w:val="008843FE"/>
    <w:rsid w:val="0088460D"/>
    <w:rsid w:val="00884992"/>
    <w:rsid w:val="00884BA3"/>
    <w:rsid w:val="00884BAA"/>
    <w:rsid w:val="00884D0D"/>
    <w:rsid w:val="00884D6A"/>
    <w:rsid w:val="00884EA0"/>
    <w:rsid w:val="0088512A"/>
    <w:rsid w:val="008851ED"/>
    <w:rsid w:val="0088521D"/>
    <w:rsid w:val="008853D4"/>
    <w:rsid w:val="00885E8B"/>
    <w:rsid w:val="00885EFC"/>
    <w:rsid w:val="00885F26"/>
    <w:rsid w:val="008860A6"/>
    <w:rsid w:val="00886138"/>
    <w:rsid w:val="00886385"/>
    <w:rsid w:val="00886812"/>
    <w:rsid w:val="00886963"/>
    <w:rsid w:val="008869EA"/>
    <w:rsid w:val="00886A61"/>
    <w:rsid w:val="00886B8D"/>
    <w:rsid w:val="008871E9"/>
    <w:rsid w:val="00887ADB"/>
    <w:rsid w:val="00887BBD"/>
    <w:rsid w:val="00887E0D"/>
    <w:rsid w:val="00887F52"/>
    <w:rsid w:val="008901C3"/>
    <w:rsid w:val="008902EC"/>
    <w:rsid w:val="008903AB"/>
    <w:rsid w:val="0089088E"/>
    <w:rsid w:val="008909DA"/>
    <w:rsid w:val="00890A12"/>
    <w:rsid w:val="00890F3E"/>
    <w:rsid w:val="00890FBB"/>
    <w:rsid w:val="008914FF"/>
    <w:rsid w:val="00891550"/>
    <w:rsid w:val="00891607"/>
    <w:rsid w:val="0089176F"/>
    <w:rsid w:val="00891849"/>
    <w:rsid w:val="00891B79"/>
    <w:rsid w:val="00891D50"/>
    <w:rsid w:val="00892156"/>
    <w:rsid w:val="00892403"/>
    <w:rsid w:val="00892A37"/>
    <w:rsid w:val="00892C75"/>
    <w:rsid w:val="00892FFA"/>
    <w:rsid w:val="00893026"/>
    <w:rsid w:val="00893594"/>
    <w:rsid w:val="00893644"/>
    <w:rsid w:val="0089365D"/>
    <w:rsid w:val="0089368F"/>
    <w:rsid w:val="00893CD1"/>
    <w:rsid w:val="0089408D"/>
    <w:rsid w:val="0089455D"/>
    <w:rsid w:val="0089468A"/>
    <w:rsid w:val="00894885"/>
    <w:rsid w:val="00894F31"/>
    <w:rsid w:val="008952BB"/>
    <w:rsid w:val="008954C0"/>
    <w:rsid w:val="008955BB"/>
    <w:rsid w:val="0089569B"/>
    <w:rsid w:val="00895A4D"/>
    <w:rsid w:val="0089607D"/>
    <w:rsid w:val="0089678E"/>
    <w:rsid w:val="008968A8"/>
    <w:rsid w:val="00896CAB"/>
    <w:rsid w:val="00896F19"/>
    <w:rsid w:val="00897323"/>
    <w:rsid w:val="0089762C"/>
    <w:rsid w:val="00897664"/>
    <w:rsid w:val="0089783B"/>
    <w:rsid w:val="00897ABA"/>
    <w:rsid w:val="00897D63"/>
    <w:rsid w:val="00897DDF"/>
    <w:rsid w:val="00897F76"/>
    <w:rsid w:val="008A00C7"/>
    <w:rsid w:val="008A0451"/>
    <w:rsid w:val="008A089A"/>
    <w:rsid w:val="008A0E5F"/>
    <w:rsid w:val="008A0EDA"/>
    <w:rsid w:val="008A0F78"/>
    <w:rsid w:val="008A101D"/>
    <w:rsid w:val="008A10B7"/>
    <w:rsid w:val="008A13EF"/>
    <w:rsid w:val="008A1D37"/>
    <w:rsid w:val="008A1FE5"/>
    <w:rsid w:val="008A20E3"/>
    <w:rsid w:val="008A2174"/>
    <w:rsid w:val="008A21F5"/>
    <w:rsid w:val="008A25DE"/>
    <w:rsid w:val="008A2676"/>
    <w:rsid w:val="008A2B75"/>
    <w:rsid w:val="008A2E8D"/>
    <w:rsid w:val="008A335E"/>
    <w:rsid w:val="008A352A"/>
    <w:rsid w:val="008A362C"/>
    <w:rsid w:val="008A3F90"/>
    <w:rsid w:val="008A425B"/>
    <w:rsid w:val="008A462B"/>
    <w:rsid w:val="008A4B7D"/>
    <w:rsid w:val="008A4BA5"/>
    <w:rsid w:val="008A4C49"/>
    <w:rsid w:val="008A4DD0"/>
    <w:rsid w:val="008A4F75"/>
    <w:rsid w:val="008A509C"/>
    <w:rsid w:val="008A5271"/>
    <w:rsid w:val="008A53BA"/>
    <w:rsid w:val="008A573D"/>
    <w:rsid w:val="008A58E6"/>
    <w:rsid w:val="008A5C65"/>
    <w:rsid w:val="008A5E73"/>
    <w:rsid w:val="008A62B9"/>
    <w:rsid w:val="008A6451"/>
    <w:rsid w:val="008A64A1"/>
    <w:rsid w:val="008A67AB"/>
    <w:rsid w:val="008A68FB"/>
    <w:rsid w:val="008A7076"/>
    <w:rsid w:val="008A70E4"/>
    <w:rsid w:val="008A7214"/>
    <w:rsid w:val="008A73D4"/>
    <w:rsid w:val="008A757A"/>
    <w:rsid w:val="008A7634"/>
    <w:rsid w:val="008A7B96"/>
    <w:rsid w:val="008A7D27"/>
    <w:rsid w:val="008A7E65"/>
    <w:rsid w:val="008B06FA"/>
    <w:rsid w:val="008B0BA4"/>
    <w:rsid w:val="008B0F95"/>
    <w:rsid w:val="008B1676"/>
    <w:rsid w:val="008B17DC"/>
    <w:rsid w:val="008B1BA7"/>
    <w:rsid w:val="008B1F43"/>
    <w:rsid w:val="008B1FAE"/>
    <w:rsid w:val="008B215A"/>
    <w:rsid w:val="008B2663"/>
    <w:rsid w:val="008B267E"/>
    <w:rsid w:val="008B26FF"/>
    <w:rsid w:val="008B2969"/>
    <w:rsid w:val="008B2B4E"/>
    <w:rsid w:val="008B342E"/>
    <w:rsid w:val="008B34E3"/>
    <w:rsid w:val="008B378C"/>
    <w:rsid w:val="008B3CB1"/>
    <w:rsid w:val="008B402A"/>
    <w:rsid w:val="008B449B"/>
    <w:rsid w:val="008B4601"/>
    <w:rsid w:val="008B4C8E"/>
    <w:rsid w:val="008B52EE"/>
    <w:rsid w:val="008B531E"/>
    <w:rsid w:val="008B58E0"/>
    <w:rsid w:val="008B5F2F"/>
    <w:rsid w:val="008B5F31"/>
    <w:rsid w:val="008B6580"/>
    <w:rsid w:val="008B6586"/>
    <w:rsid w:val="008B674A"/>
    <w:rsid w:val="008B6B7A"/>
    <w:rsid w:val="008B6C9D"/>
    <w:rsid w:val="008B6F6A"/>
    <w:rsid w:val="008B7111"/>
    <w:rsid w:val="008B71B6"/>
    <w:rsid w:val="008B733F"/>
    <w:rsid w:val="008B7511"/>
    <w:rsid w:val="008B755F"/>
    <w:rsid w:val="008B77FD"/>
    <w:rsid w:val="008B7B82"/>
    <w:rsid w:val="008B7DB3"/>
    <w:rsid w:val="008C02ED"/>
    <w:rsid w:val="008C0419"/>
    <w:rsid w:val="008C042B"/>
    <w:rsid w:val="008C05BC"/>
    <w:rsid w:val="008C081D"/>
    <w:rsid w:val="008C0A8D"/>
    <w:rsid w:val="008C0B68"/>
    <w:rsid w:val="008C1038"/>
    <w:rsid w:val="008C10FB"/>
    <w:rsid w:val="008C14A9"/>
    <w:rsid w:val="008C1B71"/>
    <w:rsid w:val="008C232C"/>
    <w:rsid w:val="008C2449"/>
    <w:rsid w:val="008C2590"/>
    <w:rsid w:val="008C2D8F"/>
    <w:rsid w:val="008C2E34"/>
    <w:rsid w:val="008C3588"/>
    <w:rsid w:val="008C38B8"/>
    <w:rsid w:val="008C3C88"/>
    <w:rsid w:val="008C40E1"/>
    <w:rsid w:val="008C4156"/>
    <w:rsid w:val="008C44AE"/>
    <w:rsid w:val="008C4602"/>
    <w:rsid w:val="008C4663"/>
    <w:rsid w:val="008C48E7"/>
    <w:rsid w:val="008C4BFB"/>
    <w:rsid w:val="008C52A3"/>
    <w:rsid w:val="008C52CE"/>
    <w:rsid w:val="008C566B"/>
    <w:rsid w:val="008C57BD"/>
    <w:rsid w:val="008C58EC"/>
    <w:rsid w:val="008C5AF4"/>
    <w:rsid w:val="008C5BBD"/>
    <w:rsid w:val="008C5C20"/>
    <w:rsid w:val="008C6053"/>
    <w:rsid w:val="008C60F7"/>
    <w:rsid w:val="008C615D"/>
    <w:rsid w:val="008C650E"/>
    <w:rsid w:val="008C6553"/>
    <w:rsid w:val="008C6577"/>
    <w:rsid w:val="008C6797"/>
    <w:rsid w:val="008C6BD2"/>
    <w:rsid w:val="008C6BE8"/>
    <w:rsid w:val="008C6E16"/>
    <w:rsid w:val="008C7020"/>
    <w:rsid w:val="008C7105"/>
    <w:rsid w:val="008C71D8"/>
    <w:rsid w:val="008C7202"/>
    <w:rsid w:val="008C73C0"/>
    <w:rsid w:val="008C76F8"/>
    <w:rsid w:val="008C773E"/>
    <w:rsid w:val="008C79CC"/>
    <w:rsid w:val="008C7D5E"/>
    <w:rsid w:val="008C7FB8"/>
    <w:rsid w:val="008D0907"/>
    <w:rsid w:val="008D0AAC"/>
    <w:rsid w:val="008D0D14"/>
    <w:rsid w:val="008D0FB4"/>
    <w:rsid w:val="008D1240"/>
    <w:rsid w:val="008D144D"/>
    <w:rsid w:val="008D172F"/>
    <w:rsid w:val="008D18DF"/>
    <w:rsid w:val="008D1B9C"/>
    <w:rsid w:val="008D2B5F"/>
    <w:rsid w:val="008D2B98"/>
    <w:rsid w:val="008D2E25"/>
    <w:rsid w:val="008D3103"/>
    <w:rsid w:val="008D31C7"/>
    <w:rsid w:val="008D3204"/>
    <w:rsid w:val="008D35CF"/>
    <w:rsid w:val="008D365B"/>
    <w:rsid w:val="008D37FA"/>
    <w:rsid w:val="008D3BD4"/>
    <w:rsid w:val="008D3D36"/>
    <w:rsid w:val="008D3DB7"/>
    <w:rsid w:val="008D3F88"/>
    <w:rsid w:val="008D44CF"/>
    <w:rsid w:val="008D4662"/>
    <w:rsid w:val="008D4919"/>
    <w:rsid w:val="008D493A"/>
    <w:rsid w:val="008D4AB5"/>
    <w:rsid w:val="008D4B46"/>
    <w:rsid w:val="008D4BC8"/>
    <w:rsid w:val="008D505F"/>
    <w:rsid w:val="008D519C"/>
    <w:rsid w:val="008D55C1"/>
    <w:rsid w:val="008D5865"/>
    <w:rsid w:val="008D5961"/>
    <w:rsid w:val="008D60C3"/>
    <w:rsid w:val="008D6224"/>
    <w:rsid w:val="008D649D"/>
    <w:rsid w:val="008D66E8"/>
    <w:rsid w:val="008D6997"/>
    <w:rsid w:val="008D6BE1"/>
    <w:rsid w:val="008D6D9E"/>
    <w:rsid w:val="008D6E28"/>
    <w:rsid w:val="008D721A"/>
    <w:rsid w:val="008D7B72"/>
    <w:rsid w:val="008D7CC1"/>
    <w:rsid w:val="008E0651"/>
    <w:rsid w:val="008E0B0D"/>
    <w:rsid w:val="008E0C29"/>
    <w:rsid w:val="008E0E00"/>
    <w:rsid w:val="008E0FF1"/>
    <w:rsid w:val="008E13A9"/>
    <w:rsid w:val="008E1A4E"/>
    <w:rsid w:val="008E1C94"/>
    <w:rsid w:val="008E1CC6"/>
    <w:rsid w:val="008E1EE3"/>
    <w:rsid w:val="008E24CC"/>
    <w:rsid w:val="008E281A"/>
    <w:rsid w:val="008E285F"/>
    <w:rsid w:val="008E28B4"/>
    <w:rsid w:val="008E2CE4"/>
    <w:rsid w:val="008E2D7C"/>
    <w:rsid w:val="008E2ED9"/>
    <w:rsid w:val="008E309F"/>
    <w:rsid w:val="008E3513"/>
    <w:rsid w:val="008E36C1"/>
    <w:rsid w:val="008E3C3D"/>
    <w:rsid w:val="008E3D30"/>
    <w:rsid w:val="008E3E1C"/>
    <w:rsid w:val="008E3E40"/>
    <w:rsid w:val="008E488C"/>
    <w:rsid w:val="008E4920"/>
    <w:rsid w:val="008E4955"/>
    <w:rsid w:val="008E4B19"/>
    <w:rsid w:val="008E4C6B"/>
    <w:rsid w:val="008E4D93"/>
    <w:rsid w:val="008E4EAA"/>
    <w:rsid w:val="008E596A"/>
    <w:rsid w:val="008E600C"/>
    <w:rsid w:val="008E6330"/>
    <w:rsid w:val="008E6406"/>
    <w:rsid w:val="008E6B24"/>
    <w:rsid w:val="008E6EE9"/>
    <w:rsid w:val="008E6FFF"/>
    <w:rsid w:val="008E72A4"/>
    <w:rsid w:val="008E7436"/>
    <w:rsid w:val="008E7597"/>
    <w:rsid w:val="008E7BFE"/>
    <w:rsid w:val="008E7C81"/>
    <w:rsid w:val="008E7EAC"/>
    <w:rsid w:val="008F0152"/>
    <w:rsid w:val="008F06DE"/>
    <w:rsid w:val="008F0C43"/>
    <w:rsid w:val="008F0DCC"/>
    <w:rsid w:val="008F0E6F"/>
    <w:rsid w:val="008F11A5"/>
    <w:rsid w:val="008F1875"/>
    <w:rsid w:val="008F1961"/>
    <w:rsid w:val="008F198C"/>
    <w:rsid w:val="008F1A95"/>
    <w:rsid w:val="008F1B66"/>
    <w:rsid w:val="008F1CBC"/>
    <w:rsid w:val="008F1F92"/>
    <w:rsid w:val="008F1FD9"/>
    <w:rsid w:val="008F2124"/>
    <w:rsid w:val="008F214B"/>
    <w:rsid w:val="008F2287"/>
    <w:rsid w:val="008F238B"/>
    <w:rsid w:val="008F2600"/>
    <w:rsid w:val="008F2765"/>
    <w:rsid w:val="008F2C57"/>
    <w:rsid w:val="008F2C6A"/>
    <w:rsid w:val="008F2CAD"/>
    <w:rsid w:val="008F2CCA"/>
    <w:rsid w:val="008F2D57"/>
    <w:rsid w:val="008F2EDF"/>
    <w:rsid w:val="008F31CB"/>
    <w:rsid w:val="008F32E6"/>
    <w:rsid w:val="008F34F9"/>
    <w:rsid w:val="008F35BB"/>
    <w:rsid w:val="008F381B"/>
    <w:rsid w:val="008F3860"/>
    <w:rsid w:val="008F3A4F"/>
    <w:rsid w:val="008F3C64"/>
    <w:rsid w:val="008F3E39"/>
    <w:rsid w:val="008F400C"/>
    <w:rsid w:val="008F41DB"/>
    <w:rsid w:val="008F4411"/>
    <w:rsid w:val="008F4769"/>
    <w:rsid w:val="008F492B"/>
    <w:rsid w:val="008F4B6B"/>
    <w:rsid w:val="008F4C41"/>
    <w:rsid w:val="008F4C88"/>
    <w:rsid w:val="008F4E8D"/>
    <w:rsid w:val="008F501F"/>
    <w:rsid w:val="008F54C6"/>
    <w:rsid w:val="008F5735"/>
    <w:rsid w:val="008F579A"/>
    <w:rsid w:val="008F5B1A"/>
    <w:rsid w:val="008F5EE0"/>
    <w:rsid w:val="008F5FF0"/>
    <w:rsid w:val="008F6686"/>
    <w:rsid w:val="008F6BBB"/>
    <w:rsid w:val="008F6CA8"/>
    <w:rsid w:val="008F6D26"/>
    <w:rsid w:val="008F7041"/>
    <w:rsid w:val="008F7165"/>
    <w:rsid w:val="008F72C3"/>
    <w:rsid w:val="008F730E"/>
    <w:rsid w:val="008F73E9"/>
    <w:rsid w:val="008F7638"/>
    <w:rsid w:val="008F76B0"/>
    <w:rsid w:val="008F792F"/>
    <w:rsid w:val="008F7A33"/>
    <w:rsid w:val="008F7BEA"/>
    <w:rsid w:val="008F7FB2"/>
    <w:rsid w:val="00900045"/>
    <w:rsid w:val="009008C8"/>
    <w:rsid w:val="00900900"/>
    <w:rsid w:val="00900942"/>
    <w:rsid w:val="0090095E"/>
    <w:rsid w:val="009009D1"/>
    <w:rsid w:val="00900BD5"/>
    <w:rsid w:val="00900EB4"/>
    <w:rsid w:val="00901387"/>
    <w:rsid w:val="0090140C"/>
    <w:rsid w:val="00901779"/>
    <w:rsid w:val="00901911"/>
    <w:rsid w:val="009019DF"/>
    <w:rsid w:val="00901A3B"/>
    <w:rsid w:val="00901BD5"/>
    <w:rsid w:val="00901CD3"/>
    <w:rsid w:val="0090231E"/>
    <w:rsid w:val="0090261A"/>
    <w:rsid w:val="00903624"/>
    <w:rsid w:val="00903A10"/>
    <w:rsid w:val="00903ADB"/>
    <w:rsid w:val="00903B98"/>
    <w:rsid w:val="00903CA6"/>
    <w:rsid w:val="009041F3"/>
    <w:rsid w:val="0090422E"/>
    <w:rsid w:val="00904540"/>
    <w:rsid w:val="00904784"/>
    <w:rsid w:val="00904856"/>
    <w:rsid w:val="009048EB"/>
    <w:rsid w:val="009049A4"/>
    <w:rsid w:val="009049AC"/>
    <w:rsid w:val="00904A0D"/>
    <w:rsid w:val="00904C22"/>
    <w:rsid w:val="00904D04"/>
    <w:rsid w:val="00904ED3"/>
    <w:rsid w:val="00904EE4"/>
    <w:rsid w:val="00904FD0"/>
    <w:rsid w:val="0090521D"/>
    <w:rsid w:val="00905267"/>
    <w:rsid w:val="009054FC"/>
    <w:rsid w:val="00905602"/>
    <w:rsid w:val="00905C46"/>
    <w:rsid w:val="00905E46"/>
    <w:rsid w:val="00905F92"/>
    <w:rsid w:val="0090614B"/>
    <w:rsid w:val="00906171"/>
    <w:rsid w:val="0090641A"/>
    <w:rsid w:val="0090679B"/>
    <w:rsid w:val="00906B01"/>
    <w:rsid w:val="00906B69"/>
    <w:rsid w:val="00907491"/>
    <w:rsid w:val="00907679"/>
    <w:rsid w:val="009077E0"/>
    <w:rsid w:val="00907DFF"/>
    <w:rsid w:val="00907FE7"/>
    <w:rsid w:val="00910179"/>
    <w:rsid w:val="009102C6"/>
    <w:rsid w:val="00910505"/>
    <w:rsid w:val="00910514"/>
    <w:rsid w:val="00910571"/>
    <w:rsid w:val="00910ACE"/>
    <w:rsid w:val="00910B01"/>
    <w:rsid w:val="00910BEB"/>
    <w:rsid w:val="00910C5C"/>
    <w:rsid w:val="00911092"/>
    <w:rsid w:val="00911293"/>
    <w:rsid w:val="00911499"/>
    <w:rsid w:val="00911B8E"/>
    <w:rsid w:val="00911E5B"/>
    <w:rsid w:val="00912179"/>
    <w:rsid w:val="009121B2"/>
    <w:rsid w:val="009126F0"/>
    <w:rsid w:val="00912985"/>
    <w:rsid w:val="00913544"/>
    <w:rsid w:val="00913B04"/>
    <w:rsid w:val="00913DB9"/>
    <w:rsid w:val="009141A9"/>
    <w:rsid w:val="00914215"/>
    <w:rsid w:val="00914308"/>
    <w:rsid w:val="00914F04"/>
    <w:rsid w:val="009151D2"/>
    <w:rsid w:val="00915421"/>
    <w:rsid w:val="009156F2"/>
    <w:rsid w:val="009159E2"/>
    <w:rsid w:val="00915A68"/>
    <w:rsid w:val="009160C2"/>
    <w:rsid w:val="0091623C"/>
    <w:rsid w:val="00916571"/>
    <w:rsid w:val="009166DE"/>
    <w:rsid w:val="009167AD"/>
    <w:rsid w:val="00916A2C"/>
    <w:rsid w:val="00916C89"/>
    <w:rsid w:val="00916F50"/>
    <w:rsid w:val="0091736B"/>
    <w:rsid w:val="00917634"/>
    <w:rsid w:val="00917C20"/>
    <w:rsid w:val="00917D57"/>
    <w:rsid w:val="00917DC6"/>
    <w:rsid w:val="00917E85"/>
    <w:rsid w:val="0092013B"/>
    <w:rsid w:val="00920DB8"/>
    <w:rsid w:val="00920F14"/>
    <w:rsid w:val="009211FF"/>
    <w:rsid w:val="00921202"/>
    <w:rsid w:val="00921291"/>
    <w:rsid w:val="00921554"/>
    <w:rsid w:val="009216EC"/>
    <w:rsid w:val="009218D7"/>
    <w:rsid w:val="0092190C"/>
    <w:rsid w:val="00921956"/>
    <w:rsid w:val="00921A53"/>
    <w:rsid w:val="00921AB7"/>
    <w:rsid w:val="00921B72"/>
    <w:rsid w:val="00921D50"/>
    <w:rsid w:val="009223D1"/>
    <w:rsid w:val="009223F6"/>
    <w:rsid w:val="00922554"/>
    <w:rsid w:val="0092269D"/>
    <w:rsid w:val="009227E7"/>
    <w:rsid w:val="00922801"/>
    <w:rsid w:val="00922B8E"/>
    <w:rsid w:val="00922D26"/>
    <w:rsid w:val="00923016"/>
    <w:rsid w:val="009230A5"/>
    <w:rsid w:val="009232C0"/>
    <w:rsid w:val="00923492"/>
    <w:rsid w:val="009236F8"/>
    <w:rsid w:val="009237DD"/>
    <w:rsid w:val="00923993"/>
    <w:rsid w:val="009239D9"/>
    <w:rsid w:val="00923B08"/>
    <w:rsid w:val="00923DD8"/>
    <w:rsid w:val="00924098"/>
    <w:rsid w:val="00924107"/>
    <w:rsid w:val="00924191"/>
    <w:rsid w:val="009247B0"/>
    <w:rsid w:val="0092501D"/>
    <w:rsid w:val="0092509C"/>
    <w:rsid w:val="0092530E"/>
    <w:rsid w:val="009253D0"/>
    <w:rsid w:val="0092593E"/>
    <w:rsid w:val="009259E7"/>
    <w:rsid w:val="00925DC8"/>
    <w:rsid w:val="00925E78"/>
    <w:rsid w:val="00925F04"/>
    <w:rsid w:val="00925F4F"/>
    <w:rsid w:val="00926715"/>
    <w:rsid w:val="0092676A"/>
    <w:rsid w:val="0092688C"/>
    <w:rsid w:val="009269BC"/>
    <w:rsid w:val="009269C4"/>
    <w:rsid w:val="00926CF7"/>
    <w:rsid w:val="00926E1A"/>
    <w:rsid w:val="00926FA8"/>
    <w:rsid w:val="00927275"/>
    <w:rsid w:val="009273D9"/>
    <w:rsid w:val="00927445"/>
    <w:rsid w:val="009275EE"/>
    <w:rsid w:val="00927A38"/>
    <w:rsid w:val="00927AEC"/>
    <w:rsid w:val="009300F6"/>
    <w:rsid w:val="0093054E"/>
    <w:rsid w:val="00930643"/>
    <w:rsid w:val="00930733"/>
    <w:rsid w:val="0093096C"/>
    <w:rsid w:val="0093097D"/>
    <w:rsid w:val="00930D4C"/>
    <w:rsid w:val="00930DF4"/>
    <w:rsid w:val="00931077"/>
    <w:rsid w:val="0093127D"/>
    <w:rsid w:val="00931751"/>
    <w:rsid w:val="0093183A"/>
    <w:rsid w:val="00931FE3"/>
    <w:rsid w:val="00932BE3"/>
    <w:rsid w:val="00932E3A"/>
    <w:rsid w:val="00932F98"/>
    <w:rsid w:val="00933021"/>
    <w:rsid w:val="00933089"/>
    <w:rsid w:val="00933242"/>
    <w:rsid w:val="0093330E"/>
    <w:rsid w:val="00933329"/>
    <w:rsid w:val="0093354C"/>
    <w:rsid w:val="009336B9"/>
    <w:rsid w:val="00933B96"/>
    <w:rsid w:val="0093422D"/>
    <w:rsid w:val="009347AC"/>
    <w:rsid w:val="00934D7B"/>
    <w:rsid w:val="00934E2C"/>
    <w:rsid w:val="00935036"/>
    <w:rsid w:val="00935287"/>
    <w:rsid w:val="009359F7"/>
    <w:rsid w:val="00935A0B"/>
    <w:rsid w:val="00935DF1"/>
    <w:rsid w:val="00935EEE"/>
    <w:rsid w:val="00935F76"/>
    <w:rsid w:val="00936006"/>
    <w:rsid w:val="009364F8"/>
    <w:rsid w:val="00936640"/>
    <w:rsid w:val="009366E2"/>
    <w:rsid w:val="00936880"/>
    <w:rsid w:val="00936D4F"/>
    <w:rsid w:val="00936D50"/>
    <w:rsid w:val="009374F7"/>
    <w:rsid w:val="009377A7"/>
    <w:rsid w:val="009377CB"/>
    <w:rsid w:val="00937C6D"/>
    <w:rsid w:val="00940003"/>
    <w:rsid w:val="009405D9"/>
    <w:rsid w:val="0094088A"/>
    <w:rsid w:val="00940C17"/>
    <w:rsid w:val="00940EA3"/>
    <w:rsid w:val="00940FC6"/>
    <w:rsid w:val="009412FF"/>
    <w:rsid w:val="009415C6"/>
    <w:rsid w:val="009416F7"/>
    <w:rsid w:val="0094174E"/>
    <w:rsid w:val="00941850"/>
    <w:rsid w:val="00941AF0"/>
    <w:rsid w:val="00941B41"/>
    <w:rsid w:val="00941C15"/>
    <w:rsid w:val="00941C3A"/>
    <w:rsid w:val="00941C6D"/>
    <w:rsid w:val="00942046"/>
    <w:rsid w:val="00942554"/>
    <w:rsid w:val="00942BDB"/>
    <w:rsid w:val="0094317A"/>
    <w:rsid w:val="00943460"/>
    <w:rsid w:val="0094353D"/>
    <w:rsid w:val="00943BAC"/>
    <w:rsid w:val="00943EB9"/>
    <w:rsid w:val="00943F86"/>
    <w:rsid w:val="009441E2"/>
    <w:rsid w:val="009444BF"/>
    <w:rsid w:val="009449C8"/>
    <w:rsid w:val="00944E87"/>
    <w:rsid w:val="00945417"/>
    <w:rsid w:val="00945425"/>
    <w:rsid w:val="00945A93"/>
    <w:rsid w:val="00945C8E"/>
    <w:rsid w:val="00945CD3"/>
    <w:rsid w:val="0094640A"/>
    <w:rsid w:val="00946A0B"/>
    <w:rsid w:val="00946A7E"/>
    <w:rsid w:val="00946B97"/>
    <w:rsid w:val="00946C45"/>
    <w:rsid w:val="00946E68"/>
    <w:rsid w:val="009472F8"/>
    <w:rsid w:val="009474CF"/>
    <w:rsid w:val="00947C5F"/>
    <w:rsid w:val="00947CD7"/>
    <w:rsid w:val="00947EEF"/>
    <w:rsid w:val="0095004A"/>
    <w:rsid w:val="00950109"/>
    <w:rsid w:val="009501CC"/>
    <w:rsid w:val="009506DD"/>
    <w:rsid w:val="0095084D"/>
    <w:rsid w:val="009508DB"/>
    <w:rsid w:val="00950937"/>
    <w:rsid w:val="00950AB3"/>
    <w:rsid w:val="00950E95"/>
    <w:rsid w:val="00950ED0"/>
    <w:rsid w:val="009511B7"/>
    <w:rsid w:val="00951717"/>
    <w:rsid w:val="00951724"/>
    <w:rsid w:val="009518CB"/>
    <w:rsid w:val="00951DA1"/>
    <w:rsid w:val="00951E80"/>
    <w:rsid w:val="00951F46"/>
    <w:rsid w:val="00952584"/>
    <w:rsid w:val="009533C5"/>
    <w:rsid w:val="00953EF2"/>
    <w:rsid w:val="00954326"/>
    <w:rsid w:val="0095463D"/>
    <w:rsid w:val="0095478E"/>
    <w:rsid w:val="0095489C"/>
    <w:rsid w:val="00954F73"/>
    <w:rsid w:val="0095501F"/>
    <w:rsid w:val="00955868"/>
    <w:rsid w:val="009558E1"/>
    <w:rsid w:val="00955F3D"/>
    <w:rsid w:val="00956455"/>
    <w:rsid w:val="0095690B"/>
    <w:rsid w:val="00956B66"/>
    <w:rsid w:val="00956DD6"/>
    <w:rsid w:val="00956E52"/>
    <w:rsid w:val="00957121"/>
    <w:rsid w:val="00957292"/>
    <w:rsid w:val="00957398"/>
    <w:rsid w:val="0095785D"/>
    <w:rsid w:val="00957CDA"/>
    <w:rsid w:val="00957D92"/>
    <w:rsid w:val="00957FCC"/>
    <w:rsid w:val="00960026"/>
    <w:rsid w:val="009604C7"/>
    <w:rsid w:val="009604F1"/>
    <w:rsid w:val="00960644"/>
    <w:rsid w:val="009607B1"/>
    <w:rsid w:val="00960B18"/>
    <w:rsid w:val="00960BD3"/>
    <w:rsid w:val="00960CF2"/>
    <w:rsid w:val="00960D0B"/>
    <w:rsid w:val="00960F36"/>
    <w:rsid w:val="00960F4D"/>
    <w:rsid w:val="0096139C"/>
    <w:rsid w:val="0096199A"/>
    <w:rsid w:val="009619A3"/>
    <w:rsid w:val="00961B52"/>
    <w:rsid w:val="00961BCB"/>
    <w:rsid w:val="00961BF5"/>
    <w:rsid w:val="00961ECB"/>
    <w:rsid w:val="00961F57"/>
    <w:rsid w:val="00962030"/>
    <w:rsid w:val="0096258C"/>
    <w:rsid w:val="00962952"/>
    <w:rsid w:val="00962B1C"/>
    <w:rsid w:val="00962EF7"/>
    <w:rsid w:val="00963020"/>
    <w:rsid w:val="0096339C"/>
    <w:rsid w:val="009634C9"/>
    <w:rsid w:val="00963E75"/>
    <w:rsid w:val="00963F5F"/>
    <w:rsid w:val="00963F98"/>
    <w:rsid w:val="00964167"/>
    <w:rsid w:val="00964180"/>
    <w:rsid w:val="009641F3"/>
    <w:rsid w:val="009646D2"/>
    <w:rsid w:val="00964C32"/>
    <w:rsid w:val="00964DBC"/>
    <w:rsid w:val="00965916"/>
    <w:rsid w:val="009663D2"/>
    <w:rsid w:val="00966AB8"/>
    <w:rsid w:val="00966EF8"/>
    <w:rsid w:val="00966FBF"/>
    <w:rsid w:val="0096701D"/>
    <w:rsid w:val="009672E0"/>
    <w:rsid w:val="00967372"/>
    <w:rsid w:val="0096767D"/>
    <w:rsid w:val="0096799F"/>
    <w:rsid w:val="00967B1B"/>
    <w:rsid w:val="00967CE4"/>
    <w:rsid w:val="00967F00"/>
    <w:rsid w:val="00967FC1"/>
    <w:rsid w:val="009703D3"/>
    <w:rsid w:val="00970C96"/>
    <w:rsid w:val="00970D02"/>
    <w:rsid w:val="00970E12"/>
    <w:rsid w:val="00970E52"/>
    <w:rsid w:val="00970EE8"/>
    <w:rsid w:val="00971350"/>
    <w:rsid w:val="00971679"/>
    <w:rsid w:val="009717CA"/>
    <w:rsid w:val="00971864"/>
    <w:rsid w:val="009719AD"/>
    <w:rsid w:val="00971A96"/>
    <w:rsid w:val="00971B2A"/>
    <w:rsid w:val="00971E64"/>
    <w:rsid w:val="00971EC6"/>
    <w:rsid w:val="009721D2"/>
    <w:rsid w:val="009722FF"/>
    <w:rsid w:val="0097242D"/>
    <w:rsid w:val="009724DE"/>
    <w:rsid w:val="0097293D"/>
    <w:rsid w:val="00972B33"/>
    <w:rsid w:val="00972EB0"/>
    <w:rsid w:val="0097321A"/>
    <w:rsid w:val="00973308"/>
    <w:rsid w:val="009735CB"/>
    <w:rsid w:val="00973612"/>
    <w:rsid w:val="00973B15"/>
    <w:rsid w:val="00973DCD"/>
    <w:rsid w:val="009749E7"/>
    <w:rsid w:val="00974B42"/>
    <w:rsid w:val="00974CE7"/>
    <w:rsid w:val="00974D33"/>
    <w:rsid w:val="00974FB9"/>
    <w:rsid w:val="00975551"/>
    <w:rsid w:val="009756AC"/>
    <w:rsid w:val="0097578D"/>
    <w:rsid w:val="00975E16"/>
    <w:rsid w:val="00975EC5"/>
    <w:rsid w:val="00975EF7"/>
    <w:rsid w:val="0097606D"/>
    <w:rsid w:val="009762CC"/>
    <w:rsid w:val="009766AB"/>
    <w:rsid w:val="00976C44"/>
    <w:rsid w:val="00976E43"/>
    <w:rsid w:val="0097706D"/>
    <w:rsid w:val="009770A5"/>
    <w:rsid w:val="0097716E"/>
    <w:rsid w:val="009772D5"/>
    <w:rsid w:val="0097757F"/>
    <w:rsid w:val="009775A6"/>
    <w:rsid w:val="009776E0"/>
    <w:rsid w:val="00977CDC"/>
    <w:rsid w:val="009800FC"/>
    <w:rsid w:val="009804BE"/>
    <w:rsid w:val="009805FF"/>
    <w:rsid w:val="0098062A"/>
    <w:rsid w:val="00980990"/>
    <w:rsid w:val="009809D2"/>
    <w:rsid w:val="00980B56"/>
    <w:rsid w:val="009811C3"/>
    <w:rsid w:val="009812EE"/>
    <w:rsid w:val="00981344"/>
    <w:rsid w:val="00981518"/>
    <w:rsid w:val="009815B4"/>
    <w:rsid w:val="0098174F"/>
    <w:rsid w:val="009818C6"/>
    <w:rsid w:val="00982818"/>
    <w:rsid w:val="00982882"/>
    <w:rsid w:val="00982B48"/>
    <w:rsid w:val="00982EE8"/>
    <w:rsid w:val="00982FFC"/>
    <w:rsid w:val="00983162"/>
    <w:rsid w:val="00983655"/>
    <w:rsid w:val="0098371E"/>
    <w:rsid w:val="00983959"/>
    <w:rsid w:val="00983AD4"/>
    <w:rsid w:val="00983B56"/>
    <w:rsid w:val="00983C0B"/>
    <w:rsid w:val="00984130"/>
    <w:rsid w:val="00984185"/>
    <w:rsid w:val="0098449C"/>
    <w:rsid w:val="00984931"/>
    <w:rsid w:val="00984A79"/>
    <w:rsid w:val="00984CDA"/>
    <w:rsid w:val="0098508B"/>
    <w:rsid w:val="0098509A"/>
    <w:rsid w:val="00985B2A"/>
    <w:rsid w:val="00985B50"/>
    <w:rsid w:val="00985B81"/>
    <w:rsid w:val="00985E68"/>
    <w:rsid w:val="009860E9"/>
    <w:rsid w:val="00986207"/>
    <w:rsid w:val="00986232"/>
    <w:rsid w:val="00986E0A"/>
    <w:rsid w:val="00986E6F"/>
    <w:rsid w:val="00986F93"/>
    <w:rsid w:val="0098725C"/>
    <w:rsid w:val="009877A8"/>
    <w:rsid w:val="0098794B"/>
    <w:rsid w:val="00987F7D"/>
    <w:rsid w:val="00990176"/>
    <w:rsid w:val="009904FF"/>
    <w:rsid w:val="00990545"/>
    <w:rsid w:val="00990646"/>
    <w:rsid w:val="009907B5"/>
    <w:rsid w:val="009909CB"/>
    <w:rsid w:val="00990A57"/>
    <w:rsid w:val="00990B72"/>
    <w:rsid w:val="00990C12"/>
    <w:rsid w:val="0099119A"/>
    <w:rsid w:val="00991339"/>
    <w:rsid w:val="0099139A"/>
    <w:rsid w:val="00991666"/>
    <w:rsid w:val="00991922"/>
    <w:rsid w:val="0099196F"/>
    <w:rsid w:val="00991FBB"/>
    <w:rsid w:val="0099205C"/>
    <w:rsid w:val="009921D3"/>
    <w:rsid w:val="00992D1F"/>
    <w:rsid w:val="00992FB9"/>
    <w:rsid w:val="00993080"/>
    <w:rsid w:val="00993AB0"/>
    <w:rsid w:val="00993ABB"/>
    <w:rsid w:val="00993AFE"/>
    <w:rsid w:val="00993B72"/>
    <w:rsid w:val="00993BEB"/>
    <w:rsid w:val="00993E5F"/>
    <w:rsid w:val="00993F5F"/>
    <w:rsid w:val="00994DD8"/>
    <w:rsid w:val="00994DE2"/>
    <w:rsid w:val="00994E03"/>
    <w:rsid w:val="00994EC4"/>
    <w:rsid w:val="0099537D"/>
    <w:rsid w:val="009953F1"/>
    <w:rsid w:val="00995D57"/>
    <w:rsid w:val="00995EF4"/>
    <w:rsid w:val="00995FD2"/>
    <w:rsid w:val="00996579"/>
    <w:rsid w:val="009965E8"/>
    <w:rsid w:val="00996A6F"/>
    <w:rsid w:val="00996B72"/>
    <w:rsid w:val="00996DBC"/>
    <w:rsid w:val="009970A6"/>
    <w:rsid w:val="00997156"/>
    <w:rsid w:val="009972D3"/>
    <w:rsid w:val="00997345"/>
    <w:rsid w:val="00997367"/>
    <w:rsid w:val="00997636"/>
    <w:rsid w:val="00997CF3"/>
    <w:rsid w:val="00997DD9"/>
    <w:rsid w:val="00997E7C"/>
    <w:rsid w:val="009A041B"/>
    <w:rsid w:val="009A0A33"/>
    <w:rsid w:val="009A0C74"/>
    <w:rsid w:val="009A0CE4"/>
    <w:rsid w:val="009A0D5B"/>
    <w:rsid w:val="009A110F"/>
    <w:rsid w:val="009A121C"/>
    <w:rsid w:val="009A1307"/>
    <w:rsid w:val="009A1561"/>
    <w:rsid w:val="009A198C"/>
    <w:rsid w:val="009A1E73"/>
    <w:rsid w:val="009A20D4"/>
    <w:rsid w:val="009A2139"/>
    <w:rsid w:val="009A2203"/>
    <w:rsid w:val="009A24A4"/>
    <w:rsid w:val="009A24C4"/>
    <w:rsid w:val="009A2BA8"/>
    <w:rsid w:val="009A2D96"/>
    <w:rsid w:val="009A2F52"/>
    <w:rsid w:val="009A3008"/>
    <w:rsid w:val="009A307B"/>
    <w:rsid w:val="009A3B71"/>
    <w:rsid w:val="009A3E2B"/>
    <w:rsid w:val="009A409F"/>
    <w:rsid w:val="009A412E"/>
    <w:rsid w:val="009A434D"/>
    <w:rsid w:val="009A43DA"/>
    <w:rsid w:val="009A4A75"/>
    <w:rsid w:val="009A5281"/>
    <w:rsid w:val="009A570E"/>
    <w:rsid w:val="009A5968"/>
    <w:rsid w:val="009A5B0E"/>
    <w:rsid w:val="009A6674"/>
    <w:rsid w:val="009A670F"/>
    <w:rsid w:val="009A675F"/>
    <w:rsid w:val="009A6A75"/>
    <w:rsid w:val="009A6CD7"/>
    <w:rsid w:val="009A6F42"/>
    <w:rsid w:val="009A7129"/>
    <w:rsid w:val="009A71EE"/>
    <w:rsid w:val="009A7404"/>
    <w:rsid w:val="009A74DD"/>
    <w:rsid w:val="009A795F"/>
    <w:rsid w:val="009A79B0"/>
    <w:rsid w:val="009A7A9A"/>
    <w:rsid w:val="009A7FA9"/>
    <w:rsid w:val="009B022F"/>
    <w:rsid w:val="009B0716"/>
    <w:rsid w:val="009B078A"/>
    <w:rsid w:val="009B0939"/>
    <w:rsid w:val="009B0F65"/>
    <w:rsid w:val="009B1610"/>
    <w:rsid w:val="009B17FA"/>
    <w:rsid w:val="009B1993"/>
    <w:rsid w:val="009B1A8E"/>
    <w:rsid w:val="009B1EA2"/>
    <w:rsid w:val="009B1FDA"/>
    <w:rsid w:val="009B2380"/>
    <w:rsid w:val="009B23B2"/>
    <w:rsid w:val="009B23CC"/>
    <w:rsid w:val="009B25E5"/>
    <w:rsid w:val="009B26F5"/>
    <w:rsid w:val="009B2CBF"/>
    <w:rsid w:val="009B2D29"/>
    <w:rsid w:val="009B2D6E"/>
    <w:rsid w:val="009B302C"/>
    <w:rsid w:val="009B33F4"/>
    <w:rsid w:val="009B3431"/>
    <w:rsid w:val="009B34F3"/>
    <w:rsid w:val="009B350D"/>
    <w:rsid w:val="009B3571"/>
    <w:rsid w:val="009B3A32"/>
    <w:rsid w:val="009B3D79"/>
    <w:rsid w:val="009B41A8"/>
    <w:rsid w:val="009B44CD"/>
    <w:rsid w:val="009B5447"/>
    <w:rsid w:val="009B5519"/>
    <w:rsid w:val="009B5A06"/>
    <w:rsid w:val="009B5CB4"/>
    <w:rsid w:val="009B5E59"/>
    <w:rsid w:val="009B6031"/>
    <w:rsid w:val="009B607E"/>
    <w:rsid w:val="009B6823"/>
    <w:rsid w:val="009B6B79"/>
    <w:rsid w:val="009B6E3E"/>
    <w:rsid w:val="009B7466"/>
    <w:rsid w:val="009B7900"/>
    <w:rsid w:val="009B7ACB"/>
    <w:rsid w:val="009B7C23"/>
    <w:rsid w:val="009B7F8B"/>
    <w:rsid w:val="009C00B1"/>
    <w:rsid w:val="009C0151"/>
    <w:rsid w:val="009C01B9"/>
    <w:rsid w:val="009C05DE"/>
    <w:rsid w:val="009C0E57"/>
    <w:rsid w:val="009C1084"/>
    <w:rsid w:val="009C16A1"/>
    <w:rsid w:val="009C2034"/>
    <w:rsid w:val="009C27AC"/>
    <w:rsid w:val="009C296B"/>
    <w:rsid w:val="009C2B02"/>
    <w:rsid w:val="009C2CA4"/>
    <w:rsid w:val="009C2F6F"/>
    <w:rsid w:val="009C2FAA"/>
    <w:rsid w:val="009C3028"/>
    <w:rsid w:val="009C34E0"/>
    <w:rsid w:val="009C3947"/>
    <w:rsid w:val="009C3A26"/>
    <w:rsid w:val="009C3BA6"/>
    <w:rsid w:val="009C3E09"/>
    <w:rsid w:val="009C3E87"/>
    <w:rsid w:val="009C3F5E"/>
    <w:rsid w:val="009C3F94"/>
    <w:rsid w:val="009C4094"/>
    <w:rsid w:val="009C4654"/>
    <w:rsid w:val="009C48C2"/>
    <w:rsid w:val="009C4A4A"/>
    <w:rsid w:val="009C4AC3"/>
    <w:rsid w:val="009C4C38"/>
    <w:rsid w:val="009C4D72"/>
    <w:rsid w:val="009C4D8A"/>
    <w:rsid w:val="009C5036"/>
    <w:rsid w:val="009C5174"/>
    <w:rsid w:val="009C51A1"/>
    <w:rsid w:val="009C5291"/>
    <w:rsid w:val="009C52C9"/>
    <w:rsid w:val="009C531B"/>
    <w:rsid w:val="009C5940"/>
    <w:rsid w:val="009C6000"/>
    <w:rsid w:val="009C62FA"/>
    <w:rsid w:val="009C63EA"/>
    <w:rsid w:val="009C64A2"/>
    <w:rsid w:val="009C66FA"/>
    <w:rsid w:val="009C67FF"/>
    <w:rsid w:val="009C6801"/>
    <w:rsid w:val="009C6D7B"/>
    <w:rsid w:val="009C79B4"/>
    <w:rsid w:val="009D0246"/>
    <w:rsid w:val="009D05DE"/>
    <w:rsid w:val="009D0811"/>
    <w:rsid w:val="009D0898"/>
    <w:rsid w:val="009D0A40"/>
    <w:rsid w:val="009D0DDD"/>
    <w:rsid w:val="009D12F2"/>
    <w:rsid w:val="009D14E9"/>
    <w:rsid w:val="009D177F"/>
    <w:rsid w:val="009D1909"/>
    <w:rsid w:val="009D1B47"/>
    <w:rsid w:val="009D1C1B"/>
    <w:rsid w:val="009D1C21"/>
    <w:rsid w:val="009D1E70"/>
    <w:rsid w:val="009D1F1A"/>
    <w:rsid w:val="009D2396"/>
    <w:rsid w:val="009D2552"/>
    <w:rsid w:val="009D25B8"/>
    <w:rsid w:val="009D2636"/>
    <w:rsid w:val="009D2998"/>
    <w:rsid w:val="009D2D59"/>
    <w:rsid w:val="009D2F9F"/>
    <w:rsid w:val="009D2FAE"/>
    <w:rsid w:val="009D303D"/>
    <w:rsid w:val="009D32DD"/>
    <w:rsid w:val="009D3306"/>
    <w:rsid w:val="009D3490"/>
    <w:rsid w:val="009D3643"/>
    <w:rsid w:val="009D3676"/>
    <w:rsid w:val="009D373D"/>
    <w:rsid w:val="009D40E8"/>
    <w:rsid w:val="009D4346"/>
    <w:rsid w:val="009D44D7"/>
    <w:rsid w:val="009D47C8"/>
    <w:rsid w:val="009D4ABA"/>
    <w:rsid w:val="009D4C41"/>
    <w:rsid w:val="009D4FB2"/>
    <w:rsid w:val="009D502F"/>
    <w:rsid w:val="009D54D2"/>
    <w:rsid w:val="009D55A2"/>
    <w:rsid w:val="009D5678"/>
    <w:rsid w:val="009D56D5"/>
    <w:rsid w:val="009D5732"/>
    <w:rsid w:val="009D5CBC"/>
    <w:rsid w:val="009D5EE6"/>
    <w:rsid w:val="009D61EF"/>
    <w:rsid w:val="009D6887"/>
    <w:rsid w:val="009D6EC5"/>
    <w:rsid w:val="009D78BB"/>
    <w:rsid w:val="009D7A6F"/>
    <w:rsid w:val="009D7FE3"/>
    <w:rsid w:val="009E0221"/>
    <w:rsid w:val="009E08A4"/>
    <w:rsid w:val="009E095F"/>
    <w:rsid w:val="009E1067"/>
    <w:rsid w:val="009E1412"/>
    <w:rsid w:val="009E1630"/>
    <w:rsid w:val="009E1647"/>
    <w:rsid w:val="009E179E"/>
    <w:rsid w:val="009E17AD"/>
    <w:rsid w:val="009E1E20"/>
    <w:rsid w:val="009E22C2"/>
    <w:rsid w:val="009E2347"/>
    <w:rsid w:val="009E250C"/>
    <w:rsid w:val="009E2726"/>
    <w:rsid w:val="009E2762"/>
    <w:rsid w:val="009E2BBA"/>
    <w:rsid w:val="009E3364"/>
    <w:rsid w:val="009E34F9"/>
    <w:rsid w:val="009E36CD"/>
    <w:rsid w:val="009E3950"/>
    <w:rsid w:val="009E3957"/>
    <w:rsid w:val="009E3AF8"/>
    <w:rsid w:val="009E3AFB"/>
    <w:rsid w:val="009E3E2F"/>
    <w:rsid w:val="009E3F12"/>
    <w:rsid w:val="009E4118"/>
    <w:rsid w:val="009E43AD"/>
    <w:rsid w:val="009E4526"/>
    <w:rsid w:val="009E4666"/>
    <w:rsid w:val="009E4966"/>
    <w:rsid w:val="009E520F"/>
    <w:rsid w:val="009E56F3"/>
    <w:rsid w:val="009E5799"/>
    <w:rsid w:val="009E5985"/>
    <w:rsid w:val="009E5CC4"/>
    <w:rsid w:val="009E6434"/>
    <w:rsid w:val="009E6702"/>
    <w:rsid w:val="009E67DA"/>
    <w:rsid w:val="009E6992"/>
    <w:rsid w:val="009E6A68"/>
    <w:rsid w:val="009E6ABC"/>
    <w:rsid w:val="009E6AF7"/>
    <w:rsid w:val="009E6C35"/>
    <w:rsid w:val="009E6C7D"/>
    <w:rsid w:val="009E7047"/>
    <w:rsid w:val="009E7403"/>
    <w:rsid w:val="009E7413"/>
    <w:rsid w:val="009E7473"/>
    <w:rsid w:val="009E75CE"/>
    <w:rsid w:val="009E7BAA"/>
    <w:rsid w:val="009F00AF"/>
    <w:rsid w:val="009F0200"/>
    <w:rsid w:val="009F08BC"/>
    <w:rsid w:val="009F0997"/>
    <w:rsid w:val="009F09D1"/>
    <w:rsid w:val="009F11DA"/>
    <w:rsid w:val="009F139A"/>
    <w:rsid w:val="009F1557"/>
    <w:rsid w:val="009F15B1"/>
    <w:rsid w:val="009F20E1"/>
    <w:rsid w:val="009F224B"/>
    <w:rsid w:val="009F2779"/>
    <w:rsid w:val="009F28DD"/>
    <w:rsid w:val="009F29F0"/>
    <w:rsid w:val="009F2F43"/>
    <w:rsid w:val="009F307D"/>
    <w:rsid w:val="009F30B0"/>
    <w:rsid w:val="009F31CF"/>
    <w:rsid w:val="009F3848"/>
    <w:rsid w:val="009F3CBC"/>
    <w:rsid w:val="009F3D82"/>
    <w:rsid w:val="009F3E78"/>
    <w:rsid w:val="009F3EDB"/>
    <w:rsid w:val="009F3F15"/>
    <w:rsid w:val="009F40FC"/>
    <w:rsid w:val="009F4576"/>
    <w:rsid w:val="009F471F"/>
    <w:rsid w:val="009F478E"/>
    <w:rsid w:val="009F4A97"/>
    <w:rsid w:val="009F4F6F"/>
    <w:rsid w:val="009F59A4"/>
    <w:rsid w:val="009F5A1D"/>
    <w:rsid w:val="009F5A7D"/>
    <w:rsid w:val="009F5C68"/>
    <w:rsid w:val="009F5C79"/>
    <w:rsid w:val="009F630F"/>
    <w:rsid w:val="009F6456"/>
    <w:rsid w:val="009F6582"/>
    <w:rsid w:val="009F6D87"/>
    <w:rsid w:val="009F7111"/>
    <w:rsid w:val="009F7627"/>
    <w:rsid w:val="009F788A"/>
    <w:rsid w:val="009F79F6"/>
    <w:rsid w:val="009F7F07"/>
    <w:rsid w:val="009F7F6C"/>
    <w:rsid w:val="00A00320"/>
    <w:rsid w:val="00A00AF7"/>
    <w:rsid w:val="00A00B8D"/>
    <w:rsid w:val="00A00CE9"/>
    <w:rsid w:val="00A00DD3"/>
    <w:rsid w:val="00A00E59"/>
    <w:rsid w:val="00A00E7E"/>
    <w:rsid w:val="00A01323"/>
    <w:rsid w:val="00A0135E"/>
    <w:rsid w:val="00A01672"/>
    <w:rsid w:val="00A017B3"/>
    <w:rsid w:val="00A018B3"/>
    <w:rsid w:val="00A019C9"/>
    <w:rsid w:val="00A01A26"/>
    <w:rsid w:val="00A01ED3"/>
    <w:rsid w:val="00A01FBA"/>
    <w:rsid w:val="00A02167"/>
    <w:rsid w:val="00A02207"/>
    <w:rsid w:val="00A023A9"/>
    <w:rsid w:val="00A030D5"/>
    <w:rsid w:val="00A03264"/>
    <w:rsid w:val="00A032B6"/>
    <w:rsid w:val="00A03309"/>
    <w:rsid w:val="00A037CF"/>
    <w:rsid w:val="00A0390D"/>
    <w:rsid w:val="00A03AA2"/>
    <w:rsid w:val="00A03AB5"/>
    <w:rsid w:val="00A03BB0"/>
    <w:rsid w:val="00A041D6"/>
    <w:rsid w:val="00A04481"/>
    <w:rsid w:val="00A04822"/>
    <w:rsid w:val="00A049C3"/>
    <w:rsid w:val="00A04EF9"/>
    <w:rsid w:val="00A059DE"/>
    <w:rsid w:val="00A05DC5"/>
    <w:rsid w:val="00A05E97"/>
    <w:rsid w:val="00A05EC5"/>
    <w:rsid w:val="00A0604F"/>
    <w:rsid w:val="00A06557"/>
    <w:rsid w:val="00A06824"/>
    <w:rsid w:val="00A06A43"/>
    <w:rsid w:val="00A06FAF"/>
    <w:rsid w:val="00A073EC"/>
    <w:rsid w:val="00A07617"/>
    <w:rsid w:val="00A07842"/>
    <w:rsid w:val="00A07C13"/>
    <w:rsid w:val="00A07E67"/>
    <w:rsid w:val="00A1000D"/>
    <w:rsid w:val="00A100EE"/>
    <w:rsid w:val="00A109B2"/>
    <w:rsid w:val="00A10A33"/>
    <w:rsid w:val="00A10AF2"/>
    <w:rsid w:val="00A10C7D"/>
    <w:rsid w:val="00A10DE6"/>
    <w:rsid w:val="00A10FA6"/>
    <w:rsid w:val="00A112F2"/>
    <w:rsid w:val="00A11533"/>
    <w:rsid w:val="00A1159F"/>
    <w:rsid w:val="00A1189C"/>
    <w:rsid w:val="00A119C7"/>
    <w:rsid w:val="00A11B7B"/>
    <w:rsid w:val="00A11D87"/>
    <w:rsid w:val="00A11FF6"/>
    <w:rsid w:val="00A1205D"/>
    <w:rsid w:val="00A1230E"/>
    <w:rsid w:val="00A12331"/>
    <w:rsid w:val="00A12343"/>
    <w:rsid w:val="00A12618"/>
    <w:rsid w:val="00A1269A"/>
    <w:rsid w:val="00A12BB3"/>
    <w:rsid w:val="00A12F3D"/>
    <w:rsid w:val="00A1318A"/>
    <w:rsid w:val="00A134A3"/>
    <w:rsid w:val="00A137A5"/>
    <w:rsid w:val="00A1393F"/>
    <w:rsid w:val="00A13B29"/>
    <w:rsid w:val="00A13D41"/>
    <w:rsid w:val="00A13DA3"/>
    <w:rsid w:val="00A146EC"/>
    <w:rsid w:val="00A14AD4"/>
    <w:rsid w:val="00A14B77"/>
    <w:rsid w:val="00A14C99"/>
    <w:rsid w:val="00A152D4"/>
    <w:rsid w:val="00A152EC"/>
    <w:rsid w:val="00A152F0"/>
    <w:rsid w:val="00A157E3"/>
    <w:rsid w:val="00A15BE1"/>
    <w:rsid w:val="00A16085"/>
    <w:rsid w:val="00A16189"/>
    <w:rsid w:val="00A163EC"/>
    <w:rsid w:val="00A1641C"/>
    <w:rsid w:val="00A16656"/>
    <w:rsid w:val="00A16D17"/>
    <w:rsid w:val="00A16FFC"/>
    <w:rsid w:val="00A1713A"/>
    <w:rsid w:val="00A173B7"/>
    <w:rsid w:val="00A17418"/>
    <w:rsid w:val="00A17829"/>
    <w:rsid w:val="00A17B16"/>
    <w:rsid w:val="00A17E7A"/>
    <w:rsid w:val="00A200EA"/>
    <w:rsid w:val="00A206DA"/>
    <w:rsid w:val="00A20848"/>
    <w:rsid w:val="00A20A4C"/>
    <w:rsid w:val="00A20A91"/>
    <w:rsid w:val="00A20BBE"/>
    <w:rsid w:val="00A20D9F"/>
    <w:rsid w:val="00A20E1F"/>
    <w:rsid w:val="00A21296"/>
    <w:rsid w:val="00A214A6"/>
    <w:rsid w:val="00A214E4"/>
    <w:rsid w:val="00A214F6"/>
    <w:rsid w:val="00A2154D"/>
    <w:rsid w:val="00A21C38"/>
    <w:rsid w:val="00A21FDE"/>
    <w:rsid w:val="00A22681"/>
    <w:rsid w:val="00A22766"/>
    <w:rsid w:val="00A2292B"/>
    <w:rsid w:val="00A22D2E"/>
    <w:rsid w:val="00A22D8A"/>
    <w:rsid w:val="00A22E88"/>
    <w:rsid w:val="00A22FE5"/>
    <w:rsid w:val="00A231AC"/>
    <w:rsid w:val="00A2324C"/>
    <w:rsid w:val="00A23315"/>
    <w:rsid w:val="00A2370D"/>
    <w:rsid w:val="00A2387E"/>
    <w:rsid w:val="00A23A6C"/>
    <w:rsid w:val="00A23B15"/>
    <w:rsid w:val="00A23D55"/>
    <w:rsid w:val="00A23D7E"/>
    <w:rsid w:val="00A23F18"/>
    <w:rsid w:val="00A240AD"/>
    <w:rsid w:val="00A2445A"/>
    <w:rsid w:val="00A24484"/>
    <w:rsid w:val="00A24571"/>
    <w:rsid w:val="00A24AB1"/>
    <w:rsid w:val="00A24AC1"/>
    <w:rsid w:val="00A25045"/>
    <w:rsid w:val="00A251D9"/>
    <w:rsid w:val="00A2598D"/>
    <w:rsid w:val="00A25AC3"/>
    <w:rsid w:val="00A25C8F"/>
    <w:rsid w:val="00A25DED"/>
    <w:rsid w:val="00A26244"/>
    <w:rsid w:val="00A26326"/>
    <w:rsid w:val="00A264D3"/>
    <w:rsid w:val="00A26633"/>
    <w:rsid w:val="00A266CA"/>
    <w:rsid w:val="00A26BE7"/>
    <w:rsid w:val="00A26F27"/>
    <w:rsid w:val="00A270FF"/>
    <w:rsid w:val="00A272C1"/>
    <w:rsid w:val="00A2774C"/>
    <w:rsid w:val="00A27A51"/>
    <w:rsid w:val="00A27D77"/>
    <w:rsid w:val="00A27F5B"/>
    <w:rsid w:val="00A3000F"/>
    <w:rsid w:val="00A30060"/>
    <w:rsid w:val="00A302BD"/>
    <w:rsid w:val="00A3079F"/>
    <w:rsid w:val="00A30811"/>
    <w:rsid w:val="00A308A9"/>
    <w:rsid w:val="00A30A61"/>
    <w:rsid w:val="00A30F25"/>
    <w:rsid w:val="00A30FE1"/>
    <w:rsid w:val="00A310B9"/>
    <w:rsid w:val="00A310C0"/>
    <w:rsid w:val="00A3125B"/>
    <w:rsid w:val="00A31288"/>
    <w:rsid w:val="00A31303"/>
    <w:rsid w:val="00A314AD"/>
    <w:rsid w:val="00A3188B"/>
    <w:rsid w:val="00A31DD0"/>
    <w:rsid w:val="00A31DD8"/>
    <w:rsid w:val="00A31DFF"/>
    <w:rsid w:val="00A31E86"/>
    <w:rsid w:val="00A31FF4"/>
    <w:rsid w:val="00A3200D"/>
    <w:rsid w:val="00A32578"/>
    <w:rsid w:val="00A32AF5"/>
    <w:rsid w:val="00A32DC0"/>
    <w:rsid w:val="00A32E56"/>
    <w:rsid w:val="00A32E5B"/>
    <w:rsid w:val="00A32E8B"/>
    <w:rsid w:val="00A33052"/>
    <w:rsid w:val="00A33233"/>
    <w:rsid w:val="00A335A7"/>
    <w:rsid w:val="00A3367A"/>
    <w:rsid w:val="00A33759"/>
    <w:rsid w:val="00A338F5"/>
    <w:rsid w:val="00A33E6E"/>
    <w:rsid w:val="00A33E8A"/>
    <w:rsid w:val="00A34144"/>
    <w:rsid w:val="00A34809"/>
    <w:rsid w:val="00A3480B"/>
    <w:rsid w:val="00A34893"/>
    <w:rsid w:val="00A348DB"/>
    <w:rsid w:val="00A34AB0"/>
    <w:rsid w:val="00A34B09"/>
    <w:rsid w:val="00A354D7"/>
    <w:rsid w:val="00A359E5"/>
    <w:rsid w:val="00A35A59"/>
    <w:rsid w:val="00A35F9D"/>
    <w:rsid w:val="00A362AE"/>
    <w:rsid w:val="00A363F0"/>
    <w:rsid w:val="00A3670F"/>
    <w:rsid w:val="00A36913"/>
    <w:rsid w:val="00A36B5F"/>
    <w:rsid w:val="00A36B60"/>
    <w:rsid w:val="00A36C87"/>
    <w:rsid w:val="00A36F9F"/>
    <w:rsid w:val="00A37121"/>
    <w:rsid w:val="00A3716C"/>
    <w:rsid w:val="00A371DC"/>
    <w:rsid w:val="00A3728F"/>
    <w:rsid w:val="00A372BB"/>
    <w:rsid w:val="00A376B0"/>
    <w:rsid w:val="00A37AF5"/>
    <w:rsid w:val="00A37DFA"/>
    <w:rsid w:val="00A401B2"/>
    <w:rsid w:val="00A403BE"/>
    <w:rsid w:val="00A4045A"/>
    <w:rsid w:val="00A4050D"/>
    <w:rsid w:val="00A40625"/>
    <w:rsid w:val="00A40695"/>
    <w:rsid w:val="00A4077E"/>
    <w:rsid w:val="00A40EA6"/>
    <w:rsid w:val="00A4102D"/>
    <w:rsid w:val="00A41571"/>
    <w:rsid w:val="00A41684"/>
    <w:rsid w:val="00A41AEC"/>
    <w:rsid w:val="00A41DD7"/>
    <w:rsid w:val="00A41F31"/>
    <w:rsid w:val="00A42049"/>
    <w:rsid w:val="00A422CF"/>
    <w:rsid w:val="00A422E8"/>
    <w:rsid w:val="00A424A7"/>
    <w:rsid w:val="00A42584"/>
    <w:rsid w:val="00A42712"/>
    <w:rsid w:val="00A429FB"/>
    <w:rsid w:val="00A42A53"/>
    <w:rsid w:val="00A42BA1"/>
    <w:rsid w:val="00A42EDB"/>
    <w:rsid w:val="00A43314"/>
    <w:rsid w:val="00A43392"/>
    <w:rsid w:val="00A436A0"/>
    <w:rsid w:val="00A43BCD"/>
    <w:rsid w:val="00A43C6C"/>
    <w:rsid w:val="00A43E79"/>
    <w:rsid w:val="00A43F45"/>
    <w:rsid w:val="00A441BC"/>
    <w:rsid w:val="00A44327"/>
    <w:rsid w:val="00A44588"/>
    <w:rsid w:val="00A447F3"/>
    <w:rsid w:val="00A44936"/>
    <w:rsid w:val="00A45652"/>
    <w:rsid w:val="00A457B4"/>
    <w:rsid w:val="00A45804"/>
    <w:rsid w:val="00A458BA"/>
    <w:rsid w:val="00A459F0"/>
    <w:rsid w:val="00A45FBA"/>
    <w:rsid w:val="00A46113"/>
    <w:rsid w:val="00A46152"/>
    <w:rsid w:val="00A46C63"/>
    <w:rsid w:val="00A46CAD"/>
    <w:rsid w:val="00A46D66"/>
    <w:rsid w:val="00A46EA8"/>
    <w:rsid w:val="00A4768D"/>
    <w:rsid w:val="00A47884"/>
    <w:rsid w:val="00A47B53"/>
    <w:rsid w:val="00A50004"/>
    <w:rsid w:val="00A5020F"/>
    <w:rsid w:val="00A50292"/>
    <w:rsid w:val="00A5044C"/>
    <w:rsid w:val="00A504DE"/>
    <w:rsid w:val="00A507D0"/>
    <w:rsid w:val="00A50992"/>
    <w:rsid w:val="00A50CE4"/>
    <w:rsid w:val="00A50D7D"/>
    <w:rsid w:val="00A50F57"/>
    <w:rsid w:val="00A516E5"/>
    <w:rsid w:val="00A5182D"/>
    <w:rsid w:val="00A518E3"/>
    <w:rsid w:val="00A51C3D"/>
    <w:rsid w:val="00A51D01"/>
    <w:rsid w:val="00A51E56"/>
    <w:rsid w:val="00A5246F"/>
    <w:rsid w:val="00A52AA1"/>
    <w:rsid w:val="00A52BF4"/>
    <w:rsid w:val="00A52E30"/>
    <w:rsid w:val="00A53286"/>
    <w:rsid w:val="00A532E3"/>
    <w:rsid w:val="00A539D5"/>
    <w:rsid w:val="00A53B9B"/>
    <w:rsid w:val="00A53E3E"/>
    <w:rsid w:val="00A540F2"/>
    <w:rsid w:val="00A5444B"/>
    <w:rsid w:val="00A54BBB"/>
    <w:rsid w:val="00A54FE0"/>
    <w:rsid w:val="00A551D6"/>
    <w:rsid w:val="00A552A8"/>
    <w:rsid w:val="00A556BA"/>
    <w:rsid w:val="00A55AFA"/>
    <w:rsid w:val="00A55C7A"/>
    <w:rsid w:val="00A55D35"/>
    <w:rsid w:val="00A5696E"/>
    <w:rsid w:val="00A56A59"/>
    <w:rsid w:val="00A56E59"/>
    <w:rsid w:val="00A57042"/>
    <w:rsid w:val="00A5739C"/>
    <w:rsid w:val="00A573BD"/>
    <w:rsid w:val="00A57551"/>
    <w:rsid w:val="00A57957"/>
    <w:rsid w:val="00A57D79"/>
    <w:rsid w:val="00A60073"/>
    <w:rsid w:val="00A60339"/>
    <w:rsid w:val="00A60521"/>
    <w:rsid w:val="00A6075B"/>
    <w:rsid w:val="00A6083E"/>
    <w:rsid w:val="00A60991"/>
    <w:rsid w:val="00A60A88"/>
    <w:rsid w:val="00A60A8C"/>
    <w:rsid w:val="00A60ADD"/>
    <w:rsid w:val="00A60B58"/>
    <w:rsid w:val="00A60C01"/>
    <w:rsid w:val="00A60E3E"/>
    <w:rsid w:val="00A615B1"/>
    <w:rsid w:val="00A61750"/>
    <w:rsid w:val="00A61A43"/>
    <w:rsid w:val="00A61ADB"/>
    <w:rsid w:val="00A61BD1"/>
    <w:rsid w:val="00A61C76"/>
    <w:rsid w:val="00A61F2E"/>
    <w:rsid w:val="00A62043"/>
    <w:rsid w:val="00A6230E"/>
    <w:rsid w:val="00A625A3"/>
    <w:rsid w:val="00A625F3"/>
    <w:rsid w:val="00A6261B"/>
    <w:rsid w:val="00A62DC7"/>
    <w:rsid w:val="00A63124"/>
    <w:rsid w:val="00A63182"/>
    <w:rsid w:val="00A6328C"/>
    <w:rsid w:val="00A63348"/>
    <w:rsid w:val="00A633AE"/>
    <w:rsid w:val="00A6357D"/>
    <w:rsid w:val="00A637E8"/>
    <w:rsid w:val="00A63823"/>
    <w:rsid w:val="00A63A14"/>
    <w:rsid w:val="00A63C53"/>
    <w:rsid w:val="00A63CFB"/>
    <w:rsid w:val="00A63D29"/>
    <w:rsid w:val="00A641E4"/>
    <w:rsid w:val="00A646DB"/>
    <w:rsid w:val="00A64B96"/>
    <w:rsid w:val="00A64C2A"/>
    <w:rsid w:val="00A65169"/>
    <w:rsid w:val="00A65525"/>
    <w:rsid w:val="00A655A1"/>
    <w:rsid w:val="00A658D8"/>
    <w:rsid w:val="00A65AA0"/>
    <w:rsid w:val="00A65B5F"/>
    <w:rsid w:val="00A65BAA"/>
    <w:rsid w:val="00A66106"/>
    <w:rsid w:val="00A661D9"/>
    <w:rsid w:val="00A666C8"/>
    <w:rsid w:val="00A666EA"/>
    <w:rsid w:val="00A66BFC"/>
    <w:rsid w:val="00A66DBB"/>
    <w:rsid w:val="00A6718A"/>
    <w:rsid w:val="00A6735E"/>
    <w:rsid w:val="00A675B3"/>
    <w:rsid w:val="00A67645"/>
    <w:rsid w:val="00A67BB7"/>
    <w:rsid w:val="00A67E9C"/>
    <w:rsid w:val="00A67EDF"/>
    <w:rsid w:val="00A70274"/>
    <w:rsid w:val="00A7040C"/>
    <w:rsid w:val="00A70AE6"/>
    <w:rsid w:val="00A712FE"/>
    <w:rsid w:val="00A71664"/>
    <w:rsid w:val="00A71715"/>
    <w:rsid w:val="00A7175D"/>
    <w:rsid w:val="00A7177F"/>
    <w:rsid w:val="00A71801"/>
    <w:rsid w:val="00A71928"/>
    <w:rsid w:val="00A719F1"/>
    <w:rsid w:val="00A71A20"/>
    <w:rsid w:val="00A71A93"/>
    <w:rsid w:val="00A71C63"/>
    <w:rsid w:val="00A71F46"/>
    <w:rsid w:val="00A722D9"/>
    <w:rsid w:val="00A7254D"/>
    <w:rsid w:val="00A7271B"/>
    <w:rsid w:val="00A72C94"/>
    <w:rsid w:val="00A730BE"/>
    <w:rsid w:val="00A73153"/>
    <w:rsid w:val="00A731B1"/>
    <w:rsid w:val="00A73283"/>
    <w:rsid w:val="00A734D2"/>
    <w:rsid w:val="00A73E77"/>
    <w:rsid w:val="00A73EAB"/>
    <w:rsid w:val="00A73EF9"/>
    <w:rsid w:val="00A74098"/>
    <w:rsid w:val="00A74297"/>
    <w:rsid w:val="00A742FA"/>
    <w:rsid w:val="00A743BE"/>
    <w:rsid w:val="00A74668"/>
    <w:rsid w:val="00A748B6"/>
    <w:rsid w:val="00A749B3"/>
    <w:rsid w:val="00A74CC6"/>
    <w:rsid w:val="00A7535B"/>
    <w:rsid w:val="00A75387"/>
    <w:rsid w:val="00A75628"/>
    <w:rsid w:val="00A7568C"/>
    <w:rsid w:val="00A75E2D"/>
    <w:rsid w:val="00A76100"/>
    <w:rsid w:val="00A76294"/>
    <w:rsid w:val="00A76B59"/>
    <w:rsid w:val="00A77030"/>
    <w:rsid w:val="00A77187"/>
    <w:rsid w:val="00A771A6"/>
    <w:rsid w:val="00A7723A"/>
    <w:rsid w:val="00A77374"/>
    <w:rsid w:val="00A7762F"/>
    <w:rsid w:val="00A77774"/>
    <w:rsid w:val="00A7790B"/>
    <w:rsid w:val="00A77939"/>
    <w:rsid w:val="00A77B35"/>
    <w:rsid w:val="00A77C09"/>
    <w:rsid w:val="00A77F7E"/>
    <w:rsid w:val="00A80019"/>
    <w:rsid w:val="00A80AC5"/>
    <w:rsid w:val="00A80B0C"/>
    <w:rsid w:val="00A81365"/>
    <w:rsid w:val="00A81379"/>
    <w:rsid w:val="00A8137B"/>
    <w:rsid w:val="00A8142A"/>
    <w:rsid w:val="00A81580"/>
    <w:rsid w:val="00A81649"/>
    <w:rsid w:val="00A81A91"/>
    <w:rsid w:val="00A81FAB"/>
    <w:rsid w:val="00A821FE"/>
    <w:rsid w:val="00A82259"/>
    <w:rsid w:val="00A8227D"/>
    <w:rsid w:val="00A82339"/>
    <w:rsid w:val="00A82500"/>
    <w:rsid w:val="00A82670"/>
    <w:rsid w:val="00A82898"/>
    <w:rsid w:val="00A828C7"/>
    <w:rsid w:val="00A82A04"/>
    <w:rsid w:val="00A82D04"/>
    <w:rsid w:val="00A82D8C"/>
    <w:rsid w:val="00A82EB8"/>
    <w:rsid w:val="00A82F41"/>
    <w:rsid w:val="00A82F86"/>
    <w:rsid w:val="00A834F9"/>
    <w:rsid w:val="00A8358F"/>
    <w:rsid w:val="00A8386F"/>
    <w:rsid w:val="00A83DB7"/>
    <w:rsid w:val="00A83F2E"/>
    <w:rsid w:val="00A84018"/>
    <w:rsid w:val="00A84137"/>
    <w:rsid w:val="00A8442E"/>
    <w:rsid w:val="00A845F1"/>
    <w:rsid w:val="00A84B24"/>
    <w:rsid w:val="00A84B95"/>
    <w:rsid w:val="00A84ED1"/>
    <w:rsid w:val="00A85121"/>
    <w:rsid w:val="00A8518D"/>
    <w:rsid w:val="00A8582E"/>
    <w:rsid w:val="00A859EF"/>
    <w:rsid w:val="00A85AE5"/>
    <w:rsid w:val="00A85D78"/>
    <w:rsid w:val="00A85D92"/>
    <w:rsid w:val="00A85DB4"/>
    <w:rsid w:val="00A85EB8"/>
    <w:rsid w:val="00A85FA6"/>
    <w:rsid w:val="00A86154"/>
    <w:rsid w:val="00A8620E"/>
    <w:rsid w:val="00A8692A"/>
    <w:rsid w:val="00A86CE4"/>
    <w:rsid w:val="00A87101"/>
    <w:rsid w:val="00A873C9"/>
    <w:rsid w:val="00A8760D"/>
    <w:rsid w:val="00A87ADA"/>
    <w:rsid w:val="00A87D27"/>
    <w:rsid w:val="00A87E49"/>
    <w:rsid w:val="00A87EC7"/>
    <w:rsid w:val="00A902F3"/>
    <w:rsid w:val="00A9045E"/>
    <w:rsid w:val="00A9099D"/>
    <w:rsid w:val="00A90D40"/>
    <w:rsid w:val="00A90D5A"/>
    <w:rsid w:val="00A90FCD"/>
    <w:rsid w:val="00A91017"/>
    <w:rsid w:val="00A91086"/>
    <w:rsid w:val="00A9109C"/>
    <w:rsid w:val="00A9111B"/>
    <w:rsid w:val="00A9121C"/>
    <w:rsid w:val="00A91328"/>
    <w:rsid w:val="00A91664"/>
    <w:rsid w:val="00A91835"/>
    <w:rsid w:val="00A918DD"/>
    <w:rsid w:val="00A91BD3"/>
    <w:rsid w:val="00A92045"/>
    <w:rsid w:val="00A9280B"/>
    <w:rsid w:val="00A929B6"/>
    <w:rsid w:val="00A92B28"/>
    <w:rsid w:val="00A931B4"/>
    <w:rsid w:val="00A93425"/>
    <w:rsid w:val="00A93614"/>
    <w:rsid w:val="00A9373A"/>
    <w:rsid w:val="00A9373D"/>
    <w:rsid w:val="00A93CA0"/>
    <w:rsid w:val="00A93FD5"/>
    <w:rsid w:val="00A94306"/>
    <w:rsid w:val="00A945CD"/>
    <w:rsid w:val="00A948F4"/>
    <w:rsid w:val="00A94B36"/>
    <w:rsid w:val="00A94E86"/>
    <w:rsid w:val="00A94F84"/>
    <w:rsid w:val="00A9523D"/>
    <w:rsid w:val="00A9540A"/>
    <w:rsid w:val="00A95463"/>
    <w:rsid w:val="00A95540"/>
    <w:rsid w:val="00A959E4"/>
    <w:rsid w:val="00A95E4D"/>
    <w:rsid w:val="00A95E8A"/>
    <w:rsid w:val="00A95F8F"/>
    <w:rsid w:val="00A9622D"/>
    <w:rsid w:val="00A9630E"/>
    <w:rsid w:val="00A963AD"/>
    <w:rsid w:val="00A9677E"/>
    <w:rsid w:val="00A9681B"/>
    <w:rsid w:val="00A96AAC"/>
    <w:rsid w:val="00A96D27"/>
    <w:rsid w:val="00A97355"/>
    <w:rsid w:val="00A97497"/>
    <w:rsid w:val="00A97A53"/>
    <w:rsid w:val="00A97E45"/>
    <w:rsid w:val="00AA04D8"/>
    <w:rsid w:val="00AA082A"/>
    <w:rsid w:val="00AA0957"/>
    <w:rsid w:val="00AA0E86"/>
    <w:rsid w:val="00AA0EAE"/>
    <w:rsid w:val="00AA15E6"/>
    <w:rsid w:val="00AA19E1"/>
    <w:rsid w:val="00AA1B2B"/>
    <w:rsid w:val="00AA1C70"/>
    <w:rsid w:val="00AA1F33"/>
    <w:rsid w:val="00AA1FC0"/>
    <w:rsid w:val="00AA2375"/>
    <w:rsid w:val="00AA245C"/>
    <w:rsid w:val="00AA2644"/>
    <w:rsid w:val="00AA2E88"/>
    <w:rsid w:val="00AA2F4A"/>
    <w:rsid w:val="00AA322B"/>
    <w:rsid w:val="00AA32EA"/>
    <w:rsid w:val="00AA3372"/>
    <w:rsid w:val="00AA34FD"/>
    <w:rsid w:val="00AA355C"/>
    <w:rsid w:val="00AA3751"/>
    <w:rsid w:val="00AA3A06"/>
    <w:rsid w:val="00AA3E6D"/>
    <w:rsid w:val="00AA44E4"/>
    <w:rsid w:val="00AA451C"/>
    <w:rsid w:val="00AA45BC"/>
    <w:rsid w:val="00AA484D"/>
    <w:rsid w:val="00AA4D2D"/>
    <w:rsid w:val="00AA4D42"/>
    <w:rsid w:val="00AA4DDC"/>
    <w:rsid w:val="00AA4F08"/>
    <w:rsid w:val="00AA4F3F"/>
    <w:rsid w:val="00AA4FE4"/>
    <w:rsid w:val="00AA5233"/>
    <w:rsid w:val="00AA53BF"/>
    <w:rsid w:val="00AA5742"/>
    <w:rsid w:val="00AA5FE2"/>
    <w:rsid w:val="00AA6129"/>
    <w:rsid w:val="00AA69A7"/>
    <w:rsid w:val="00AA69E7"/>
    <w:rsid w:val="00AA6B34"/>
    <w:rsid w:val="00AA7266"/>
    <w:rsid w:val="00AA74A1"/>
    <w:rsid w:val="00AA76F5"/>
    <w:rsid w:val="00AA7728"/>
    <w:rsid w:val="00AA7735"/>
    <w:rsid w:val="00AA7A2F"/>
    <w:rsid w:val="00AA7AE0"/>
    <w:rsid w:val="00AA7B06"/>
    <w:rsid w:val="00AA7C3B"/>
    <w:rsid w:val="00AA7D8E"/>
    <w:rsid w:val="00AB0000"/>
    <w:rsid w:val="00AB0488"/>
    <w:rsid w:val="00AB04DC"/>
    <w:rsid w:val="00AB07DD"/>
    <w:rsid w:val="00AB0EAD"/>
    <w:rsid w:val="00AB107F"/>
    <w:rsid w:val="00AB1104"/>
    <w:rsid w:val="00AB16B9"/>
    <w:rsid w:val="00AB1DC4"/>
    <w:rsid w:val="00AB1E62"/>
    <w:rsid w:val="00AB1F9D"/>
    <w:rsid w:val="00AB239C"/>
    <w:rsid w:val="00AB24A1"/>
    <w:rsid w:val="00AB2A6E"/>
    <w:rsid w:val="00AB2B69"/>
    <w:rsid w:val="00AB2D6A"/>
    <w:rsid w:val="00AB2E38"/>
    <w:rsid w:val="00AB391F"/>
    <w:rsid w:val="00AB4275"/>
    <w:rsid w:val="00AB46C2"/>
    <w:rsid w:val="00AB477A"/>
    <w:rsid w:val="00AB48E4"/>
    <w:rsid w:val="00AB49D0"/>
    <w:rsid w:val="00AB4AE9"/>
    <w:rsid w:val="00AB4E8F"/>
    <w:rsid w:val="00AB5177"/>
    <w:rsid w:val="00AB5B14"/>
    <w:rsid w:val="00AB5D42"/>
    <w:rsid w:val="00AB5DD1"/>
    <w:rsid w:val="00AB6201"/>
    <w:rsid w:val="00AB62B9"/>
    <w:rsid w:val="00AB6BE5"/>
    <w:rsid w:val="00AB6EE9"/>
    <w:rsid w:val="00AB6F09"/>
    <w:rsid w:val="00AB750C"/>
    <w:rsid w:val="00AB75FD"/>
    <w:rsid w:val="00AB7B6B"/>
    <w:rsid w:val="00AB7CA2"/>
    <w:rsid w:val="00AB7DB0"/>
    <w:rsid w:val="00AB7F54"/>
    <w:rsid w:val="00AC00F0"/>
    <w:rsid w:val="00AC0214"/>
    <w:rsid w:val="00AC0398"/>
    <w:rsid w:val="00AC050D"/>
    <w:rsid w:val="00AC064C"/>
    <w:rsid w:val="00AC0672"/>
    <w:rsid w:val="00AC0724"/>
    <w:rsid w:val="00AC0899"/>
    <w:rsid w:val="00AC093C"/>
    <w:rsid w:val="00AC0999"/>
    <w:rsid w:val="00AC0A1A"/>
    <w:rsid w:val="00AC0C4B"/>
    <w:rsid w:val="00AC0CD4"/>
    <w:rsid w:val="00AC0DD0"/>
    <w:rsid w:val="00AC11C3"/>
    <w:rsid w:val="00AC1544"/>
    <w:rsid w:val="00AC16CA"/>
    <w:rsid w:val="00AC1A8A"/>
    <w:rsid w:val="00AC1D7B"/>
    <w:rsid w:val="00AC22C7"/>
    <w:rsid w:val="00AC22CC"/>
    <w:rsid w:val="00AC27AC"/>
    <w:rsid w:val="00AC2854"/>
    <w:rsid w:val="00AC2A46"/>
    <w:rsid w:val="00AC2A88"/>
    <w:rsid w:val="00AC2B35"/>
    <w:rsid w:val="00AC2C02"/>
    <w:rsid w:val="00AC2CA4"/>
    <w:rsid w:val="00AC2CC0"/>
    <w:rsid w:val="00AC3071"/>
    <w:rsid w:val="00AC31F3"/>
    <w:rsid w:val="00AC342E"/>
    <w:rsid w:val="00AC3695"/>
    <w:rsid w:val="00AC36AE"/>
    <w:rsid w:val="00AC3752"/>
    <w:rsid w:val="00AC44A3"/>
    <w:rsid w:val="00AC44EE"/>
    <w:rsid w:val="00AC45D6"/>
    <w:rsid w:val="00AC4AAC"/>
    <w:rsid w:val="00AC4D9D"/>
    <w:rsid w:val="00AC4FDB"/>
    <w:rsid w:val="00AC565E"/>
    <w:rsid w:val="00AC5686"/>
    <w:rsid w:val="00AC56A8"/>
    <w:rsid w:val="00AC5BE7"/>
    <w:rsid w:val="00AC5CF1"/>
    <w:rsid w:val="00AC600A"/>
    <w:rsid w:val="00AC6200"/>
    <w:rsid w:val="00AC6479"/>
    <w:rsid w:val="00AC6920"/>
    <w:rsid w:val="00AC69D8"/>
    <w:rsid w:val="00AC6ACD"/>
    <w:rsid w:val="00AC6FE0"/>
    <w:rsid w:val="00AC71DA"/>
    <w:rsid w:val="00AC7492"/>
    <w:rsid w:val="00AC74A0"/>
    <w:rsid w:val="00AC77CB"/>
    <w:rsid w:val="00AC7BE6"/>
    <w:rsid w:val="00AC7D12"/>
    <w:rsid w:val="00AD00CB"/>
    <w:rsid w:val="00AD016E"/>
    <w:rsid w:val="00AD0A7B"/>
    <w:rsid w:val="00AD0DFE"/>
    <w:rsid w:val="00AD1176"/>
    <w:rsid w:val="00AD13AD"/>
    <w:rsid w:val="00AD163D"/>
    <w:rsid w:val="00AD19CD"/>
    <w:rsid w:val="00AD2183"/>
    <w:rsid w:val="00AD24C6"/>
    <w:rsid w:val="00AD261C"/>
    <w:rsid w:val="00AD2782"/>
    <w:rsid w:val="00AD28A2"/>
    <w:rsid w:val="00AD2CFF"/>
    <w:rsid w:val="00AD3105"/>
    <w:rsid w:val="00AD38D3"/>
    <w:rsid w:val="00AD39EA"/>
    <w:rsid w:val="00AD3C14"/>
    <w:rsid w:val="00AD3C3D"/>
    <w:rsid w:val="00AD3DD7"/>
    <w:rsid w:val="00AD3DEF"/>
    <w:rsid w:val="00AD3F63"/>
    <w:rsid w:val="00AD3F8D"/>
    <w:rsid w:val="00AD46D0"/>
    <w:rsid w:val="00AD483D"/>
    <w:rsid w:val="00AD4849"/>
    <w:rsid w:val="00AD487F"/>
    <w:rsid w:val="00AD4E8C"/>
    <w:rsid w:val="00AD4F68"/>
    <w:rsid w:val="00AD500C"/>
    <w:rsid w:val="00AD5569"/>
    <w:rsid w:val="00AD56C7"/>
    <w:rsid w:val="00AD5C28"/>
    <w:rsid w:val="00AD5C67"/>
    <w:rsid w:val="00AD5F67"/>
    <w:rsid w:val="00AD6390"/>
    <w:rsid w:val="00AD6523"/>
    <w:rsid w:val="00AD669F"/>
    <w:rsid w:val="00AD66BD"/>
    <w:rsid w:val="00AD68FF"/>
    <w:rsid w:val="00AD6AA2"/>
    <w:rsid w:val="00AD6B31"/>
    <w:rsid w:val="00AD6D82"/>
    <w:rsid w:val="00AD733C"/>
    <w:rsid w:val="00AD778C"/>
    <w:rsid w:val="00AD7914"/>
    <w:rsid w:val="00AD79BC"/>
    <w:rsid w:val="00AD7BF6"/>
    <w:rsid w:val="00AD7CEF"/>
    <w:rsid w:val="00AD7DFA"/>
    <w:rsid w:val="00AD7FC3"/>
    <w:rsid w:val="00AE01C8"/>
    <w:rsid w:val="00AE040A"/>
    <w:rsid w:val="00AE043C"/>
    <w:rsid w:val="00AE0666"/>
    <w:rsid w:val="00AE06A9"/>
    <w:rsid w:val="00AE0800"/>
    <w:rsid w:val="00AE08D5"/>
    <w:rsid w:val="00AE0D92"/>
    <w:rsid w:val="00AE0F5F"/>
    <w:rsid w:val="00AE0FA8"/>
    <w:rsid w:val="00AE18DE"/>
    <w:rsid w:val="00AE1F54"/>
    <w:rsid w:val="00AE2281"/>
    <w:rsid w:val="00AE237D"/>
    <w:rsid w:val="00AE28EA"/>
    <w:rsid w:val="00AE295E"/>
    <w:rsid w:val="00AE2A66"/>
    <w:rsid w:val="00AE3032"/>
    <w:rsid w:val="00AE311E"/>
    <w:rsid w:val="00AE3156"/>
    <w:rsid w:val="00AE3182"/>
    <w:rsid w:val="00AE31EC"/>
    <w:rsid w:val="00AE349C"/>
    <w:rsid w:val="00AE3759"/>
    <w:rsid w:val="00AE3CE0"/>
    <w:rsid w:val="00AE3FF8"/>
    <w:rsid w:val="00AE4046"/>
    <w:rsid w:val="00AE4078"/>
    <w:rsid w:val="00AE411F"/>
    <w:rsid w:val="00AE429D"/>
    <w:rsid w:val="00AE4429"/>
    <w:rsid w:val="00AE4559"/>
    <w:rsid w:val="00AE5A9E"/>
    <w:rsid w:val="00AE5D2F"/>
    <w:rsid w:val="00AE5FCC"/>
    <w:rsid w:val="00AE6010"/>
    <w:rsid w:val="00AE6136"/>
    <w:rsid w:val="00AE674D"/>
    <w:rsid w:val="00AE6820"/>
    <w:rsid w:val="00AE6BF2"/>
    <w:rsid w:val="00AE6C93"/>
    <w:rsid w:val="00AE701E"/>
    <w:rsid w:val="00AE7120"/>
    <w:rsid w:val="00AE741C"/>
    <w:rsid w:val="00AE742E"/>
    <w:rsid w:val="00AE7815"/>
    <w:rsid w:val="00AE7C2E"/>
    <w:rsid w:val="00AE7DF2"/>
    <w:rsid w:val="00AE7FDE"/>
    <w:rsid w:val="00AF009E"/>
    <w:rsid w:val="00AF063D"/>
    <w:rsid w:val="00AF064B"/>
    <w:rsid w:val="00AF06B2"/>
    <w:rsid w:val="00AF06D5"/>
    <w:rsid w:val="00AF0859"/>
    <w:rsid w:val="00AF0AD4"/>
    <w:rsid w:val="00AF0C2B"/>
    <w:rsid w:val="00AF11B5"/>
    <w:rsid w:val="00AF120A"/>
    <w:rsid w:val="00AF1565"/>
    <w:rsid w:val="00AF1F26"/>
    <w:rsid w:val="00AF231A"/>
    <w:rsid w:val="00AF232C"/>
    <w:rsid w:val="00AF244E"/>
    <w:rsid w:val="00AF2479"/>
    <w:rsid w:val="00AF255B"/>
    <w:rsid w:val="00AF260D"/>
    <w:rsid w:val="00AF284C"/>
    <w:rsid w:val="00AF29F2"/>
    <w:rsid w:val="00AF2CD7"/>
    <w:rsid w:val="00AF2EFA"/>
    <w:rsid w:val="00AF30A3"/>
    <w:rsid w:val="00AF344F"/>
    <w:rsid w:val="00AF34F3"/>
    <w:rsid w:val="00AF3504"/>
    <w:rsid w:val="00AF3955"/>
    <w:rsid w:val="00AF399F"/>
    <w:rsid w:val="00AF3B32"/>
    <w:rsid w:val="00AF42BA"/>
    <w:rsid w:val="00AF44AE"/>
    <w:rsid w:val="00AF44ED"/>
    <w:rsid w:val="00AF514B"/>
    <w:rsid w:val="00AF5599"/>
    <w:rsid w:val="00AF572A"/>
    <w:rsid w:val="00AF59D0"/>
    <w:rsid w:val="00AF5A72"/>
    <w:rsid w:val="00AF60DA"/>
    <w:rsid w:val="00AF61FE"/>
    <w:rsid w:val="00AF64D6"/>
    <w:rsid w:val="00AF653F"/>
    <w:rsid w:val="00AF6727"/>
    <w:rsid w:val="00AF6B36"/>
    <w:rsid w:val="00AF6BC5"/>
    <w:rsid w:val="00AF6F18"/>
    <w:rsid w:val="00AF6FDF"/>
    <w:rsid w:val="00AF71DB"/>
    <w:rsid w:val="00AF7248"/>
    <w:rsid w:val="00AF7325"/>
    <w:rsid w:val="00AF7427"/>
    <w:rsid w:val="00AF75E3"/>
    <w:rsid w:val="00AF7BFD"/>
    <w:rsid w:val="00B003D7"/>
    <w:rsid w:val="00B0046E"/>
    <w:rsid w:val="00B005D1"/>
    <w:rsid w:val="00B0074E"/>
    <w:rsid w:val="00B0079B"/>
    <w:rsid w:val="00B007E6"/>
    <w:rsid w:val="00B00A97"/>
    <w:rsid w:val="00B00DE2"/>
    <w:rsid w:val="00B01273"/>
    <w:rsid w:val="00B01607"/>
    <w:rsid w:val="00B01B0C"/>
    <w:rsid w:val="00B0220B"/>
    <w:rsid w:val="00B02216"/>
    <w:rsid w:val="00B02246"/>
    <w:rsid w:val="00B0297C"/>
    <w:rsid w:val="00B029E6"/>
    <w:rsid w:val="00B02A51"/>
    <w:rsid w:val="00B02C31"/>
    <w:rsid w:val="00B02CC2"/>
    <w:rsid w:val="00B02D94"/>
    <w:rsid w:val="00B02EEC"/>
    <w:rsid w:val="00B02F52"/>
    <w:rsid w:val="00B02FB9"/>
    <w:rsid w:val="00B03006"/>
    <w:rsid w:val="00B03103"/>
    <w:rsid w:val="00B03318"/>
    <w:rsid w:val="00B03412"/>
    <w:rsid w:val="00B0352F"/>
    <w:rsid w:val="00B03FB0"/>
    <w:rsid w:val="00B04305"/>
    <w:rsid w:val="00B04342"/>
    <w:rsid w:val="00B0453D"/>
    <w:rsid w:val="00B04AE5"/>
    <w:rsid w:val="00B053C5"/>
    <w:rsid w:val="00B054FC"/>
    <w:rsid w:val="00B05819"/>
    <w:rsid w:val="00B05A09"/>
    <w:rsid w:val="00B05B3D"/>
    <w:rsid w:val="00B05C2C"/>
    <w:rsid w:val="00B061B9"/>
    <w:rsid w:val="00B061CB"/>
    <w:rsid w:val="00B061D7"/>
    <w:rsid w:val="00B06280"/>
    <w:rsid w:val="00B06439"/>
    <w:rsid w:val="00B0645C"/>
    <w:rsid w:val="00B06D66"/>
    <w:rsid w:val="00B07541"/>
    <w:rsid w:val="00B079B0"/>
    <w:rsid w:val="00B07A6E"/>
    <w:rsid w:val="00B07EC4"/>
    <w:rsid w:val="00B07F5F"/>
    <w:rsid w:val="00B10329"/>
    <w:rsid w:val="00B1043A"/>
    <w:rsid w:val="00B10463"/>
    <w:rsid w:val="00B10AE7"/>
    <w:rsid w:val="00B10AF0"/>
    <w:rsid w:val="00B10D7A"/>
    <w:rsid w:val="00B10EEE"/>
    <w:rsid w:val="00B11016"/>
    <w:rsid w:val="00B112E9"/>
    <w:rsid w:val="00B11378"/>
    <w:rsid w:val="00B1142D"/>
    <w:rsid w:val="00B11767"/>
    <w:rsid w:val="00B117EF"/>
    <w:rsid w:val="00B11D44"/>
    <w:rsid w:val="00B11F10"/>
    <w:rsid w:val="00B11FD2"/>
    <w:rsid w:val="00B120EF"/>
    <w:rsid w:val="00B122EB"/>
    <w:rsid w:val="00B12546"/>
    <w:rsid w:val="00B126E8"/>
    <w:rsid w:val="00B127F9"/>
    <w:rsid w:val="00B129D4"/>
    <w:rsid w:val="00B13306"/>
    <w:rsid w:val="00B133DF"/>
    <w:rsid w:val="00B1356D"/>
    <w:rsid w:val="00B137A9"/>
    <w:rsid w:val="00B13C9C"/>
    <w:rsid w:val="00B1421B"/>
    <w:rsid w:val="00B142AE"/>
    <w:rsid w:val="00B14387"/>
    <w:rsid w:val="00B1441B"/>
    <w:rsid w:val="00B14540"/>
    <w:rsid w:val="00B145FA"/>
    <w:rsid w:val="00B14ABD"/>
    <w:rsid w:val="00B14DEF"/>
    <w:rsid w:val="00B14E3C"/>
    <w:rsid w:val="00B151BC"/>
    <w:rsid w:val="00B1544B"/>
    <w:rsid w:val="00B1548B"/>
    <w:rsid w:val="00B15B89"/>
    <w:rsid w:val="00B15BBC"/>
    <w:rsid w:val="00B15EBC"/>
    <w:rsid w:val="00B160D3"/>
    <w:rsid w:val="00B16A5E"/>
    <w:rsid w:val="00B16BBC"/>
    <w:rsid w:val="00B16BE6"/>
    <w:rsid w:val="00B17E97"/>
    <w:rsid w:val="00B17F12"/>
    <w:rsid w:val="00B17F3B"/>
    <w:rsid w:val="00B17FD5"/>
    <w:rsid w:val="00B201BE"/>
    <w:rsid w:val="00B205A5"/>
    <w:rsid w:val="00B20617"/>
    <w:rsid w:val="00B20AD8"/>
    <w:rsid w:val="00B212CB"/>
    <w:rsid w:val="00B213EB"/>
    <w:rsid w:val="00B2146E"/>
    <w:rsid w:val="00B21596"/>
    <w:rsid w:val="00B219DD"/>
    <w:rsid w:val="00B21A3E"/>
    <w:rsid w:val="00B21BA9"/>
    <w:rsid w:val="00B21BD8"/>
    <w:rsid w:val="00B21D92"/>
    <w:rsid w:val="00B2271F"/>
    <w:rsid w:val="00B22A4A"/>
    <w:rsid w:val="00B22BC7"/>
    <w:rsid w:val="00B22EDA"/>
    <w:rsid w:val="00B22F5C"/>
    <w:rsid w:val="00B23600"/>
    <w:rsid w:val="00B23913"/>
    <w:rsid w:val="00B23B1D"/>
    <w:rsid w:val="00B23D9A"/>
    <w:rsid w:val="00B2401D"/>
    <w:rsid w:val="00B24225"/>
    <w:rsid w:val="00B24342"/>
    <w:rsid w:val="00B24A0B"/>
    <w:rsid w:val="00B24A49"/>
    <w:rsid w:val="00B24D07"/>
    <w:rsid w:val="00B24EE3"/>
    <w:rsid w:val="00B25068"/>
    <w:rsid w:val="00B2577C"/>
    <w:rsid w:val="00B259A0"/>
    <w:rsid w:val="00B25CB9"/>
    <w:rsid w:val="00B25E62"/>
    <w:rsid w:val="00B26482"/>
    <w:rsid w:val="00B264D5"/>
    <w:rsid w:val="00B26635"/>
    <w:rsid w:val="00B267EF"/>
    <w:rsid w:val="00B26987"/>
    <w:rsid w:val="00B275C2"/>
    <w:rsid w:val="00B27985"/>
    <w:rsid w:val="00B27E4E"/>
    <w:rsid w:val="00B27ED3"/>
    <w:rsid w:val="00B30037"/>
    <w:rsid w:val="00B305CF"/>
    <w:rsid w:val="00B306FD"/>
    <w:rsid w:val="00B309C7"/>
    <w:rsid w:val="00B30CD4"/>
    <w:rsid w:val="00B3107D"/>
    <w:rsid w:val="00B311A0"/>
    <w:rsid w:val="00B315C9"/>
    <w:rsid w:val="00B31678"/>
    <w:rsid w:val="00B31825"/>
    <w:rsid w:val="00B31CC0"/>
    <w:rsid w:val="00B31D33"/>
    <w:rsid w:val="00B321F4"/>
    <w:rsid w:val="00B3262D"/>
    <w:rsid w:val="00B32747"/>
    <w:rsid w:val="00B32E26"/>
    <w:rsid w:val="00B32E90"/>
    <w:rsid w:val="00B32ED1"/>
    <w:rsid w:val="00B331AA"/>
    <w:rsid w:val="00B331B5"/>
    <w:rsid w:val="00B3355F"/>
    <w:rsid w:val="00B3359C"/>
    <w:rsid w:val="00B335DE"/>
    <w:rsid w:val="00B33981"/>
    <w:rsid w:val="00B339A8"/>
    <w:rsid w:val="00B33D53"/>
    <w:rsid w:val="00B343AD"/>
    <w:rsid w:val="00B3461C"/>
    <w:rsid w:val="00B347A2"/>
    <w:rsid w:val="00B349DC"/>
    <w:rsid w:val="00B34E9F"/>
    <w:rsid w:val="00B34EEB"/>
    <w:rsid w:val="00B3508D"/>
    <w:rsid w:val="00B35138"/>
    <w:rsid w:val="00B351A9"/>
    <w:rsid w:val="00B35593"/>
    <w:rsid w:val="00B3562F"/>
    <w:rsid w:val="00B3577C"/>
    <w:rsid w:val="00B35920"/>
    <w:rsid w:val="00B36388"/>
    <w:rsid w:val="00B3646C"/>
    <w:rsid w:val="00B364FA"/>
    <w:rsid w:val="00B3674F"/>
    <w:rsid w:val="00B36851"/>
    <w:rsid w:val="00B36E78"/>
    <w:rsid w:val="00B3730B"/>
    <w:rsid w:val="00B3740D"/>
    <w:rsid w:val="00B37653"/>
    <w:rsid w:val="00B37E36"/>
    <w:rsid w:val="00B37E90"/>
    <w:rsid w:val="00B4017A"/>
    <w:rsid w:val="00B402B8"/>
    <w:rsid w:val="00B4051C"/>
    <w:rsid w:val="00B40607"/>
    <w:rsid w:val="00B40699"/>
    <w:rsid w:val="00B407D9"/>
    <w:rsid w:val="00B40835"/>
    <w:rsid w:val="00B4095C"/>
    <w:rsid w:val="00B40AF4"/>
    <w:rsid w:val="00B40CEE"/>
    <w:rsid w:val="00B40E24"/>
    <w:rsid w:val="00B41270"/>
    <w:rsid w:val="00B412C1"/>
    <w:rsid w:val="00B413EE"/>
    <w:rsid w:val="00B416B0"/>
    <w:rsid w:val="00B416F3"/>
    <w:rsid w:val="00B41738"/>
    <w:rsid w:val="00B41ACB"/>
    <w:rsid w:val="00B4205D"/>
    <w:rsid w:val="00B4257C"/>
    <w:rsid w:val="00B4260A"/>
    <w:rsid w:val="00B427D6"/>
    <w:rsid w:val="00B42CBF"/>
    <w:rsid w:val="00B42E13"/>
    <w:rsid w:val="00B43022"/>
    <w:rsid w:val="00B430DD"/>
    <w:rsid w:val="00B4330D"/>
    <w:rsid w:val="00B4331C"/>
    <w:rsid w:val="00B43447"/>
    <w:rsid w:val="00B436A3"/>
    <w:rsid w:val="00B43982"/>
    <w:rsid w:val="00B443E0"/>
    <w:rsid w:val="00B4457A"/>
    <w:rsid w:val="00B445C8"/>
    <w:rsid w:val="00B44638"/>
    <w:rsid w:val="00B44723"/>
    <w:rsid w:val="00B44AEF"/>
    <w:rsid w:val="00B44FE1"/>
    <w:rsid w:val="00B451BA"/>
    <w:rsid w:val="00B455BB"/>
    <w:rsid w:val="00B4573D"/>
    <w:rsid w:val="00B45915"/>
    <w:rsid w:val="00B45C9B"/>
    <w:rsid w:val="00B45D46"/>
    <w:rsid w:val="00B45D58"/>
    <w:rsid w:val="00B45DD5"/>
    <w:rsid w:val="00B46147"/>
    <w:rsid w:val="00B462B1"/>
    <w:rsid w:val="00B463ED"/>
    <w:rsid w:val="00B4650C"/>
    <w:rsid w:val="00B46620"/>
    <w:rsid w:val="00B466D9"/>
    <w:rsid w:val="00B46ADD"/>
    <w:rsid w:val="00B46D66"/>
    <w:rsid w:val="00B46E34"/>
    <w:rsid w:val="00B471C8"/>
    <w:rsid w:val="00B4735E"/>
    <w:rsid w:val="00B47616"/>
    <w:rsid w:val="00B4765B"/>
    <w:rsid w:val="00B47EBB"/>
    <w:rsid w:val="00B47F7F"/>
    <w:rsid w:val="00B5020D"/>
    <w:rsid w:val="00B5065B"/>
    <w:rsid w:val="00B50AB9"/>
    <w:rsid w:val="00B50B2D"/>
    <w:rsid w:val="00B50D1E"/>
    <w:rsid w:val="00B50EAC"/>
    <w:rsid w:val="00B51648"/>
    <w:rsid w:val="00B51678"/>
    <w:rsid w:val="00B517CF"/>
    <w:rsid w:val="00B51A37"/>
    <w:rsid w:val="00B51B99"/>
    <w:rsid w:val="00B51BCC"/>
    <w:rsid w:val="00B51D03"/>
    <w:rsid w:val="00B51D0F"/>
    <w:rsid w:val="00B529B8"/>
    <w:rsid w:val="00B52C36"/>
    <w:rsid w:val="00B52FEF"/>
    <w:rsid w:val="00B534E0"/>
    <w:rsid w:val="00B5398F"/>
    <w:rsid w:val="00B53B21"/>
    <w:rsid w:val="00B53B24"/>
    <w:rsid w:val="00B53E64"/>
    <w:rsid w:val="00B54514"/>
    <w:rsid w:val="00B54832"/>
    <w:rsid w:val="00B5492A"/>
    <w:rsid w:val="00B54DB4"/>
    <w:rsid w:val="00B55431"/>
    <w:rsid w:val="00B55984"/>
    <w:rsid w:val="00B55D3A"/>
    <w:rsid w:val="00B55EB6"/>
    <w:rsid w:val="00B55F85"/>
    <w:rsid w:val="00B562F8"/>
    <w:rsid w:val="00B56426"/>
    <w:rsid w:val="00B56564"/>
    <w:rsid w:val="00B5699B"/>
    <w:rsid w:val="00B569DB"/>
    <w:rsid w:val="00B57031"/>
    <w:rsid w:val="00B57478"/>
    <w:rsid w:val="00B57712"/>
    <w:rsid w:val="00B579DB"/>
    <w:rsid w:val="00B57AA3"/>
    <w:rsid w:val="00B57D3A"/>
    <w:rsid w:val="00B60306"/>
    <w:rsid w:val="00B6047F"/>
    <w:rsid w:val="00B60E60"/>
    <w:rsid w:val="00B60F9B"/>
    <w:rsid w:val="00B60FF4"/>
    <w:rsid w:val="00B6190C"/>
    <w:rsid w:val="00B61A38"/>
    <w:rsid w:val="00B61BD6"/>
    <w:rsid w:val="00B6205D"/>
    <w:rsid w:val="00B62208"/>
    <w:rsid w:val="00B6222A"/>
    <w:rsid w:val="00B62360"/>
    <w:rsid w:val="00B62495"/>
    <w:rsid w:val="00B62AF6"/>
    <w:rsid w:val="00B62F1B"/>
    <w:rsid w:val="00B62F32"/>
    <w:rsid w:val="00B63301"/>
    <w:rsid w:val="00B633DA"/>
    <w:rsid w:val="00B6357C"/>
    <w:rsid w:val="00B636B4"/>
    <w:rsid w:val="00B638F5"/>
    <w:rsid w:val="00B639FE"/>
    <w:rsid w:val="00B63A47"/>
    <w:rsid w:val="00B63D1C"/>
    <w:rsid w:val="00B642D3"/>
    <w:rsid w:val="00B6431D"/>
    <w:rsid w:val="00B64907"/>
    <w:rsid w:val="00B64E02"/>
    <w:rsid w:val="00B656F4"/>
    <w:rsid w:val="00B6577E"/>
    <w:rsid w:val="00B65954"/>
    <w:rsid w:val="00B65A4B"/>
    <w:rsid w:val="00B65AFC"/>
    <w:rsid w:val="00B65BA8"/>
    <w:rsid w:val="00B65F2E"/>
    <w:rsid w:val="00B66196"/>
    <w:rsid w:val="00B661CB"/>
    <w:rsid w:val="00B66682"/>
    <w:rsid w:val="00B668B6"/>
    <w:rsid w:val="00B668C9"/>
    <w:rsid w:val="00B66918"/>
    <w:rsid w:val="00B66A4A"/>
    <w:rsid w:val="00B66B87"/>
    <w:rsid w:val="00B66D25"/>
    <w:rsid w:val="00B66DF0"/>
    <w:rsid w:val="00B673B6"/>
    <w:rsid w:val="00B67596"/>
    <w:rsid w:val="00B676A6"/>
    <w:rsid w:val="00B67862"/>
    <w:rsid w:val="00B67B96"/>
    <w:rsid w:val="00B7005C"/>
    <w:rsid w:val="00B70497"/>
    <w:rsid w:val="00B70589"/>
    <w:rsid w:val="00B706B9"/>
    <w:rsid w:val="00B7077F"/>
    <w:rsid w:val="00B70D44"/>
    <w:rsid w:val="00B70E93"/>
    <w:rsid w:val="00B70FAA"/>
    <w:rsid w:val="00B710A4"/>
    <w:rsid w:val="00B712A4"/>
    <w:rsid w:val="00B71711"/>
    <w:rsid w:val="00B71784"/>
    <w:rsid w:val="00B71B95"/>
    <w:rsid w:val="00B7202E"/>
    <w:rsid w:val="00B72414"/>
    <w:rsid w:val="00B729EF"/>
    <w:rsid w:val="00B72A2B"/>
    <w:rsid w:val="00B72AD6"/>
    <w:rsid w:val="00B72B61"/>
    <w:rsid w:val="00B72F6F"/>
    <w:rsid w:val="00B732B1"/>
    <w:rsid w:val="00B7338F"/>
    <w:rsid w:val="00B73953"/>
    <w:rsid w:val="00B74956"/>
    <w:rsid w:val="00B74B11"/>
    <w:rsid w:val="00B74C75"/>
    <w:rsid w:val="00B74E73"/>
    <w:rsid w:val="00B74ECD"/>
    <w:rsid w:val="00B74F60"/>
    <w:rsid w:val="00B74FBB"/>
    <w:rsid w:val="00B750A4"/>
    <w:rsid w:val="00B75563"/>
    <w:rsid w:val="00B75616"/>
    <w:rsid w:val="00B7565F"/>
    <w:rsid w:val="00B757F6"/>
    <w:rsid w:val="00B75955"/>
    <w:rsid w:val="00B7596B"/>
    <w:rsid w:val="00B75B24"/>
    <w:rsid w:val="00B75C7F"/>
    <w:rsid w:val="00B76146"/>
    <w:rsid w:val="00B763F0"/>
    <w:rsid w:val="00B765A5"/>
    <w:rsid w:val="00B767B9"/>
    <w:rsid w:val="00B76AB3"/>
    <w:rsid w:val="00B76B9D"/>
    <w:rsid w:val="00B76DED"/>
    <w:rsid w:val="00B775B5"/>
    <w:rsid w:val="00B77C70"/>
    <w:rsid w:val="00B77DE0"/>
    <w:rsid w:val="00B77F49"/>
    <w:rsid w:val="00B8016A"/>
    <w:rsid w:val="00B80634"/>
    <w:rsid w:val="00B809B0"/>
    <w:rsid w:val="00B80AB8"/>
    <w:rsid w:val="00B80B33"/>
    <w:rsid w:val="00B80E00"/>
    <w:rsid w:val="00B80E43"/>
    <w:rsid w:val="00B81371"/>
    <w:rsid w:val="00B81414"/>
    <w:rsid w:val="00B814E4"/>
    <w:rsid w:val="00B81911"/>
    <w:rsid w:val="00B819D1"/>
    <w:rsid w:val="00B81A10"/>
    <w:rsid w:val="00B81BE3"/>
    <w:rsid w:val="00B81C14"/>
    <w:rsid w:val="00B81F52"/>
    <w:rsid w:val="00B8211D"/>
    <w:rsid w:val="00B8220D"/>
    <w:rsid w:val="00B82586"/>
    <w:rsid w:val="00B82786"/>
    <w:rsid w:val="00B82868"/>
    <w:rsid w:val="00B82A6F"/>
    <w:rsid w:val="00B82AF6"/>
    <w:rsid w:val="00B82DDD"/>
    <w:rsid w:val="00B82E7E"/>
    <w:rsid w:val="00B83279"/>
    <w:rsid w:val="00B83EE0"/>
    <w:rsid w:val="00B83F63"/>
    <w:rsid w:val="00B84008"/>
    <w:rsid w:val="00B84013"/>
    <w:rsid w:val="00B84762"/>
    <w:rsid w:val="00B84C55"/>
    <w:rsid w:val="00B84FD8"/>
    <w:rsid w:val="00B85177"/>
    <w:rsid w:val="00B854BD"/>
    <w:rsid w:val="00B855CC"/>
    <w:rsid w:val="00B85BEA"/>
    <w:rsid w:val="00B86157"/>
    <w:rsid w:val="00B86213"/>
    <w:rsid w:val="00B862CB"/>
    <w:rsid w:val="00B86480"/>
    <w:rsid w:val="00B869F4"/>
    <w:rsid w:val="00B86AAC"/>
    <w:rsid w:val="00B86B49"/>
    <w:rsid w:val="00B86D32"/>
    <w:rsid w:val="00B86D3C"/>
    <w:rsid w:val="00B871F3"/>
    <w:rsid w:val="00B87832"/>
    <w:rsid w:val="00B87B06"/>
    <w:rsid w:val="00B87C44"/>
    <w:rsid w:val="00B87D83"/>
    <w:rsid w:val="00B87E06"/>
    <w:rsid w:val="00B87FE4"/>
    <w:rsid w:val="00B900D4"/>
    <w:rsid w:val="00B905C5"/>
    <w:rsid w:val="00B905FF"/>
    <w:rsid w:val="00B90985"/>
    <w:rsid w:val="00B90E88"/>
    <w:rsid w:val="00B90EEA"/>
    <w:rsid w:val="00B917BB"/>
    <w:rsid w:val="00B91C37"/>
    <w:rsid w:val="00B91FA3"/>
    <w:rsid w:val="00B92718"/>
    <w:rsid w:val="00B92737"/>
    <w:rsid w:val="00B92F8E"/>
    <w:rsid w:val="00B93087"/>
    <w:rsid w:val="00B937C0"/>
    <w:rsid w:val="00B93A36"/>
    <w:rsid w:val="00B93E3B"/>
    <w:rsid w:val="00B93F30"/>
    <w:rsid w:val="00B94362"/>
    <w:rsid w:val="00B94463"/>
    <w:rsid w:val="00B9483D"/>
    <w:rsid w:val="00B94BBF"/>
    <w:rsid w:val="00B94EB2"/>
    <w:rsid w:val="00B94EE2"/>
    <w:rsid w:val="00B950D1"/>
    <w:rsid w:val="00B9522D"/>
    <w:rsid w:val="00B9554D"/>
    <w:rsid w:val="00B95630"/>
    <w:rsid w:val="00B9564C"/>
    <w:rsid w:val="00B95C9E"/>
    <w:rsid w:val="00B96069"/>
    <w:rsid w:val="00B967EF"/>
    <w:rsid w:val="00B96C08"/>
    <w:rsid w:val="00B96CF8"/>
    <w:rsid w:val="00B96DFB"/>
    <w:rsid w:val="00B96F86"/>
    <w:rsid w:val="00B9709A"/>
    <w:rsid w:val="00B9723E"/>
    <w:rsid w:val="00B97265"/>
    <w:rsid w:val="00B9744B"/>
    <w:rsid w:val="00B97E6A"/>
    <w:rsid w:val="00BA0062"/>
    <w:rsid w:val="00BA05BF"/>
    <w:rsid w:val="00BA0611"/>
    <w:rsid w:val="00BA07E5"/>
    <w:rsid w:val="00BA0B46"/>
    <w:rsid w:val="00BA0C52"/>
    <w:rsid w:val="00BA1177"/>
    <w:rsid w:val="00BA11FD"/>
    <w:rsid w:val="00BA127C"/>
    <w:rsid w:val="00BA138D"/>
    <w:rsid w:val="00BA15F1"/>
    <w:rsid w:val="00BA1704"/>
    <w:rsid w:val="00BA1711"/>
    <w:rsid w:val="00BA1A06"/>
    <w:rsid w:val="00BA2385"/>
    <w:rsid w:val="00BA24BC"/>
    <w:rsid w:val="00BA2736"/>
    <w:rsid w:val="00BA2765"/>
    <w:rsid w:val="00BA31B0"/>
    <w:rsid w:val="00BA3220"/>
    <w:rsid w:val="00BA35A1"/>
    <w:rsid w:val="00BA36D1"/>
    <w:rsid w:val="00BA3763"/>
    <w:rsid w:val="00BA37E6"/>
    <w:rsid w:val="00BA392D"/>
    <w:rsid w:val="00BA3B13"/>
    <w:rsid w:val="00BA3E30"/>
    <w:rsid w:val="00BA3F04"/>
    <w:rsid w:val="00BA4130"/>
    <w:rsid w:val="00BA41C2"/>
    <w:rsid w:val="00BA4575"/>
    <w:rsid w:val="00BA46F8"/>
    <w:rsid w:val="00BA4E54"/>
    <w:rsid w:val="00BA5164"/>
    <w:rsid w:val="00BA536E"/>
    <w:rsid w:val="00BA5403"/>
    <w:rsid w:val="00BA5678"/>
    <w:rsid w:val="00BA58D1"/>
    <w:rsid w:val="00BA5B1D"/>
    <w:rsid w:val="00BA5B7E"/>
    <w:rsid w:val="00BA5F0B"/>
    <w:rsid w:val="00BA660C"/>
    <w:rsid w:val="00BA661F"/>
    <w:rsid w:val="00BA6709"/>
    <w:rsid w:val="00BA6B25"/>
    <w:rsid w:val="00BA6D43"/>
    <w:rsid w:val="00BA7232"/>
    <w:rsid w:val="00BA72AB"/>
    <w:rsid w:val="00BA73FC"/>
    <w:rsid w:val="00BA747F"/>
    <w:rsid w:val="00BA77A5"/>
    <w:rsid w:val="00BA7BAF"/>
    <w:rsid w:val="00BA7C1A"/>
    <w:rsid w:val="00BA7D6B"/>
    <w:rsid w:val="00BB0459"/>
    <w:rsid w:val="00BB06C9"/>
    <w:rsid w:val="00BB06E0"/>
    <w:rsid w:val="00BB0705"/>
    <w:rsid w:val="00BB084C"/>
    <w:rsid w:val="00BB096B"/>
    <w:rsid w:val="00BB09F6"/>
    <w:rsid w:val="00BB0B50"/>
    <w:rsid w:val="00BB0CE1"/>
    <w:rsid w:val="00BB0D5D"/>
    <w:rsid w:val="00BB0F63"/>
    <w:rsid w:val="00BB1249"/>
    <w:rsid w:val="00BB13AD"/>
    <w:rsid w:val="00BB13D2"/>
    <w:rsid w:val="00BB166A"/>
    <w:rsid w:val="00BB1BB7"/>
    <w:rsid w:val="00BB2339"/>
    <w:rsid w:val="00BB284F"/>
    <w:rsid w:val="00BB2DB2"/>
    <w:rsid w:val="00BB2FAC"/>
    <w:rsid w:val="00BB3197"/>
    <w:rsid w:val="00BB3963"/>
    <w:rsid w:val="00BB39BF"/>
    <w:rsid w:val="00BB3B2B"/>
    <w:rsid w:val="00BB3B61"/>
    <w:rsid w:val="00BB3CC1"/>
    <w:rsid w:val="00BB3D8E"/>
    <w:rsid w:val="00BB3F4F"/>
    <w:rsid w:val="00BB4581"/>
    <w:rsid w:val="00BB49AB"/>
    <w:rsid w:val="00BB4A14"/>
    <w:rsid w:val="00BB4AF9"/>
    <w:rsid w:val="00BB4C32"/>
    <w:rsid w:val="00BB4DBF"/>
    <w:rsid w:val="00BB4DE5"/>
    <w:rsid w:val="00BB4E36"/>
    <w:rsid w:val="00BB5127"/>
    <w:rsid w:val="00BB5242"/>
    <w:rsid w:val="00BB5403"/>
    <w:rsid w:val="00BB5445"/>
    <w:rsid w:val="00BB55B4"/>
    <w:rsid w:val="00BB58AF"/>
    <w:rsid w:val="00BB5BD1"/>
    <w:rsid w:val="00BB5D4E"/>
    <w:rsid w:val="00BB607C"/>
    <w:rsid w:val="00BB60AB"/>
    <w:rsid w:val="00BB6123"/>
    <w:rsid w:val="00BB697F"/>
    <w:rsid w:val="00BB6C0A"/>
    <w:rsid w:val="00BB6D37"/>
    <w:rsid w:val="00BB6F12"/>
    <w:rsid w:val="00BB6FCF"/>
    <w:rsid w:val="00BB712E"/>
    <w:rsid w:val="00BB7307"/>
    <w:rsid w:val="00BB76DF"/>
    <w:rsid w:val="00BB77D6"/>
    <w:rsid w:val="00BB7FD1"/>
    <w:rsid w:val="00BC01AE"/>
    <w:rsid w:val="00BC02DC"/>
    <w:rsid w:val="00BC0B67"/>
    <w:rsid w:val="00BC0E86"/>
    <w:rsid w:val="00BC0FE3"/>
    <w:rsid w:val="00BC13EA"/>
    <w:rsid w:val="00BC1456"/>
    <w:rsid w:val="00BC151F"/>
    <w:rsid w:val="00BC1B46"/>
    <w:rsid w:val="00BC1E24"/>
    <w:rsid w:val="00BC1F9F"/>
    <w:rsid w:val="00BC20BC"/>
    <w:rsid w:val="00BC25CB"/>
    <w:rsid w:val="00BC25F0"/>
    <w:rsid w:val="00BC2B1F"/>
    <w:rsid w:val="00BC2CE6"/>
    <w:rsid w:val="00BC2E42"/>
    <w:rsid w:val="00BC3432"/>
    <w:rsid w:val="00BC34CA"/>
    <w:rsid w:val="00BC3776"/>
    <w:rsid w:val="00BC3935"/>
    <w:rsid w:val="00BC39EF"/>
    <w:rsid w:val="00BC3ADC"/>
    <w:rsid w:val="00BC3D62"/>
    <w:rsid w:val="00BC3D73"/>
    <w:rsid w:val="00BC3FAE"/>
    <w:rsid w:val="00BC441B"/>
    <w:rsid w:val="00BC44B7"/>
    <w:rsid w:val="00BC4604"/>
    <w:rsid w:val="00BC4D07"/>
    <w:rsid w:val="00BC4DA0"/>
    <w:rsid w:val="00BC5055"/>
    <w:rsid w:val="00BC50A9"/>
    <w:rsid w:val="00BC526C"/>
    <w:rsid w:val="00BC5761"/>
    <w:rsid w:val="00BC586E"/>
    <w:rsid w:val="00BC5922"/>
    <w:rsid w:val="00BC59B7"/>
    <w:rsid w:val="00BC5ACC"/>
    <w:rsid w:val="00BC5DDC"/>
    <w:rsid w:val="00BC5EFE"/>
    <w:rsid w:val="00BC5F4C"/>
    <w:rsid w:val="00BC6E62"/>
    <w:rsid w:val="00BC6E80"/>
    <w:rsid w:val="00BC6F0B"/>
    <w:rsid w:val="00BC70A9"/>
    <w:rsid w:val="00BC70DE"/>
    <w:rsid w:val="00BC7107"/>
    <w:rsid w:val="00BC74F9"/>
    <w:rsid w:val="00BC7B13"/>
    <w:rsid w:val="00BC7B46"/>
    <w:rsid w:val="00BC7E26"/>
    <w:rsid w:val="00BC7E38"/>
    <w:rsid w:val="00BD00DB"/>
    <w:rsid w:val="00BD0220"/>
    <w:rsid w:val="00BD03F0"/>
    <w:rsid w:val="00BD06C3"/>
    <w:rsid w:val="00BD075F"/>
    <w:rsid w:val="00BD0870"/>
    <w:rsid w:val="00BD09ED"/>
    <w:rsid w:val="00BD0D89"/>
    <w:rsid w:val="00BD13D8"/>
    <w:rsid w:val="00BD16E6"/>
    <w:rsid w:val="00BD175B"/>
    <w:rsid w:val="00BD1A30"/>
    <w:rsid w:val="00BD1BA6"/>
    <w:rsid w:val="00BD2117"/>
    <w:rsid w:val="00BD2192"/>
    <w:rsid w:val="00BD21F2"/>
    <w:rsid w:val="00BD2647"/>
    <w:rsid w:val="00BD29F9"/>
    <w:rsid w:val="00BD2B63"/>
    <w:rsid w:val="00BD308C"/>
    <w:rsid w:val="00BD3376"/>
    <w:rsid w:val="00BD3529"/>
    <w:rsid w:val="00BD353E"/>
    <w:rsid w:val="00BD3542"/>
    <w:rsid w:val="00BD3CB2"/>
    <w:rsid w:val="00BD4067"/>
    <w:rsid w:val="00BD4667"/>
    <w:rsid w:val="00BD48CA"/>
    <w:rsid w:val="00BD4950"/>
    <w:rsid w:val="00BD4959"/>
    <w:rsid w:val="00BD4C56"/>
    <w:rsid w:val="00BD4DDF"/>
    <w:rsid w:val="00BD4DFF"/>
    <w:rsid w:val="00BD4E38"/>
    <w:rsid w:val="00BD50DB"/>
    <w:rsid w:val="00BD5534"/>
    <w:rsid w:val="00BD5A95"/>
    <w:rsid w:val="00BD5B00"/>
    <w:rsid w:val="00BD5FB6"/>
    <w:rsid w:val="00BD62D3"/>
    <w:rsid w:val="00BD6323"/>
    <w:rsid w:val="00BD6794"/>
    <w:rsid w:val="00BD6A28"/>
    <w:rsid w:val="00BD6AF9"/>
    <w:rsid w:val="00BD6B00"/>
    <w:rsid w:val="00BD6CF1"/>
    <w:rsid w:val="00BD7181"/>
    <w:rsid w:val="00BD7202"/>
    <w:rsid w:val="00BD73CE"/>
    <w:rsid w:val="00BD73EC"/>
    <w:rsid w:val="00BD74A2"/>
    <w:rsid w:val="00BD7E9A"/>
    <w:rsid w:val="00BE0427"/>
    <w:rsid w:val="00BE04E9"/>
    <w:rsid w:val="00BE0758"/>
    <w:rsid w:val="00BE0ADE"/>
    <w:rsid w:val="00BE0B45"/>
    <w:rsid w:val="00BE0D8A"/>
    <w:rsid w:val="00BE1262"/>
    <w:rsid w:val="00BE1324"/>
    <w:rsid w:val="00BE17E1"/>
    <w:rsid w:val="00BE1931"/>
    <w:rsid w:val="00BE1F6C"/>
    <w:rsid w:val="00BE2003"/>
    <w:rsid w:val="00BE2496"/>
    <w:rsid w:val="00BE24B1"/>
    <w:rsid w:val="00BE2A8A"/>
    <w:rsid w:val="00BE2B97"/>
    <w:rsid w:val="00BE3176"/>
    <w:rsid w:val="00BE361C"/>
    <w:rsid w:val="00BE3709"/>
    <w:rsid w:val="00BE3809"/>
    <w:rsid w:val="00BE398F"/>
    <w:rsid w:val="00BE3DA8"/>
    <w:rsid w:val="00BE3E6B"/>
    <w:rsid w:val="00BE3FA6"/>
    <w:rsid w:val="00BE401F"/>
    <w:rsid w:val="00BE4171"/>
    <w:rsid w:val="00BE4683"/>
    <w:rsid w:val="00BE49CD"/>
    <w:rsid w:val="00BE4BA9"/>
    <w:rsid w:val="00BE4DC9"/>
    <w:rsid w:val="00BE4F50"/>
    <w:rsid w:val="00BE507B"/>
    <w:rsid w:val="00BE5087"/>
    <w:rsid w:val="00BE567B"/>
    <w:rsid w:val="00BE5754"/>
    <w:rsid w:val="00BE5964"/>
    <w:rsid w:val="00BE5BE6"/>
    <w:rsid w:val="00BE5C8C"/>
    <w:rsid w:val="00BE5E48"/>
    <w:rsid w:val="00BE5EB4"/>
    <w:rsid w:val="00BE5F20"/>
    <w:rsid w:val="00BE6578"/>
    <w:rsid w:val="00BE6596"/>
    <w:rsid w:val="00BE68D5"/>
    <w:rsid w:val="00BE6927"/>
    <w:rsid w:val="00BE69FA"/>
    <w:rsid w:val="00BE6EC6"/>
    <w:rsid w:val="00BE6F53"/>
    <w:rsid w:val="00BE6FEA"/>
    <w:rsid w:val="00BE71AB"/>
    <w:rsid w:val="00BE72D1"/>
    <w:rsid w:val="00BE76A4"/>
    <w:rsid w:val="00BE79F4"/>
    <w:rsid w:val="00BF0461"/>
    <w:rsid w:val="00BF0768"/>
    <w:rsid w:val="00BF0A75"/>
    <w:rsid w:val="00BF0ADB"/>
    <w:rsid w:val="00BF126E"/>
    <w:rsid w:val="00BF1416"/>
    <w:rsid w:val="00BF1D80"/>
    <w:rsid w:val="00BF243E"/>
    <w:rsid w:val="00BF26EF"/>
    <w:rsid w:val="00BF2C97"/>
    <w:rsid w:val="00BF34AE"/>
    <w:rsid w:val="00BF373F"/>
    <w:rsid w:val="00BF3988"/>
    <w:rsid w:val="00BF3A8A"/>
    <w:rsid w:val="00BF3B13"/>
    <w:rsid w:val="00BF3BC1"/>
    <w:rsid w:val="00BF3C00"/>
    <w:rsid w:val="00BF3EDF"/>
    <w:rsid w:val="00BF55FC"/>
    <w:rsid w:val="00BF5BA9"/>
    <w:rsid w:val="00BF5BFA"/>
    <w:rsid w:val="00BF5F63"/>
    <w:rsid w:val="00BF623F"/>
    <w:rsid w:val="00BF6241"/>
    <w:rsid w:val="00BF6379"/>
    <w:rsid w:val="00BF6582"/>
    <w:rsid w:val="00BF6995"/>
    <w:rsid w:val="00BF6BAB"/>
    <w:rsid w:val="00BF6C60"/>
    <w:rsid w:val="00BF6E30"/>
    <w:rsid w:val="00BF7AC1"/>
    <w:rsid w:val="00BF7AC6"/>
    <w:rsid w:val="00BF7BD8"/>
    <w:rsid w:val="00BF7E62"/>
    <w:rsid w:val="00C0001D"/>
    <w:rsid w:val="00C0012A"/>
    <w:rsid w:val="00C001A1"/>
    <w:rsid w:val="00C001DC"/>
    <w:rsid w:val="00C002A3"/>
    <w:rsid w:val="00C002FA"/>
    <w:rsid w:val="00C005B5"/>
    <w:rsid w:val="00C009B1"/>
    <w:rsid w:val="00C00EF5"/>
    <w:rsid w:val="00C016B1"/>
    <w:rsid w:val="00C017EE"/>
    <w:rsid w:val="00C01D38"/>
    <w:rsid w:val="00C0245E"/>
    <w:rsid w:val="00C0278D"/>
    <w:rsid w:val="00C0281E"/>
    <w:rsid w:val="00C02939"/>
    <w:rsid w:val="00C02F6D"/>
    <w:rsid w:val="00C02F90"/>
    <w:rsid w:val="00C02FA5"/>
    <w:rsid w:val="00C0304F"/>
    <w:rsid w:val="00C0353D"/>
    <w:rsid w:val="00C036E1"/>
    <w:rsid w:val="00C0399F"/>
    <w:rsid w:val="00C03C0F"/>
    <w:rsid w:val="00C03C5B"/>
    <w:rsid w:val="00C03E4D"/>
    <w:rsid w:val="00C03E71"/>
    <w:rsid w:val="00C04A78"/>
    <w:rsid w:val="00C04DC6"/>
    <w:rsid w:val="00C04E02"/>
    <w:rsid w:val="00C04F18"/>
    <w:rsid w:val="00C052EB"/>
    <w:rsid w:val="00C0534F"/>
    <w:rsid w:val="00C0570D"/>
    <w:rsid w:val="00C05770"/>
    <w:rsid w:val="00C05921"/>
    <w:rsid w:val="00C0597B"/>
    <w:rsid w:val="00C05AE2"/>
    <w:rsid w:val="00C05B74"/>
    <w:rsid w:val="00C05BDF"/>
    <w:rsid w:val="00C0607B"/>
    <w:rsid w:val="00C06169"/>
    <w:rsid w:val="00C0691F"/>
    <w:rsid w:val="00C06E49"/>
    <w:rsid w:val="00C06E66"/>
    <w:rsid w:val="00C06FE2"/>
    <w:rsid w:val="00C06FE3"/>
    <w:rsid w:val="00C070FE"/>
    <w:rsid w:val="00C076B3"/>
    <w:rsid w:val="00C077BD"/>
    <w:rsid w:val="00C077F2"/>
    <w:rsid w:val="00C0793F"/>
    <w:rsid w:val="00C07997"/>
    <w:rsid w:val="00C07D40"/>
    <w:rsid w:val="00C07F77"/>
    <w:rsid w:val="00C10697"/>
    <w:rsid w:val="00C106B1"/>
    <w:rsid w:val="00C10AE4"/>
    <w:rsid w:val="00C10E2D"/>
    <w:rsid w:val="00C10FE0"/>
    <w:rsid w:val="00C1124E"/>
    <w:rsid w:val="00C112FE"/>
    <w:rsid w:val="00C113B5"/>
    <w:rsid w:val="00C113C2"/>
    <w:rsid w:val="00C11572"/>
    <w:rsid w:val="00C11646"/>
    <w:rsid w:val="00C11649"/>
    <w:rsid w:val="00C1188F"/>
    <w:rsid w:val="00C118EB"/>
    <w:rsid w:val="00C119AC"/>
    <w:rsid w:val="00C11BC4"/>
    <w:rsid w:val="00C11CAF"/>
    <w:rsid w:val="00C126E8"/>
    <w:rsid w:val="00C12705"/>
    <w:rsid w:val="00C12707"/>
    <w:rsid w:val="00C1289F"/>
    <w:rsid w:val="00C12917"/>
    <w:rsid w:val="00C1294C"/>
    <w:rsid w:val="00C12AF2"/>
    <w:rsid w:val="00C13032"/>
    <w:rsid w:val="00C133C1"/>
    <w:rsid w:val="00C1390B"/>
    <w:rsid w:val="00C13B46"/>
    <w:rsid w:val="00C13C7A"/>
    <w:rsid w:val="00C13DBF"/>
    <w:rsid w:val="00C1437D"/>
    <w:rsid w:val="00C145BC"/>
    <w:rsid w:val="00C145F3"/>
    <w:rsid w:val="00C14603"/>
    <w:rsid w:val="00C1483C"/>
    <w:rsid w:val="00C1489A"/>
    <w:rsid w:val="00C1493C"/>
    <w:rsid w:val="00C150D2"/>
    <w:rsid w:val="00C15203"/>
    <w:rsid w:val="00C15283"/>
    <w:rsid w:val="00C15297"/>
    <w:rsid w:val="00C155B3"/>
    <w:rsid w:val="00C15621"/>
    <w:rsid w:val="00C15657"/>
    <w:rsid w:val="00C15899"/>
    <w:rsid w:val="00C15A51"/>
    <w:rsid w:val="00C15D32"/>
    <w:rsid w:val="00C15DBB"/>
    <w:rsid w:val="00C161E8"/>
    <w:rsid w:val="00C162BB"/>
    <w:rsid w:val="00C166C2"/>
    <w:rsid w:val="00C1677B"/>
    <w:rsid w:val="00C16A52"/>
    <w:rsid w:val="00C171E3"/>
    <w:rsid w:val="00C17354"/>
    <w:rsid w:val="00C17401"/>
    <w:rsid w:val="00C17424"/>
    <w:rsid w:val="00C175C9"/>
    <w:rsid w:val="00C1786E"/>
    <w:rsid w:val="00C17CF8"/>
    <w:rsid w:val="00C17DF1"/>
    <w:rsid w:val="00C204E7"/>
    <w:rsid w:val="00C20645"/>
    <w:rsid w:val="00C20842"/>
    <w:rsid w:val="00C20A5F"/>
    <w:rsid w:val="00C20B03"/>
    <w:rsid w:val="00C20BC7"/>
    <w:rsid w:val="00C211A2"/>
    <w:rsid w:val="00C21386"/>
    <w:rsid w:val="00C215BB"/>
    <w:rsid w:val="00C219DE"/>
    <w:rsid w:val="00C21EB6"/>
    <w:rsid w:val="00C21F1E"/>
    <w:rsid w:val="00C222E0"/>
    <w:rsid w:val="00C22CFF"/>
    <w:rsid w:val="00C22D53"/>
    <w:rsid w:val="00C22DD8"/>
    <w:rsid w:val="00C23281"/>
    <w:rsid w:val="00C241BD"/>
    <w:rsid w:val="00C24251"/>
    <w:rsid w:val="00C24447"/>
    <w:rsid w:val="00C24892"/>
    <w:rsid w:val="00C24FDE"/>
    <w:rsid w:val="00C25301"/>
    <w:rsid w:val="00C25320"/>
    <w:rsid w:val="00C257DF"/>
    <w:rsid w:val="00C25968"/>
    <w:rsid w:val="00C259BE"/>
    <w:rsid w:val="00C25E51"/>
    <w:rsid w:val="00C260D1"/>
    <w:rsid w:val="00C2644A"/>
    <w:rsid w:val="00C265F1"/>
    <w:rsid w:val="00C26D99"/>
    <w:rsid w:val="00C26FCA"/>
    <w:rsid w:val="00C271B5"/>
    <w:rsid w:val="00C2740D"/>
    <w:rsid w:val="00C27586"/>
    <w:rsid w:val="00C278B2"/>
    <w:rsid w:val="00C278DB"/>
    <w:rsid w:val="00C27929"/>
    <w:rsid w:val="00C279C8"/>
    <w:rsid w:val="00C27A4C"/>
    <w:rsid w:val="00C27DA9"/>
    <w:rsid w:val="00C30211"/>
    <w:rsid w:val="00C302DF"/>
    <w:rsid w:val="00C30472"/>
    <w:rsid w:val="00C3083C"/>
    <w:rsid w:val="00C309AB"/>
    <w:rsid w:val="00C30A31"/>
    <w:rsid w:val="00C31305"/>
    <w:rsid w:val="00C3188D"/>
    <w:rsid w:val="00C3208A"/>
    <w:rsid w:val="00C324A0"/>
    <w:rsid w:val="00C32727"/>
    <w:rsid w:val="00C32A78"/>
    <w:rsid w:val="00C32E39"/>
    <w:rsid w:val="00C32E65"/>
    <w:rsid w:val="00C33221"/>
    <w:rsid w:val="00C33261"/>
    <w:rsid w:val="00C3335F"/>
    <w:rsid w:val="00C338FD"/>
    <w:rsid w:val="00C33A0C"/>
    <w:rsid w:val="00C33B30"/>
    <w:rsid w:val="00C34138"/>
    <w:rsid w:val="00C341C9"/>
    <w:rsid w:val="00C34216"/>
    <w:rsid w:val="00C34223"/>
    <w:rsid w:val="00C34387"/>
    <w:rsid w:val="00C343AF"/>
    <w:rsid w:val="00C3493C"/>
    <w:rsid w:val="00C34A4F"/>
    <w:rsid w:val="00C34CE4"/>
    <w:rsid w:val="00C34CF6"/>
    <w:rsid w:val="00C34DEA"/>
    <w:rsid w:val="00C34E98"/>
    <w:rsid w:val="00C34F21"/>
    <w:rsid w:val="00C35359"/>
    <w:rsid w:val="00C359D8"/>
    <w:rsid w:val="00C35A66"/>
    <w:rsid w:val="00C35BCD"/>
    <w:rsid w:val="00C35D45"/>
    <w:rsid w:val="00C35DB8"/>
    <w:rsid w:val="00C35EE4"/>
    <w:rsid w:val="00C35FBB"/>
    <w:rsid w:val="00C36005"/>
    <w:rsid w:val="00C3628A"/>
    <w:rsid w:val="00C36661"/>
    <w:rsid w:val="00C367DF"/>
    <w:rsid w:val="00C36D72"/>
    <w:rsid w:val="00C36EF4"/>
    <w:rsid w:val="00C370F2"/>
    <w:rsid w:val="00C373BC"/>
    <w:rsid w:val="00C37439"/>
    <w:rsid w:val="00C37443"/>
    <w:rsid w:val="00C37C8A"/>
    <w:rsid w:val="00C37D01"/>
    <w:rsid w:val="00C40029"/>
    <w:rsid w:val="00C40133"/>
    <w:rsid w:val="00C406B2"/>
    <w:rsid w:val="00C40A44"/>
    <w:rsid w:val="00C40B9F"/>
    <w:rsid w:val="00C40BB1"/>
    <w:rsid w:val="00C40C5E"/>
    <w:rsid w:val="00C40C6F"/>
    <w:rsid w:val="00C41187"/>
    <w:rsid w:val="00C4131A"/>
    <w:rsid w:val="00C414E0"/>
    <w:rsid w:val="00C41781"/>
    <w:rsid w:val="00C41947"/>
    <w:rsid w:val="00C41FB4"/>
    <w:rsid w:val="00C421B5"/>
    <w:rsid w:val="00C428B7"/>
    <w:rsid w:val="00C429E0"/>
    <w:rsid w:val="00C42C03"/>
    <w:rsid w:val="00C42E92"/>
    <w:rsid w:val="00C43243"/>
    <w:rsid w:val="00C43357"/>
    <w:rsid w:val="00C433E3"/>
    <w:rsid w:val="00C43668"/>
    <w:rsid w:val="00C43CD5"/>
    <w:rsid w:val="00C43CF4"/>
    <w:rsid w:val="00C43D07"/>
    <w:rsid w:val="00C43ECA"/>
    <w:rsid w:val="00C440F5"/>
    <w:rsid w:val="00C441AD"/>
    <w:rsid w:val="00C444B6"/>
    <w:rsid w:val="00C4488A"/>
    <w:rsid w:val="00C448EA"/>
    <w:rsid w:val="00C44A3C"/>
    <w:rsid w:val="00C44C8B"/>
    <w:rsid w:val="00C44E41"/>
    <w:rsid w:val="00C450E2"/>
    <w:rsid w:val="00C45248"/>
    <w:rsid w:val="00C45576"/>
    <w:rsid w:val="00C45589"/>
    <w:rsid w:val="00C455F5"/>
    <w:rsid w:val="00C45617"/>
    <w:rsid w:val="00C45618"/>
    <w:rsid w:val="00C45843"/>
    <w:rsid w:val="00C45882"/>
    <w:rsid w:val="00C4590C"/>
    <w:rsid w:val="00C45B49"/>
    <w:rsid w:val="00C45D62"/>
    <w:rsid w:val="00C45D92"/>
    <w:rsid w:val="00C461F9"/>
    <w:rsid w:val="00C46344"/>
    <w:rsid w:val="00C464E8"/>
    <w:rsid w:val="00C46549"/>
    <w:rsid w:val="00C46EE5"/>
    <w:rsid w:val="00C46EEF"/>
    <w:rsid w:val="00C46F1C"/>
    <w:rsid w:val="00C470B2"/>
    <w:rsid w:val="00C472C4"/>
    <w:rsid w:val="00C472C7"/>
    <w:rsid w:val="00C475B0"/>
    <w:rsid w:val="00C47694"/>
    <w:rsid w:val="00C478DB"/>
    <w:rsid w:val="00C47BEA"/>
    <w:rsid w:val="00C47C44"/>
    <w:rsid w:val="00C47C63"/>
    <w:rsid w:val="00C47F42"/>
    <w:rsid w:val="00C47FBB"/>
    <w:rsid w:val="00C50097"/>
    <w:rsid w:val="00C502A3"/>
    <w:rsid w:val="00C50CE0"/>
    <w:rsid w:val="00C50E18"/>
    <w:rsid w:val="00C51235"/>
    <w:rsid w:val="00C52107"/>
    <w:rsid w:val="00C526E9"/>
    <w:rsid w:val="00C52875"/>
    <w:rsid w:val="00C52C84"/>
    <w:rsid w:val="00C52C9E"/>
    <w:rsid w:val="00C52E17"/>
    <w:rsid w:val="00C53093"/>
    <w:rsid w:val="00C535A0"/>
    <w:rsid w:val="00C535BB"/>
    <w:rsid w:val="00C5365E"/>
    <w:rsid w:val="00C53717"/>
    <w:rsid w:val="00C53C60"/>
    <w:rsid w:val="00C53CE8"/>
    <w:rsid w:val="00C54232"/>
    <w:rsid w:val="00C54430"/>
    <w:rsid w:val="00C5454A"/>
    <w:rsid w:val="00C54568"/>
    <w:rsid w:val="00C54663"/>
    <w:rsid w:val="00C54B01"/>
    <w:rsid w:val="00C54BD2"/>
    <w:rsid w:val="00C55349"/>
    <w:rsid w:val="00C55430"/>
    <w:rsid w:val="00C55AB7"/>
    <w:rsid w:val="00C55CB4"/>
    <w:rsid w:val="00C55DC5"/>
    <w:rsid w:val="00C56089"/>
    <w:rsid w:val="00C560A7"/>
    <w:rsid w:val="00C5614C"/>
    <w:rsid w:val="00C561AD"/>
    <w:rsid w:val="00C5627F"/>
    <w:rsid w:val="00C567EA"/>
    <w:rsid w:val="00C56E52"/>
    <w:rsid w:val="00C56FD7"/>
    <w:rsid w:val="00C5708E"/>
    <w:rsid w:val="00C570B6"/>
    <w:rsid w:val="00C573D7"/>
    <w:rsid w:val="00C57C07"/>
    <w:rsid w:val="00C60129"/>
    <w:rsid w:val="00C60639"/>
    <w:rsid w:val="00C607C9"/>
    <w:rsid w:val="00C607DA"/>
    <w:rsid w:val="00C608A4"/>
    <w:rsid w:val="00C60A79"/>
    <w:rsid w:val="00C60B02"/>
    <w:rsid w:val="00C60B73"/>
    <w:rsid w:val="00C60B84"/>
    <w:rsid w:val="00C60C21"/>
    <w:rsid w:val="00C61068"/>
    <w:rsid w:val="00C61261"/>
    <w:rsid w:val="00C61709"/>
    <w:rsid w:val="00C61879"/>
    <w:rsid w:val="00C61BFA"/>
    <w:rsid w:val="00C61CDD"/>
    <w:rsid w:val="00C62005"/>
    <w:rsid w:val="00C622CB"/>
    <w:rsid w:val="00C6232A"/>
    <w:rsid w:val="00C625F4"/>
    <w:rsid w:val="00C62826"/>
    <w:rsid w:val="00C62ACC"/>
    <w:rsid w:val="00C62EDE"/>
    <w:rsid w:val="00C62F06"/>
    <w:rsid w:val="00C6315D"/>
    <w:rsid w:val="00C63520"/>
    <w:rsid w:val="00C635AF"/>
    <w:rsid w:val="00C635C9"/>
    <w:rsid w:val="00C635FD"/>
    <w:rsid w:val="00C63851"/>
    <w:rsid w:val="00C639CD"/>
    <w:rsid w:val="00C63FDC"/>
    <w:rsid w:val="00C64634"/>
    <w:rsid w:val="00C64CAC"/>
    <w:rsid w:val="00C6524A"/>
    <w:rsid w:val="00C65342"/>
    <w:rsid w:val="00C654A1"/>
    <w:rsid w:val="00C65608"/>
    <w:rsid w:val="00C6566C"/>
    <w:rsid w:val="00C656A7"/>
    <w:rsid w:val="00C65C51"/>
    <w:rsid w:val="00C65CA9"/>
    <w:rsid w:val="00C65DF3"/>
    <w:rsid w:val="00C65FBC"/>
    <w:rsid w:val="00C6603F"/>
    <w:rsid w:val="00C6608B"/>
    <w:rsid w:val="00C6667C"/>
    <w:rsid w:val="00C667B5"/>
    <w:rsid w:val="00C66883"/>
    <w:rsid w:val="00C66AE8"/>
    <w:rsid w:val="00C67432"/>
    <w:rsid w:val="00C67B46"/>
    <w:rsid w:val="00C67E08"/>
    <w:rsid w:val="00C67FF1"/>
    <w:rsid w:val="00C700ED"/>
    <w:rsid w:val="00C7023A"/>
    <w:rsid w:val="00C70290"/>
    <w:rsid w:val="00C702E7"/>
    <w:rsid w:val="00C705BC"/>
    <w:rsid w:val="00C705BE"/>
    <w:rsid w:val="00C708B2"/>
    <w:rsid w:val="00C70964"/>
    <w:rsid w:val="00C70A13"/>
    <w:rsid w:val="00C70C88"/>
    <w:rsid w:val="00C70EF1"/>
    <w:rsid w:val="00C717A1"/>
    <w:rsid w:val="00C71968"/>
    <w:rsid w:val="00C71A63"/>
    <w:rsid w:val="00C71C63"/>
    <w:rsid w:val="00C71D76"/>
    <w:rsid w:val="00C71D9E"/>
    <w:rsid w:val="00C71E49"/>
    <w:rsid w:val="00C721FA"/>
    <w:rsid w:val="00C72585"/>
    <w:rsid w:val="00C7263B"/>
    <w:rsid w:val="00C72726"/>
    <w:rsid w:val="00C727D9"/>
    <w:rsid w:val="00C730E7"/>
    <w:rsid w:val="00C7324B"/>
    <w:rsid w:val="00C73828"/>
    <w:rsid w:val="00C739F1"/>
    <w:rsid w:val="00C73D83"/>
    <w:rsid w:val="00C73F05"/>
    <w:rsid w:val="00C73F44"/>
    <w:rsid w:val="00C741EF"/>
    <w:rsid w:val="00C74365"/>
    <w:rsid w:val="00C746AF"/>
    <w:rsid w:val="00C746CF"/>
    <w:rsid w:val="00C74B12"/>
    <w:rsid w:val="00C74B62"/>
    <w:rsid w:val="00C74BCA"/>
    <w:rsid w:val="00C74D23"/>
    <w:rsid w:val="00C74FF9"/>
    <w:rsid w:val="00C75202"/>
    <w:rsid w:val="00C759B5"/>
    <w:rsid w:val="00C75BCB"/>
    <w:rsid w:val="00C75D07"/>
    <w:rsid w:val="00C7689A"/>
    <w:rsid w:val="00C77430"/>
    <w:rsid w:val="00C77443"/>
    <w:rsid w:val="00C775D2"/>
    <w:rsid w:val="00C77AF4"/>
    <w:rsid w:val="00C77CDC"/>
    <w:rsid w:val="00C77D2F"/>
    <w:rsid w:val="00C8000A"/>
    <w:rsid w:val="00C80156"/>
    <w:rsid w:val="00C80438"/>
    <w:rsid w:val="00C80E3C"/>
    <w:rsid w:val="00C80F82"/>
    <w:rsid w:val="00C81235"/>
    <w:rsid w:val="00C81BEE"/>
    <w:rsid w:val="00C81DF0"/>
    <w:rsid w:val="00C8284B"/>
    <w:rsid w:val="00C82D69"/>
    <w:rsid w:val="00C834F6"/>
    <w:rsid w:val="00C8374F"/>
    <w:rsid w:val="00C837EE"/>
    <w:rsid w:val="00C83CFE"/>
    <w:rsid w:val="00C83D08"/>
    <w:rsid w:val="00C843A3"/>
    <w:rsid w:val="00C8441D"/>
    <w:rsid w:val="00C8444F"/>
    <w:rsid w:val="00C8445E"/>
    <w:rsid w:val="00C84643"/>
    <w:rsid w:val="00C84768"/>
    <w:rsid w:val="00C84B8A"/>
    <w:rsid w:val="00C850A4"/>
    <w:rsid w:val="00C852D3"/>
    <w:rsid w:val="00C858DA"/>
    <w:rsid w:val="00C85CB2"/>
    <w:rsid w:val="00C85CD0"/>
    <w:rsid w:val="00C85D27"/>
    <w:rsid w:val="00C861CF"/>
    <w:rsid w:val="00C8659C"/>
    <w:rsid w:val="00C867DD"/>
    <w:rsid w:val="00C86BB2"/>
    <w:rsid w:val="00C86C27"/>
    <w:rsid w:val="00C8726C"/>
    <w:rsid w:val="00C8735B"/>
    <w:rsid w:val="00C87649"/>
    <w:rsid w:val="00C87725"/>
    <w:rsid w:val="00C87B90"/>
    <w:rsid w:val="00C87DA0"/>
    <w:rsid w:val="00C90140"/>
    <w:rsid w:val="00C906DF"/>
    <w:rsid w:val="00C9092D"/>
    <w:rsid w:val="00C909B1"/>
    <w:rsid w:val="00C909C4"/>
    <w:rsid w:val="00C90B65"/>
    <w:rsid w:val="00C90C46"/>
    <w:rsid w:val="00C911FD"/>
    <w:rsid w:val="00C91243"/>
    <w:rsid w:val="00C9131D"/>
    <w:rsid w:val="00C914CF"/>
    <w:rsid w:val="00C9163F"/>
    <w:rsid w:val="00C9175B"/>
    <w:rsid w:val="00C9194F"/>
    <w:rsid w:val="00C919D7"/>
    <w:rsid w:val="00C91A28"/>
    <w:rsid w:val="00C91E3A"/>
    <w:rsid w:val="00C91EE1"/>
    <w:rsid w:val="00C92054"/>
    <w:rsid w:val="00C927C5"/>
    <w:rsid w:val="00C9285C"/>
    <w:rsid w:val="00C9291F"/>
    <w:rsid w:val="00C92DA8"/>
    <w:rsid w:val="00C92EB8"/>
    <w:rsid w:val="00C92ED6"/>
    <w:rsid w:val="00C92FDD"/>
    <w:rsid w:val="00C932FE"/>
    <w:rsid w:val="00C9344B"/>
    <w:rsid w:val="00C936C3"/>
    <w:rsid w:val="00C93AFF"/>
    <w:rsid w:val="00C93C51"/>
    <w:rsid w:val="00C93F28"/>
    <w:rsid w:val="00C9423C"/>
    <w:rsid w:val="00C94BC9"/>
    <w:rsid w:val="00C94DB4"/>
    <w:rsid w:val="00C94F6E"/>
    <w:rsid w:val="00C950A4"/>
    <w:rsid w:val="00C95199"/>
    <w:rsid w:val="00C95229"/>
    <w:rsid w:val="00C95350"/>
    <w:rsid w:val="00C9535D"/>
    <w:rsid w:val="00C95420"/>
    <w:rsid w:val="00C9577E"/>
    <w:rsid w:val="00C958E4"/>
    <w:rsid w:val="00C95BD2"/>
    <w:rsid w:val="00C9610F"/>
    <w:rsid w:val="00C9641C"/>
    <w:rsid w:val="00C966F2"/>
    <w:rsid w:val="00C96851"/>
    <w:rsid w:val="00C96963"/>
    <w:rsid w:val="00C96F32"/>
    <w:rsid w:val="00C97354"/>
    <w:rsid w:val="00C97395"/>
    <w:rsid w:val="00C976E8"/>
    <w:rsid w:val="00C9798C"/>
    <w:rsid w:val="00C97A06"/>
    <w:rsid w:val="00C97C3E"/>
    <w:rsid w:val="00C97C89"/>
    <w:rsid w:val="00C97DD6"/>
    <w:rsid w:val="00CA02BE"/>
    <w:rsid w:val="00CA07B5"/>
    <w:rsid w:val="00CA08E1"/>
    <w:rsid w:val="00CA0B0E"/>
    <w:rsid w:val="00CA0F89"/>
    <w:rsid w:val="00CA12F7"/>
    <w:rsid w:val="00CA1741"/>
    <w:rsid w:val="00CA17A4"/>
    <w:rsid w:val="00CA1904"/>
    <w:rsid w:val="00CA1D9D"/>
    <w:rsid w:val="00CA1E1C"/>
    <w:rsid w:val="00CA21F5"/>
    <w:rsid w:val="00CA239E"/>
    <w:rsid w:val="00CA23D1"/>
    <w:rsid w:val="00CA272D"/>
    <w:rsid w:val="00CA28C9"/>
    <w:rsid w:val="00CA2911"/>
    <w:rsid w:val="00CA2A24"/>
    <w:rsid w:val="00CA2EDA"/>
    <w:rsid w:val="00CA3106"/>
    <w:rsid w:val="00CA32B8"/>
    <w:rsid w:val="00CA3358"/>
    <w:rsid w:val="00CA37D6"/>
    <w:rsid w:val="00CA3B12"/>
    <w:rsid w:val="00CA3F2B"/>
    <w:rsid w:val="00CA3F3D"/>
    <w:rsid w:val="00CA446F"/>
    <w:rsid w:val="00CA45E5"/>
    <w:rsid w:val="00CA4622"/>
    <w:rsid w:val="00CA462C"/>
    <w:rsid w:val="00CA46FF"/>
    <w:rsid w:val="00CA47AE"/>
    <w:rsid w:val="00CA485A"/>
    <w:rsid w:val="00CA4DB5"/>
    <w:rsid w:val="00CA4E1D"/>
    <w:rsid w:val="00CA50B8"/>
    <w:rsid w:val="00CA5854"/>
    <w:rsid w:val="00CA5A16"/>
    <w:rsid w:val="00CA5A77"/>
    <w:rsid w:val="00CA60B2"/>
    <w:rsid w:val="00CA641D"/>
    <w:rsid w:val="00CA6761"/>
    <w:rsid w:val="00CA69AD"/>
    <w:rsid w:val="00CA6C1C"/>
    <w:rsid w:val="00CA6D87"/>
    <w:rsid w:val="00CA6F14"/>
    <w:rsid w:val="00CA7030"/>
    <w:rsid w:val="00CA711F"/>
    <w:rsid w:val="00CA72EE"/>
    <w:rsid w:val="00CA73F6"/>
    <w:rsid w:val="00CA747E"/>
    <w:rsid w:val="00CA7622"/>
    <w:rsid w:val="00CA7683"/>
    <w:rsid w:val="00CA77D5"/>
    <w:rsid w:val="00CA7A22"/>
    <w:rsid w:val="00CA7D75"/>
    <w:rsid w:val="00CA7FB2"/>
    <w:rsid w:val="00CB0159"/>
    <w:rsid w:val="00CB09C7"/>
    <w:rsid w:val="00CB1231"/>
    <w:rsid w:val="00CB1371"/>
    <w:rsid w:val="00CB1383"/>
    <w:rsid w:val="00CB1405"/>
    <w:rsid w:val="00CB1608"/>
    <w:rsid w:val="00CB1AF5"/>
    <w:rsid w:val="00CB1B70"/>
    <w:rsid w:val="00CB1FA1"/>
    <w:rsid w:val="00CB22DA"/>
    <w:rsid w:val="00CB249B"/>
    <w:rsid w:val="00CB2531"/>
    <w:rsid w:val="00CB25C9"/>
    <w:rsid w:val="00CB28DF"/>
    <w:rsid w:val="00CB2AD0"/>
    <w:rsid w:val="00CB2D4D"/>
    <w:rsid w:val="00CB31F9"/>
    <w:rsid w:val="00CB34A3"/>
    <w:rsid w:val="00CB386A"/>
    <w:rsid w:val="00CB3E2B"/>
    <w:rsid w:val="00CB4477"/>
    <w:rsid w:val="00CB4542"/>
    <w:rsid w:val="00CB475F"/>
    <w:rsid w:val="00CB49A6"/>
    <w:rsid w:val="00CB4A1E"/>
    <w:rsid w:val="00CB4B8B"/>
    <w:rsid w:val="00CB4D30"/>
    <w:rsid w:val="00CB4F01"/>
    <w:rsid w:val="00CB5093"/>
    <w:rsid w:val="00CB5226"/>
    <w:rsid w:val="00CB5856"/>
    <w:rsid w:val="00CB5878"/>
    <w:rsid w:val="00CB5CFB"/>
    <w:rsid w:val="00CB60B6"/>
    <w:rsid w:val="00CB6103"/>
    <w:rsid w:val="00CB6335"/>
    <w:rsid w:val="00CB638F"/>
    <w:rsid w:val="00CB6770"/>
    <w:rsid w:val="00CB6BDC"/>
    <w:rsid w:val="00CB6D88"/>
    <w:rsid w:val="00CB6EE4"/>
    <w:rsid w:val="00CB7507"/>
    <w:rsid w:val="00CB78BB"/>
    <w:rsid w:val="00CB7A96"/>
    <w:rsid w:val="00CB7F6A"/>
    <w:rsid w:val="00CC0340"/>
    <w:rsid w:val="00CC041D"/>
    <w:rsid w:val="00CC04EF"/>
    <w:rsid w:val="00CC0601"/>
    <w:rsid w:val="00CC09DE"/>
    <w:rsid w:val="00CC0AE1"/>
    <w:rsid w:val="00CC0D03"/>
    <w:rsid w:val="00CC0DCE"/>
    <w:rsid w:val="00CC0EB3"/>
    <w:rsid w:val="00CC171E"/>
    <w:rsid w:val="00CC173A"/>
    <w:rsid w:val="00CC17E3"/>
    <w:rsid w:val="00CC1B3D"/>
    <w:rsid w:val="00CC1FDA"/>
    <w:rsid w:val="00CC2000"/>
    <w:rsid w:val="00CC2036"/>
    <w:rsid w:val="00CC2551"/>
    <w:rsid w:val="00CC2566"/>
    <w:rsid w:val="00CC299C"/>
    <w:rsid w:val="00CC2A97"/>
    <w:rsid w:val="00CC33B8"/>
    <w:rsid w:val="00CC37F8"/>
    <w:rsid w:val="00CC39FC"/>
    <w:rsid w:val="00CC3FE3"/>
    <w:rsid w:val="00CC3FFD"/>
    <w:rsid w:val="00CC444E"/>
    <w:rsid w:val="00CC4586"/>
    <w:rsid w:val="00CC4971"/>
    <w:rsid w:val="00CC4A20"/>
    <w:rsid w:val="00CC4BF0"/>
    <w:rsid w:val="00CC4FFE"/>
    <w:rsid w:val="00CC513C"/>
    <w:rsid w:val="00CC51FC"/>
    <w:rsid w:val="00CC5B1E"/>
    <w:rsid w:val="00CC5FF2"/>
    <w:rsid w:val="00CC63D1"/>
    <w:rsid w:val="00CC6EE5"/>
    <w:rsid w:val="00CC709C"/>
    <w:rsid w:val="00CC7380"/>
    <w:rsid w:val="00CC77CB"/>
    <w:rsid w:val="00CC7F62"/>
    <w:rsid w:val="00CD0040"/>
    <w:rsid w:val="00CD0420"/>
    <w:rsid w:val="00CD0BB9"/>
    <w:rsid w:val="00CD1088"/>
    <w:rsid w:val="00CD10CD"/>
    <w:rsid w:val="00CD1122"/>
    <w:rsid w:val="00CD1182"/>
    <w:rsid w:val="00CD1239"/>
    <w:rsid w:val="00CD1D1D"/>
    <w:rsid w:val="00CD1E76"/>
    <w:rsid w:val="00CD1FE5"/>
    <w:rsid w:val="00CD2012"/>
    <w:rsid w:val="00CD270F"/>
    <w:rsid w:val="00CD2B77"/>
    <w:rsid w:val="00CD2BCB"/>
    <w:rsid w:val="00CD2D2B"/>
    <w:rsid w:val="00CD2FEC"/>
    <w:rsid w:val="00CD32AD"/>
    <w:rsid w:val="00CD354A"/>
    <w:rsid w:val="00CD35DE"/>
    <w:rsid w:val="00CD3BC7"/>
    <w:rsid w:val="00CD3CFB"/>
    <w:rsid w:val="00CD3D56"/>
    <w:rsid w:val="00CD433D"/>
    <w:rsid w:val="00CD43C1"/>
    <w:rsid w:val="00CD4404"/>
    <w:rsid w:val="00CD4541"/>
    <w:rsid w:val="00CD4721"/>
    <w:rsid w:val="00CD4802"/>
    <w:rsid w:val="00CD4FDC"/>
    <w:rsid w:val="00CD5329"/>
    <w:rsid w:val="00CD542C"/>
    <w:rsid w:val="00CD5629"/>
    <w:rsid w:val="00CD5843"/>
    <w:rsid w:val="00CD5A97"/>
    <w:rsid w:val="00CD6317"/>
    <w:rsid w:val="00CD7416"/>
    <w:rsid w:val="00CD76EC"/>
    <w:rsid w:val="00CD78D7"/>
    <w:rsid w:val="00CD7B44"/>
    <w:rsid w:val="00CD7E7E"/>
    <w:rsid w:val="00CD7F4B"/>
    <w:rsid w:val="00CE02E1"/>
    <w:rsid w:val="00CE04B2"/>
    <w:rsid w:val="00CE06A2"/>
    <w:rsid w:val="00CE0907"/>
    <w:rsid w:val="00CE0BBC"/>
    <w:rsid w:val="00CE0BCD"/>
    <w:rsid w:val="00CE0E13"/>
    <w:rsid w:val="00CE0F26"/>
    <w:rsid w:val="00CE19A7"/>
    <w:rsid w:val="00CE1B8C"/>
    <w:rsid w:val="00CE2494"/>
    <w:rsid w:val="00CE2977"/>
    <w:rsid w:val="00CE29DF"/>
    <w:rsid w:val="00CE29FB"/>
    <w:rsid w:val="00CE31F0"/>
    <w:rsid w:val="00CE3536"/>
    <w:rsid w:val="00CE3D54"/>
    <w:rsid w:val="00CE4007"/>
    <w:rsid w:val="00CE41A0"/>
    <w:rsid w:val="00CE41C4"/>
    <w:rsid w:val="00CE438D"/>
    <w:rsid w:val="00CE44D6"/>
    <w:rsid w:val="00CE4617"/>
    <w:rsid w:val="00CE48B9"/>
    <w:rsid w:val="00CE4D13"/>
    <w:rsid w:val="00CE582F"/>
    <w:rsid w:val="00CE5A91"/>
    <w:rsid w:val="00CE5ACA"/>
    <w:rsid w:val="00CE5AFF"/>
    <w:rsid w:val="00CE5C78"/>
    <w:rsid w:val="00CE5E68"/>
    <w:rsid w:val="00CE62C4"/>
    <w:rsid w:val="00CE62E9"/>
    <w:rsid w:val="00CE6513"/>
    <w:rsid w:val="00CE6588"/>
    <w:rsid w:val="00CE66B9"/>
    <w:rsid w:val="00CE6DEE"/>
    <w:rsid w:val="00CE6E88"/>
    <w:rsid w:val="00CE6F5D"/>
    <w:rsid w:val="00CE6FF2"/>
    <w:rsid w:val="00CE739A"/>
    <w:rsid w:val="00CE75D2"/>
    <w:rsid w:val="00CE76B8"/>
    <w:rsid w:val="00CE7DCA"/>
    <w:rsid w:val="00CF02B2"/>
    <w:rsid w:val="00CF0321"/>
    <w:rsid w:val="00CF0558"/>
    <w:rsid w:val="00CF0A21"/>
    <w:rsid w:val="00CF0A9C"/>
    <w:rsid w:val="00CF0B7E"/>
    <w:rsid w:val="00CF0F6A"/>
    <w:rsid w:val="00CF1763"/>
    <w:rsid w:val="00CF1970"/>
    <w:rsid w:val="00CF1B73"/>
    <w:rsid w:val="00CF2169"/>
    <w:rsid w:val="00CF2558"/>
    <w:rsid w:val="00CF2C01"/>
    <w:rsid w:val="00CF2F54"/>
    <w:rsid w:val="00CF3224"/>
    <w:rsid w:val="00CF3328"/>
    <w:rsid w:val="00CF349F"/>
    <w:rsid w:val="00CF38A1"/>
    <w:rsid w:val="00CF3F24"/>
    <w:rsid w:val="00CF409E"/>
    <w:rsid w:val="00CF4389"/>
    <w:rsid w:val="00CF4874"/>
    <w:rsid w:val="00CF4BBC"/>
    <w:rsid w:val="00CF4BF7"/>
    <w:rsid w:val="00CF4C16"/>
    <w:rsid w:val="00CF57F1"/>
    <w:rsid w:val="00CF59D5"/>
    <w:rsid w:val="00CF5CA8"/>
    <w:rsid w:val="00CF60EC"/>
    <w:rsid w:val="00CF6222"/>
    <w:rsid w:val="00CF6333"/>
    <w:rsid w:val="00CF645C"/>
    <w:rsid w:val="00CF6599"/>
    <w:rsid w:val="00CF6629"/>
    <w:rsid w:val="00CF6651"/>
    <w:rsid w:val="00CF6916"/>
    <w:rsid w:val="00CF6CE7"/>
    <w:rsid w:val="00CF6EF0"/>
    <w:rsid w:val="00CF6FF2"/>
    <w:rsid w:val="00CF71BD"/>
    <w:rsid w:val="00CF72AC"/>
    <w:rsid w:val="00CF72F1"/>
    <w:rsid w:val="00CF75EF"/>
    <w:rsid w:val="00CF76F0"/>
    <w:rsid w:val="00CF773C"/>
    <w:rsid w:val="00CF774C"/>
    <w:rsid w:val="00CF77AF"/>
    <w:rsid w:val="00CF77DD"/>
    <w:rsid w:val="00CF7918"/>
    <w:rsid w:val="00CF7BAD"/>
    <w:rsid w:val="00CF7E25"/>
    <w:rsid w:val="00CF7E54"/>
    <w:rsid w:val="00CF7E9C"/>
    <w:rsid w:val="00CF7F92"/>
    <w:rsid w:val="00D00C6A"/>
    <w:rsid w:val="00D00E93"/>
    <w:rsid w:val="00D00F8C"/>
    <w:rsid w:val="00D011C3"/>
    <w:rsid w:val="00D01D19"/>
    <w:rsid w:val="00D0265C"/>
    <w:rsid w:val="00D02947"/>
    <w:rsid w:val="00D029D2"/>
    <w:rsid w:val="00D02A17"/>
    <w:rsid w:val="00D03236"/>
    <w:rsid w:val="00D035D7"/>
    <w:rsid w:val="00D04006"/>
    <w:rsid w:val="00D041C3"/>
    <w:rsid w:val="00D041D4"/>
    <w:rsid w:val="00D04370"/>
    <w:rsid w:val="00D047FB"/>
    <w:rsid w:val="00D04892"/>
    <w:rsid w:val="00D04D3D"/>
    <w:rsid w:val="00D04D6D"/>
    <w:rsid w:val="00D04E7D"/>
    <w:rsid w:val="00D05101"/>
    <w:rsid w:val="00D05106"/>
    <w:rsid w:val="00D05306"/>
    <w:rsid w:val="00D05794"/>
    <w:rsid w:val="00D057B1"/>
    <w:rsid w:val="00D05831"/>
    <w:rsid w:val="00D05AD0"/>
    <w:rsid w:val="00D05B0B"/>
    <w:rsid w:val="00D05C8C"/>
    <w:rsid w:val="00D060BC"/>
    <w:rsid w:val="00D06136"/>
    <w:rsid w:val="00D06202"/>
    <w:rsid w:val="00D06375"/>
    <w:rsid w:val="00D0660C"/>
    <w:rsid w:val="00D06643"/>
    <w:rsid w:val="00D06782"/>
    <w:rsid w:val="00D06910"/>
    <w:rsid w:val="00D06CC2"/>
    <w:rsid w:val="00D06F11"/>
    <w:rsid w:val="00D06F94"/>
    <w:rsid w:val="00D07194"/>
    <w:rsid w:val="00D077EF"/>
    <w:rsid w:val="00D07A08"/>
    <w:rsid w:val="00D07A18"/>
    <w:rsid w:val="00D07BFD"/>
    <w:rsid w:val="00D07CC2"/>
    <w:rsid w:val="00D07E75"/>
    <w:rsid w:val="00D10307"/>
    <w:rsid w:val="00D104EB"/>
    <w:rsid w:val="00D10741"/>
    <w:rsid w:val="00D10A59"/>
    <w:rsid w:val="00D10B58"/>
    <w:rsid w:val="00D10EE8"/>
    <w:rsid w:val="00D10FC2"/>
    <w:rsid w:val="00D10FE3"/>
    <w:rsid w:val="00D10FF2"/>
    <w:rsid w:val="00D113A9"/>
    <w:rsid w:val="00D11715"/>
    <w:rsid w:val="00D11817"/>
    <w:rsid w:val="00D11859"/>
    <w:rsid w:val="00D11EE7"/>
    <w:rsid w:val="00D12098"/>
    <w:rsid w:val="00D123FD"/>
    <w:rsid w:val="00D12A88"/>
    <w:rsid w:val="00D12BE2"/>
    <w:rsid w:val="00D12E70"/>
    <w:rsid w:val="00D12EB5"/>
    <w:rsid w:val="00D12FAF"/>
    <w:rsid w:val="00D13033"/>
    <w:rsid w:val="00D13232"/>
    <w:rsid w:val="00D13786"/>
    <w:rsid w:val="00D1379F"/>
    <w:rsid w:val="00D13A8E"/>
    <w:rsid w:val="00D13B75"/>
    <w:rsid w:val="00D13DF7"/>
    <w:rsid w:val="00D13FB8"/>
    <w:rsid w:val="00D14BAC"/>
    <w:rsid w:val="00D14DE7"/>
    <w:rsid w:val="00D14FE6"/>
    <w:rsid w:val="00D150B2"/>
    <w:rsid w:val="00D15437"/>
    <w:rsid w:val="00D154BC"/>
    <w:rsid w:val="00D1552B"/>
    <w:rsid w:val="00D1577E"/>
    <w:rsid w:val="00D15D7D"/>
    <w:rsid w:val="00D15E1E"/>
    <w:rsid w:val="00D15E65"/>
    <w:rsid w:val="00D15F21"/>
    <w:rsid w:val="00D16285"/>
    <w:rsid w:val="00D162E3"/>
    <w:rsid w:val="00D16A3C"/>
    <w:rsid w:val="00D16B30"/>
    <w:rsid w:val="00D16BA1"/>
    <w:rsid w:val="00D16C26"/>
    <w:rsid w:val="00D16C6E"/>
    <w:rsid w:val="00D16CD9"/>
    <w:rsid w:val="00D1702F"/>
    <w:rsid w:val="00D171A7"/>
    <w:rsid w:val="00D172A0"/>
    <w:rsid w:val="00D172E7"/>
    <w:rsid w:val="00D1744C"/>
    <w:rsid w:val="00D17466"/>
    <w:rsid w:val="00D176A3"/>
    <w:rsid w:val="00D17A07"/>
    <w:rsid w:val="00D17D04"/>
    <w:rsid w:val="00D20005"/>
    <w:rsid w:val="00D20089"/>
    <w:rsid w:val="00D202F2"/>
    <w:rsid w:val="00D203EE"/>
    <w:rsid w:val="00D204CE"/>
    <w:rsid w:val="00D20560"/>
    <w:rsid w:val="00D20566"/>
    <w:rsid w:val="00D207EB"/>
    <w:rsid w:val="00D20863"/>
    <w:rsid w:val="00D209C5"/>
    <w:rsid w:val="00D20AD8"/>
    <w:rsid w:val="00D20B23"/>
    <w:rsid w:val="00D20C8E"/>
    <w:rsid w:val="00D20D3C"/>
    <w:rsid w:val="00D20DC6"/>
    <w:rsid w:val="00D20ECB"/>
    <w:rsid w:val="00D2131E"/>
    <w:rsid w:val="00D21451"/>
    <w:rsid w:val="00D2145E"/>
    <w:rsid w:val="00D21551"/>
    <w:rsid w:val="00D2162C"/>
    <w:rsid w:val="00D21841"/>
    <w:rsid w:val="00D218CF"/>
    <w:rsid w:val="00D219E2"/>
    <w:rsid w:val="00D21A37"/>
    <w:rsid w:val="00D21B5F"/>
    <w:rsid w:val="00D21BD8"/>
    <w:rsid w:val="00D21E36"/>
    <w:rsid w:val="00D21F19"/>
    <w:rsid w:val="00D22190"/>
    <w:rsid w:val="00D2243F"/>
    <w:rsid w:val="00D22773"/>
    <w:rsid w:val="00D22A65"/>
    <w:rsid w:val="00D22C6E"/>
    <w:rsid w:val="00D22D38"/>
    <w:rsid w:val="00D22F04"/>
    <w:rsid w:val="00D233D3"/>
    <w:rsid w:val="00D23487"/>
    <w:rsid w:val="00D234D5"/>
    <w:rsid w:val="00D23707"/>
    <w:rsid w:val="00D239E0"/>
    <w:rsid w:val="00D23AE5"/>
    <w:rsid w:val="00D23CC9"/>
    <w:rsid w:val="00D23DE7"/>
    <w:rsid w:val="00D23FDE"/>
    <w:rsid w:val="00D242BE"/>
    <w:rsid w:val="00D247C6"/>
    <w:rsid w:val="00D24AD2"/>
    <w:rsid w:val="00D24DAB"/>
    <w:rsid w:val="00D25423"/>
    <w:rsid w:val="00D25643"/>
    <w:rsid w:val="00D25A8C"/>
    <w:rsid w:val="00D25E52"/>
    <w:rsid w:val="00D25F51"/>
    <w:rsid w:val="00D2626D"/>
    <w:rsid w:val="00D266BA"/>
    <w:rsid w:val="00D2679D"/>
    <w:rsid w:val="00D26C5A"/>
    <w:rsid w:val="00D26CD4"/>
    <w:rsid w:val="00D26E2A"/>
    <w:rsid w:val="00D270FE"/>
    <w:rsid w:val="00D2715A"/>
    <w:rsid w:val="00D27177"/>
    <w:rsid w:val="00D2739C"/>
    <w:rsid w:val="00D2783F"/>
    <w:rsid w:val="00D278C5"/>
    <w:rsid w:val="00D2798B"/>
    <w:rsid w:val="00D27AFA"/>
    <w:rsid w:val="00D27B13"/>
    <w:rsid w:val="00D27C5B"/>
    <w:rsid w:val="00D27DD0"/>
    <w:rsid w:val="00D27E87"/>
    <w:rsid w:val="00D27EBD"/>
    <w:rsid w:val="00D304EC"/>
    <w:rsid w:val="00D30A30"/>
    <w:rsid w:val="00D30CAF"/>
    <w:rsid w:val="00D30CB6"/>
    <w:rsid w:val="00D30D41"/>
    <w:rsid w:val="00D30EF3"/>
    <w:rsid w:val="00D310C3"/>
    <w:rsid w:val="00D31116"/>
    <w:rsid w:val="00D3123A"/>
    <w:rsid w:val="00D31437"/>
    <w:rsid w:val="00D317A7"/>
    <w:rsid w:val="00D31838"/>
    <w:rsid w:val="00D319B6"/>
    <w:rsid w:val="00D31ACA"/>
    <w:rsid w:val="00D32128"/>
    <w:rsid w:val="00D32666"/>
    <w:rsid w:val="00D33181"/>
    <w:rsid w:val="00D33261"/>
    <w:rsid w:val="00D33363"/>
    <w:rsid w:val="00D3345C"/>
    <w:rsid w:val="00D3356E"/>
    <w:rsid w:val="00D3388A"/>
    <w:rsid w:val="00D33F24"/>
    <w:rsid w:val="00D34250"/>
    <w:rsid w:val="00D3439A"/>
    <w:rsid w:val="00D346A2"/>
    <w:rsid w:val="00D34A02"/>
    <w:rsid w:val="00D34ED7"/>
    <w:rsid w:val="00D34FDE"/>
    <w:rsid w:val="00D3503A"/>
    <w:rsid w:val="00D3559A"/>
    <w:rsid w:val="00D35725"/>
    <w:rsid w:val="00D35D57"/>
    <w:rsid w:val="00D35F35"/>
    <w:rsid w:val="00D35FC1"/>
    <w:rsid w:val="00D35FE3"/>
    <w:rsid w:val="00D3603D"/>
    <w:rsid w:val="00D3614D"/>
    <w:rsid w:val="00D36253"/>
    <w:rsid w:val="00D3683A"/>
    <w:rsid w:val="00D36B22"/>
    <w:rsid w:val="00D36D55"/>
    <w:rsid w:val="00D373E6"/>
    <w:rsid w:val="00D3748F"/>
    <w:rsid w:val="00D37651"/>
    <w:rsid w:val="00D37829"/>
    <w:rsid w:val="00D37A32"/>
    <w:rsid w:val="00D37CD7"/>
    <w:rsid w:val="00D37FB7"/>
    <w:rsid w:val="00D37FB8"/>
    <w:rsid w:val="00D401CA"/>
    <w:rsid w:val="00D40280"/>
    <w:rsid w:val="00D406B1"/>
    <w:rsid w:val="00D4073E"/>
    <w:rsid w:val="00D40BCB"/>
    <w:rsid w:val="00D410C3"/>
    <w:rsid w:val="00D4140B"/>
    <w:rsid w:val="00D41636"/>
    <w:rsid w:val="00D4165A"/>
    <w:rsid w:val="00D419D3"/>
    <w:rsid w:val="00D41B26"/>
    <w:rsid w:val="00D41E7B"/>
    <w:rsid w:val="00D41EA7"/>
    <w:rsid w:val="00D41FF4"/>
    <w:rsid w:val="00D420EF"/>
    <w:rsid w:val="00D423A3"/>
    <w:rsid w:val="00D425B7"/>
    <w:rsid w:val="00D427E5"/>
    <w:rsid w:val="00D42ACB"/>
    <w:rsid w:val="00D42AE1"/>
    <w:rsid w:val="00D42CE7"/>
    <w:rsid w:val="00D42DD9"/>
    <w:rsid w:val="00D430A7"/>
    <w:rsid w:val="00D4317C"/>
    <w:rsid w:val="00D431DF"/>
    <w:rsid w:val="00D43B4A"/>
    <w:rsid w:val="00D43EC2"/>
    <w:rsid w:val="00D43FF3"/>
    <w:rsid w:val="00D4412B"/>
    <w:rsid w:val="00D44160"/>
    <w:rsid w:val="00D44358"/>
    <w:rsid w:val="00D4451A"/>
    <w:rsid w:val="00D4457D"/>
    <w:rsid w:val="00D445D4"/>
    <w:rsid w:val="00D44779"/>
    <w:rsid w:val="00D44A6A"/>
    <w:rsid w:val="00D44B22"/>
    <w:rsid w:val="00D455AF"/>
    <w:rsid w:val="00D45C6C"/>
    <w:rsid w:val="00D45DD6"/>
    <w:rsid w:val="00D4625C"/>
    <w:rsid w:val="00D467C4"/>
    <w:rsid w:val="00D46BD7"/>
    <w:rsid w:val="00D46F32"/>
    <w:rsid w:val="00D474E3"/>
    <w:rsid w:val="00D4760A"/>
    <w:rsid w:val="00D47A48"/>
    <w:rsid w:val="00D47A8F"/>
    <w:rsid w:val="00D47E5A"/>
    <w:rsid w:val="00D47F07"/>
    <w:rsid w:val="00D5003F"/>
    <w:rsid w:val="00D502C5"/>
    <w:rsid w:val="00D503A8"/>
    <w:rsid w:val="00D504F8"/>
    <w:rsid w:val="00D5053C"/>
    <w:rsid w:val="00D506A9"/>
    <w:rsid w:val="00D50B31"/>
    <w:rsid w:val="00D50E48"/>
    <w:rsid w:val="00D5160B"/>
    <w:rsid w:val="00D51FE4"/>
    <w:rsid w:val="00D52270"/>
    <w:rsid w:val="00D523F8"/>
    <w:rsid w:val="00D52569"/>
    <w:rsid w:val="00D530C1"/>
    <w:rsid w:val="00D5315C"/>
    <w:rsid w:val="00D53337"/>
    <w:rsid w:val="00D53F76"/>
    <w:rsid w:val="00D54A1A"/>
    <w:rsid w:val="00D54A31"/>
    <w:rsid w:val="00D54B46"/>
    <w:rsid w:val="00D54FC5"/>
    <w:rsid w:val="00D5510B"/>
    <w:rsid w:val="00D5527F"/>
    <w:rsid w:val="00D5542F"/>
    <w:rsid w:val="00D5554C"/>
    <w:rsid w:val="00D55609"/>
    <w:rsid w:val="00D55774"/>
    <w:rsid w:val="00D55B2B"/>
    <w:rsid w:val="00D55DF0"/>
    <w:rsid w:val="00D55EC8"/>
    <w:rsid w:val="00D56240"/>
    <w:rsid w:val="00D5628B"/>
    <w:rsid w:val="00D56748"/>
    <w:rsid w:val="00D56A2E"/>
    <w:rsid w:val="00D56AD7"/>
    <w:rsid w:val="00D56C53"/>
    <w:rsid w:val="00D57338"/>
    <w:rsid w:val="00D57722"/>
    <w:rsid w:val="00D57892"/>
    <w:rsid w:val="00D57BA6"/>
    <w:rsid w:val="00D57C3E"/>
    <w:rsid w:val="00D57E29"/>
    <w:rsid w:val="00D57F78"/>
    <w:rsid w:val="00D60205"/>
    <w:rsid w:val="00D60309"/>
    <w:rsid w:val="00D61125"/>
    <w:rsid w:val="00D61871"/>
    <w:rsid w:val="00D61988"/>
    <w:rsid w:val="00D61A9A"/>
    <w:rsid w:val="00D61C1D"/>
    <w:rsid w:val="00D61C86"/>
    <w:rsid w:val="00D62159"/>
    <w:rsid w:val="00D62488"/>
    <w:rsid w:val="00D624B9"/>
    <w:rsid w:val="00D62592"/>
    <w:rsid w:val="00D626D8"/>
    <w:rsid w:val="00D627F9"/>
    <w:rsid w:val="00D62935"/>
    <w:rsid w:val="00D629ED"/>
    <w:rsid w:val="00D62DC8"/>
    <w:rsid w:val="00D62FDD"/>
    <w:rsid w:val="00D6357F"/>
    <w:rsid w:val="00D63968"/>
    <w:rsid w:val="00D63A1A"/>
    <w:rsid w:val="00D63A55"/>
    <w:rsid w:val="00D63A66"/>
    <w:rsid w:val="00D63A93"/>
    <w:rsid w:val="00D63B66"/>
    <w:rsid w:val="00D63CAD"/>
    <w:rsid w:val="00D63D0A"/>
    <w:rsid w:val="00D63F8A"/>
    <w:rsid w:val="00D642F1"/>
    <w:rsid w:val="00D646B7"/>
    <w:rsid w:val="00D64A73"/>
    <w:rsid w:val="00D65CB5"/>
    <w:rsid w:val="00D65F0A"/>
    <w:rsid w:val="00D664FA"/>
    <w:rsid w:val="00D669A3"/>
    <w:rsid w:val="00D67329"/>
    <w:rsid w:val="00D67483"/>
    <w:rsid w:val="00D67526"/>
    <w:rsid w:val="00D6766B"/>
    <w:rsid w:val="00D6776F"/>
    <w:rsid w:val="00D67B81"/>
    <w:rsid w:val="00D67CBE"/>
    <w:rsid w:val="00D67D1E"/>
    <w:rsid w:val="00D70170"/>
    <w:rsid w:val="00D70295"/>
    <w:rsid w:val="00D7048E"/>
    <w:rsid w:val="00D706E4"/>
    <w:rsid w:val="00D7096F"/>
    <w:rsid w:val="00D709CC"/>
    <w:rsid w:val="00D70B3A"/>
    <w:rsid w:val="00D7117D"/>
    <w:rsid w:val="00D71323"/>
    <w:rsid w:val="00D714DD"/>
    <w:rsid w:val="00D71579"/>
    <w:rsid w:val="00D717E7"/>
    <w:rsid w:val="00D7217C"/>
    <w:rsid w:val="00D7221D"/>
    <w:rsid w:val="00D723D6"/>
    <w:rsid w:val="00D72429"/>
    <w:rsid w:val="00D72554"/>
    <w:rsid w:val="00D725AB"/>
    <w:rsid w:val="00D726F3"/>
    <w:rsid w:val="00D72828"/>
    <w:rsid w:val="00D72C0A"/>
    <w:rsid w:val="00D7310D"/>
    <w:rsid w:val="00D7326E"/>
    <w:rsid w:val="00D73617"/>
    <w:rsid w:val="00D73F02"/>
    <w:rsid w:val="00D74220"/>
    <w:rsid w:val="00D7428A"/>
    <w:rsid w:val="00D74589"/>
    <w:rsid w:val="00D7479F"/>
    <w:rsid w:val="00D74813"/>
    <w:rsid w:val="00D74932"/>
    <w:rsid w:val="00D7493E"/>
    <w:rsid w:val="00D74FA4"/>
    <w:rsid w:val="00D7558A"/>
    <w:rsid w:val="00D75654"/>
    <w:rsid w:val="00D75C1D"/>
    <w:rsid w:val="00D75D3E"/>
    <w:rsid w:val="00D75EAB"/>
    <w:rsid w:val="00D75FF8"/>
    <w:rsid w:val="00D76454"/>
    <w:rsid w:val="00D76471"/>
    <w:rsid w:val="00D76662"/>
    <w:rsid w:val="00D76700"/>
    <w:rsid w:val="00D7671D"/>
    <w:rsid w:val="00D7693D"/>
    <w:rsid w:val="00D76AFE"/>
    <w:rsid w:val="00D7720E"/>
    <w:rsid w:val="00D7722E"/>
    <w:rsid w:val="00D7729E"/>
    <w:rsid w:val="00D772D3"/>
    <w:rsid w:val="00D77459"/>
    <w:rsid w:val="00D7759A"/>
    <w:rsid w:val="00D776AE"/>
    <w:rsid w:val="00D77772"/>
    <w:rsid w:val="00D777AD"/>
    <w:rsid w:val="00D778C6"/>
    <w:rsid w:val="00D779ED"/>
    <w:rsid w:val="00D77BE3"/>
    <w:rsid w:val="00D77C66"/>
    <w:rsid w:val="00D77E3D"/>
    <w:rsid w:val="00D80025"/>
    <w:rsid w:val="00D801B0"/>
    <w:rsid w:val="00D801C9"/>
    <w:rsid w:val="00D806DE"/>
    <w:rsid w:val="00D808DE"/>
    <w:rsid w:val="00D80A67"/>
    <w:rsid w:val="00D80C76"/>
    <w:rsid w:val="00D80EA7"/>
    <w:rsid w:val="00D80EB2"/>
    <w:rsid w:val="00D80F4D"/>
    <w:rsid w:val="00D810F8"/>
    <w:rsid w:val="00D8126D"/>
    <w:rsid w:val="00D813E9"/>
    <w:rsid w:val="00D81AE9"/>
    <w:rsid w:val="00D81C11"/>
    <w:rsid w:val="00D81C73"/>
    <w:rsid w:val="00D81D93"/>
    <w:rsid w:val="00D81EA1"/>
    <w:rsid w:val="00D81FB3"/>
    <w:rsid w:val="00D823EB"/>
    <w:rsid w:val="00D82649"/>
    <w:rsid w:val="00D8276E"/>
    <w:rsid w:val="00D82D0E"/>
    <w:rsid w:val="00D83578"/>
    <w:rsid w:val="00D83DDE"/>
    <w:rsid w:val="00D84085"/>
    <w:rsid w:val="00D841A1"/>
    <w:rsid w:val="00D841CA"/>
    <w:rsid w:val="00D84370"/>
    <w:rsid w:val="00D843FA"/>
    <w:rsid w:val="00D84809"/>
    <w:rsid w:val="00D84F56"/>
    <w:rsid w:val="00D84F83"/>
    <w:rsid w:val="00D851EE"/>
    <w:rsid w:val="00D852EF"/>
    <w:rsid w:val="00D8554B"/>
    <w:rsid w:val="00D85672"/>
    <w:rsid w:val="00D85F0D"/>
    <w:rsid w:val="00D861F8"/>
    <w:rsid w:val="00D86351"/>
    <w:rsid w:val="00D86415"/>
    <w:rsid w:val="00D86762"/>
    <w:rsid w:val="00D86B04"/>
    <w:rsid w:val="00D86FA7"/>
    <w:rsid w:val="00D87418"/>
    <w:rsid w:val="00D8754A"/>
    <w:rsid w:val="00D87867"/>
    <w:rsid w:val="00D87A85"/>
    <w:rsid w:val="00D903C5"/>
    <w:rsid w:val="00D90C2D"/>
    <w:rsid w:val="00D90D95"/>
    <w:rsid w:val="00D910A5"/>
    <w:rsid w:val="00D9110A"/>
    <w:rsid w:val="00D91162"/>
    <w:rsid w:val="00D911F8"/>
    <w:rsid w:val="00D912A0"/>
    <w:rsid w:val="00D917AE"/>
    <w:rsid w:val="00D918D3"/>
    <w:rsid w:val="00D91940"/>
    <w:rsid w:val="00D9196B"/>
    <w:rsid w:val="00D91C5E"/>
    <w:rsid w:val="00D91DC4"/>
    <w:rsid w:val="00D91E8C"/>
    <w:rsid w:val="00D91FBF"/>
    <w:rsid w:val="00D9246D"/>
    <w:rsid w:val="00D926A0"/>
    <w:rsid w:val="00D92F3F"/>
    <w:rsid w:val="00D92F47"/>
    <w:rsid w:val="00D92F90"/>
    <w:rsid w:val="00D934E4"/>
    <w:rsid w:val="00D93573"/>
    <w:rsid w:val="00D93800"/>
    <w:rsid w:val="00D93B9F"/>
    <w:rsid w:val="00D943FC"/>
    <w:rsid w:val="00D94693"/>
    <w:rsid w:val="00D94697"/>
    <w:rsid w:val="00D949AB"/>
    <w:rsid w:val="00D94C49"/>
    <w:rsid w:val="00D94F25"/>
    <w:rsid w:val="00D9507D"/>
    <w:rsid w:val="00D95185"/>
    <w:rsid w:val="00D951C4"/>
    <w:rsid w:val="00D954BE"/>
    <w:rsid w:val="00D954DA"/>
    <w:rsid w:val="00D955E3"/>
    <w:rsid w:val="00D95887"/>
    <w:rsid w:val="00D95936"/>
    <w:rsid w:val="00D95C86"/>
    <w:rsid w:val="00D96102"/>
    <w:rsid w:val="00D9621E"/>
    <w:rsid w:val="00D96233"/>
    <w:rsid w:val="00D9629E"/>
    <w:rsid w:val="00D9634D"/>
    <w:rsid w:val="00D96413"/>
    <w:rsid w:val="00D96469"/>
    <w:rsid w:val="00D96727"/>
    <w:rsid w:val="00D968B0"/>
    <w:rsid w:val="00D96A88"/>
    <w:rsid w:val="00D96C1F"/>
    <w:rsid w:val="00D96CD1"/>
    <w:rsid w:val="00D96CEC"/>
    <w:rsid w:val="00D96D6B"/>
    <w:rsid w:val="00D971C6"/>
    <w:rsid w:val="00D973CE"/>
    <w:rsid w:val="00D973FD"/>
    <w:rsid w:val="00D9780F"/>
    <w:rsid w:val="00DA005E"/>
    <w:rsid w:val="00DA04FF"/>
    <w:rsid w:val="00DA0563"/>
    <w:rsid w:val="00DA05B7"/>
    <w:rsid w:val="00DA05FC"/>
    <w:rsid w:val="00DA067F"/>
    <w:rsid w:val="00DA0785"/>
    <w:rsid w:val="00DA080A"/>
    <w:rsid w:val="00DA082A"/>
    <w:rsid w:val="00DA0993"/>
    <w:rsid w:val="00DA0B2D"/>
    <w:rsid w:val="00DA0C14"/>
    <w:rsid w:val="00DA0D08"/>
    <w:rsid w:val="00DA1132"/>
    <w:rsid w:val="00DA1845"/>
    <w:rsid w:val="00DA1A24"/>
    <w:rsid w:val="00DA1C36"/>
    <w:rsid w:val="00DA2068"/>
    <w:rsid w:val="00DA21EB"/>
    <w:rsid w:val="00DA275F"/>
    <w:rsid w:val="00DA2B63"/>
    <w:rsid w:val="00DA2B82"/>
    <w:rsid w:val="00DA2EA9"/>
    <w:rsid w:val="00DA3008"/>
    <w:rsid w:val="00DA30A1"/>
    <w:rsid w:val="00DA37FC"/>
    <w:rsid w:val="00DA3A55"/>
    <w:rsid w:val="00DA3AEF"/>
    <w:rsid w:val="00DA3D18"/>
    <w:rsid w:val="00DA3E20"/>
    <w:rsid w:val="00DA40D8"/>
    <w:rsid w:val="00DA421F"/>
    <w:rsid w:val="00DA4564"/>
    <w:rsid w:val="00DA48EC"/>
    <w:rsid w:val="00DA4F21"/>
    <w:rsid w:val="00DA5100"/>
    <w:rsid w:val="00DA5315"/>
    <w:rsid w:val="00DA5422"/>
    <w:rsid w:val="00DA5822"/>
    <w:rsid w:val="00DA589D"/>
    <w:rsid w:val="00DA5BAD"/>
    <w:rsid w:val="00DA60DA"/>
    <w:rsid w:val="00DA6575"/>
    <w:rsid w:val="00DA6591"/>
    <w:rsid w:val="00DA6777"/>
    <w:rsid w:val="00DA6A26"/>
    <w:rsid w:val="00DA6A3A"/>
    <w:rsid w:val="00DA6F02"/>
    <w:rsid w:val="00DA6FE7"/>
    <w:rsid w:val="00DA6FEB"/>
    <w:rsid w:val="00DA725B"/>
    <w:rsid w:val="00DA72F9"/>
    <w:rsid w:val="00DA7793"/>
    <w:rsid w:val="00DA77ED"/>
    <w:rsid w:val="00DA797F"/>
    <w:rsid w:val="00DA7AED"/>
    <w:rsid w:val="00DA7EA6"/>
    <w:rsid w:val="00DB008D"/>
    <w:rsid w:val="00DB017B"/>
    <w:rsid w:val="00DB077C"/>
    <w:rsid w:val="00DB09E2"/>
    <w:rsid w:val="00DB0E4D"/>
    <w:rsid w:val="00DB1058"/>
    <w:rsid w:val="00DB1234"/>
    <w:rsid w:val="00DB1667"/>
    <w:rsid w:val="00DB182B"/>
    <w:rsid w:val="00DB20B7"/>
    <w:rsid w:val="00DB20E8"/>
    <w:rsid w:val="00DB2A93"/>
    <w:rsid w:val="00DB302D"/>
    <w:rsid w:val="00DB30F1"/>
    <w:rsid w:val="00DB36CB"/>
    <w:rsid w:val="00DB36D4"/>
    <w:rsid w:val="00DB3A6C"/>
    <w:rsid w:val="00DB3EBC"/>
    <w:rsid w:val="00DB477B"/>
    <w:rsid w:val="00DB4BDA"/>
    <w:rsid w:val="00DB4EFA"/>
    <w:rsid w:val="00DB4FC1"/>
    <w:rsid w:val="00DB4FCF"/>
    <w:rsid w:val="00DB50C4"/>
    <w:rsid w:val="00DB5508"/>
    <w:rsid w:val="00DB5811"/>
    <w:rsid w:val="00DB5AC9"/>
    <w:rsid w:val="00DB5C43"/>
    <w:rsid w:val="00DB5D0A"/>
    <w:rsid w:val="00DB5D4C"/>
    <w:rsid w:val="00DB5DF1"/>
    <w:rsid w:val="00DB6081"/>
    <w:rsid w:val="00DB62AE"/>
    <w:rsid w:val="00DB65DA"/>
    <w:rsid w:val="00DB6651"/>
    <w:rsid w:val="00DB6A88"/>
    <w:rsid w:val="00DB6B65"/>
    <w:rsid w:val="00DB6E66"/>
    <w:rsid w:val="00DB6FED"/>
    <w:rsid w:val="00DB7661"/>
    <w:rsid w:val="00DB7CC6"/>
    <w:rsid w:val="00DB7EFA"/>
    <w:rsid w:val="00DC0088"/>
    <w:rsid w:val="00DC0104"/>
    <w:rsid w:val="00DC02C6"/>
    <w:rsid w:val="00DC0395"/>
    <w:rsid w:val="00DC04BE"/>
    <w:rsid w:val="00DC05C7"/>
    <w:rsid w:val="00DC06D8"/>
    <w:rsid w:val="00DC0B04"/>
    <w:rsid w:val="00DC0C62"/>
    <w:rsid w:val="00DC0CE0"/>
    <w:rsid w:val="00DC0D6E"/>
    <w:rsid w:val="00DC10C8"/>
    <w:rsid w:val="00DC1293"/>
    <w:rsid w:val="00DC1879"/>
    <w:rsid w:val="00DC1B43"/>
    <w:rsid w:val="00DC1D8C"/>
    <w:rsid w:val="00DC2044"/>
    <w:rsid w:val="00DC212C"/>
    <w:rsid w:val="00DC29DE"/>
    <w:rsid w:val="00DC2A3C"/>
    <w:rsid w:val="00DC2B54"/>
    <w:rsid w:val="00DC2BF6"/>
    <w:rsid w:val="00DC2C5D"/>
    <w:rsid w:val="00DC2FE2"/>
    <w:rsid w:val="00DC3132"/>
    <w:rsid w:val="00DC340D"/>
    <w:rsid w:val="00DC3664"/>
    <w:rsid w:val="00DC3798"/>
    <w:rsid w:val="00DC3E35"/>
    <w:rsid w:val="00DC3E86"/>
    <w:rsid w:val="00DC421C"/>
    <w:rsid w:val="00DC4235"/>
    <w:rsid w:val="00DC4DB4"/>
    <w:rsid w:val="00DC4E6A"/>
    <w:rsid w:val="00DC50DA"/>
    <w:rsid w:val="00DC51E8"/>
    <w:rsid w:val="00DC5259"/>
    <w:rsid w:val="00DC5C72"/>
    <w:rsid w:val="00DC5D1C"/>
    <w:rsid w:val="00DC6711"/>
    <w:rsid w:val="00DC67B5"/>
    <w:rsid w:val="00DC6F98"/>
    <w:rsid w:val="00DC7566"/>
    <w:rsid w:val="00DC78D8"/>
    <w:rsid w:val="00DC7E28"/>
    <w:rsid w:val="00DD01D0"/>
    <w:rsid w:val="00DD0367"/>
    <w:rsid w:val="00DD0379"/>
    <w:rsid w:val="00DD03A5"/>
    <w:rsid w:val="00DD07C8"/>
    <w:rsid w:val="00DD0DCB"/>
    <w:rsid w:val="00DD0E52"/>
    <w:rsid w:val="00DD0FC4"/>
    <w:rsid w:val="00DD12AB"/>
    <w:rsid w:val="00DD131E"/>
    <w:rsid w:val="00DD138B"/>
    <w:rsid w:val="00DD143F"/>
    <w:rsid w:val="00DD19AD"/>
    <w:rsid w:val="00DD1A3F"/>
    <w:rsid w:val="00DD1CC5"/>
    <w:rsid w:val="00DD1DE5"/>
    <w:rsid w:val="00DD1E1A"/>
    <w:rsid w:val="00DD207A"/>
    <w:rsid w:val="00DD27B8"/>
    <w:rsid w:val="00DD2D24"/>
    <w:rsid w:val="00DD2D2D"/>
    <w:rsid w:val="00DD2D9F"/>
    <w:rsid w:val="00DD2DB7"/>
    <w:rsid w:val="00DD2F8B"/>
    <w:rsid w:val="00DD310D"/>
    <w:rsid w:val="00DD35C7"/>
    <w:rsid w:val="00DD365D"/>
    <w:rsid w:val="00DD39E2"/>
    <w:rsid w:val="00DD3AAA"/>
    <w:rsid w:val="00DD3BB4"/>
    <w:rsid w:val="00DD3DFC"/>
    <w:rsid w:val="00DD43B5"/>
    <w:rsid w:val="00DD4556"/>
    <w:rsid w:val="00DD47A1"/>
    <w:rsid w:val="00DD5039"/>
    <w:rsid w:val="00DD50FF"/>
    <w:rsid w:val="00DD5649"/>
    <w:rsid w:val="00DD5705"/>
    <w:rsid w:val="00DD58F3"/>
    <w:rsid w:val="00DD5AB5"/>
    <w:rsid w:val="00DD5BE4"/>
    <w:rsid w:val="00DD5C1F"/>
    <w:rsid w:val="00DD6165"/>
    <w:rsid w:val="00DD624A"/>
    <w:rsid w:val="00DD624D"/>
    <w:rsid w:val="00DD62D6"/>
    <w:rsid w:val="00DD64C6"/>
    <w:rsid w:val="00DD6512"/>
    <w:rsid w:val="00DD65A6"/>
    <w:rsid w:val="00DD66CA"/>
    <w:rsid w:val="00DD6BFC"/>
    <w:rsid w:val="00DD6C75"/>
    <w:rsid w:val="00DD6D19"/>
    <w:rsid w:val="00DD70FE"/>
    <w:rsid w:val="00DD7163"/>
    <w:rsid w:val="00DD71E4"/>
    <w:rsid w:val="00DD7426"/>
    <w:rsid w:val="00DD757C"/>
    <w:rsid w:val="00DD77CA"/>
    <w:rsid w:val="00DD7B1F"/>
    <w:rsid w:val="00DD7DAC"/>
    <w:rsid w:val="00DD7FBF"/>
    <w:rsid w:val="00DE05C2"/>
    <w:rsid w:val="00DE0985"/>
    <w:rsid w:val="00DE0C74"/>
    <w:rsid w:val="00DE0D6A"/>
    <w:rsid w:val="00DE0E9C"/>
    <w:rsid w:val="00DE1514"/>
    <w:rsid w:val="00DE166A"/>
    <w:rsid w:val="00DE1AC7"/>
    <w:rsid w:val="00DE1C01"/>
    <w:rsid w:val="00DE1C75"/>
    <w:rsid w:val="00DE28A6"/>
    <w:rsid w:val="00DE3565"/>
    <w:rsid w:val="00DE3588"/>
    <w:rsid w:val="00DE3B61"/>
    <w:rsid w:val="00DE3EF1"/>
    <w:rsid w:val="00DE4079"/>
    <w:rsid w:val="00DE4242"/>
    <w:rsid w:val="00DE44B9"/>
    <w:rsid w:val="00DE45A3"/>
    <w:rsid w:val="00DE473D"/>
    <w:rsid w:val="00DE4979"/>
    <w:rsid w:val="00DE4C78"/>
    <w:rsid w:val="00DE4D09"/>
    <w:rsid w:val="00DE4DD7"/>
    <w:rsid w:val="00DE51E1"/>
    <w:rsid w:val="00DE51F8"/>
    <w:rsid w:val="00DE556C"/>
    <w:rsid w:val="00DE58D5"/>
    <w:rsid w:val="00DE5EEB"/>
    <w:rsid w:val="00DE6321"/>
    <w:rsid w:val="00DE67D0"/>
    <w:rsid w:val="00DE6A97"/>
    <w:rsid w:val="00DE6B17"/>
    <w:rsid w:val="00DE6E4F"/>
    <w:rsid w:val="00DE6F4C"/>
    <w:rsid w:val="00DE76CA"/>
    <w:rsid w:val="00DE785B"/>
    <w:rsid w:val="00DE7DC3"/>
    <w:rsid w:val="00DE7EE0"/>
    <w:rsid w:val="00DE7F78"/>
    <w:rsid w:val="00DF002D"/>
    <w:rsid w:val="00DF0507"/>
    <w:rsid w:val="00DF093F"/>
    <w:rsid w:val="00DF0AEF"/>
    <w:rsid w:val="00DF0EFC"/>
    <w:rsid w:val="00DF1005"/>
    <w:rsid w:val="00DF1025"/>
    <w:rsid w:val="00DF133B"/>
    <w:rsid w:val="00DF13D3"/>
    <w:rsid w:val="00DF17DF"/>
    <w:rsid w:val="00DF1845"/>
    <w:rsid w:val="00DF1C68"/>
    <w:rsid w:val="00DF2261"/>
    <w:rsid w:val="00DF2554"/>
    <w:rsid w:val="00DF2C1C"/>
    <w:rsid w:val="00DF2DED"/>
    <w:rsid w:val="00DF2F07"/>
    <w:rsid w:val="00DF2FDA"/>
    <w:rsid w:val="00DF3530"/>
    <w:rsid w:val="00DF359B"/>
    <w:rsid w:val="00DF388F"/>
    <w:rsid w:val="00DF38EF"/>
    <w:rsid w:val="00DF3A75"/>
    <w:rsid w:val="00DF3B62"/>
    <w:rsid w:val="00DF3E8A"/>
    <w:rsid w:val="00DF3EA9"/>
    <w:rsid w:val="00DF4B1E"/>
    <w:rsid w:val="00DF4D14"/>
    <w:rsid w:val="00DF4F3A"/>
    <w:rsid w:val="00DF50A9"/>
    <w:rsid w:val="00DF5220"/>
    <w:rsid w:val="00DF542F"/>
    <w:rsid w:val="00DF57F5"/>
    <w:rsid w:val="00DF5811"/>
    <w:rsid w:val="00DF5A99"/>
    <w:rsid w:val="00DF5D42"/>
    <w:rsid w:val="00DF60DC"/>
    <w:rsid w:val="00DF6516"/>
    <w:rsid w:val="00DF6869"/>
    <w:rsid w:val="00DF6E57"/>
    <w:rsid w:val="00DF6EF9"/>
    <w:rsid w:val="00DF7529"/>
    <w:rsid w:val="00DF75F1"/>
    <w:rsid w:val="00DF7659"/>
    <w:rsid w:val="00DF77C9"/>
    <w:rsid w:val="00DF79F3"/>
    <w:rsid w:val="00DF7C39"/>
    <w:rsid w:val="00DF7F05"/>
    <w:rsid w:val="00E00187"/>
    <w:rsid w:val="00E00297"/>
    <w:rsid w:val="00E0034E"/>
    <w:rsid w:val="00E0039A"/>
    <w:rsid w:val="00E00953"/>
    <w:rsid w:val="00E00A6F"/>
    <w:rsid w:val="00E00EBD"/>
    <w:rsid w:val="00E00F48"/>
    <w:rsid w:val="00E01219"/>
    <w:rsid w:val="00E01589"/>
    <w:rsid w:val="00E017C9"/>
    <w:rsid w:val="00E018EA"/>
    <w:rsid w:val="00E0196C"/>
    <w:rsid w:val="00E01C94"/>
    <w:rsid w:val="00E01D53"/>
    <w:rsid w:val="00E01E3F"/>
    <w:rsid w:val="00E01ECB"/>
    <w:rsid w:val="00E01F66"/>
    <w:rsid w:val="00E021DE"/>
    <w:rsid w:val="00E024BB"/>
    <w:rsid w:val="00E02597"/>
    <w:rsid w:val="00E02AA7"/>
    <w:rsid w:val="00E02C38"/>
    <w:rsid w:val="00E02F6D"/>
    <w:rsid w:val="00E03264"/>
    <w:rsid w:val="00E03444"/>
    <w:rsid w:val="00E034B5"/>
    <w:rsid w:val="00E034D3"/>
    <w:rsid w:val="00E0378C"/>
    <w:rsid w:val="00E037FE"/>
    <w:rsid w:val="00E03F94"/>
    <w:rsid w:val="00E040C7"/>
    <w:rsid w:val="00E046FB"/>
    <w:rsid w:val="00E047A0"/>
    <w:rsid w:val="00E0483E"/>
    <w:rsid w:val="00E048FA"/>
    <w:rsid w:val="00E04A29"/>
    <w:rsid w:val="00E04B42"/>
    <w:rsid w:val="00E04D61"/>
    <w:rsid w:val="00E04E1F"/>
    <w:rsid w:val="00E0529E"/>
    <w:rsid w:val="00E053DC"/>
    <w:rsid w:val="00E053FD"/>
    <w:rsid w:val="00E05545"/>
    <w:rsid w:val="00E05931"/>
    <w:rsid w:val="00E060B3"/>
    <w:rsid w:val="00E065E3"/>
    <w:rsid w:val="00E06790"/>
    <w:rsid w:val="00E06CB9"/>
    <w:rsid w:val="00E0702D"/>
    <w:rsid w:val="00E0706A"/>
    <w:rsid w:val="00E072B4"/>
    <w:rsid w:val="00E07397"/>
    <w:rsid w:val="00E07A9D"/>
    <w:rsid w:val="00E07B52"/>
    <w:rsid w:val="00E07BEF"/>
    <w:rsid w:val="00E102A6"/>
    <w:rsid w:val="00E1040A"/>
    <w:rsid w:val="00E1051B"/>
    <w:rsid w:val="00E1082C"/>
    <w:rsid w:val="00E10CB0"/>
    <w:rsid w:val="00E11591"/>
    <w:rsid w:val="00E119DC"/>
    <w:rsid w:val="00E11AC0"/>
    <w:rsid w:val="00E124DA"/>
    <w:rsid w:val="00E125F3"/>
    <w:rsid w:val="00E12A9E"/>
    <w:rsid w:val="00E12ADC"/>
    <w:rsid w:val="00E12B42"/>
    <w:rsid w:val="00E12D7F"/>
    <w:rsid w:val="00E1304B"/>
    <w:rsid w:val="00E131DC"/>
    <w:rsid w:val="00E132B1"/>
    <w:rsid w:val="00E133AB"/>
    <w:rsid w:val="00E135D3"/>
    <w:rsid w:val="00E139BC"/>
    <w:rsid w:val="00E14439"/>
    <w:rsid w:val="00E144E0"/>
    <w:rsid w:val="00E1482B"/>
    <w:rsid w:val="00E14C3E"/>
    <w:rsid w:val="00E14CBE"/>
    <w:rsid w:val="00E14D23"/>
    <w:rsid w:val="00E14D95"/>
    <w:rsid w:val="00E15358"/>
    <w:rsid w:val="00E15900"/>
    <w:rsid w:val="00E15C9F"/>
    <w:rsid w:val="00E16118"/>
    <w:rsid w:val="00E16141"/>
    <w:rsid w:val="00E1632E"/>
    <w:rsid w:val="00E163B8"/>
    <w:rsid w:val="00E164E0"/>
    <w:rsid w:val="00E166A8"/>
    <w:rsid w:val="00E16C22"/>
    <w:rsid w:val="00E1716D"/>
    <w:rsid w:val="00E1719D"/>
    <w:rsid w:val="00E174BA"/>
    <w:rsid w:val="00E177CB"/>
    <w:rsid w:val="00E178F0"/>
    <w:rsid w:val="00E17A13"/>
    <w:rsid w:val="00E17D0B"/>
    <w:rsid w:val="00E17FF7"/>
    <w:rsid w:val="00E200E5"/>
    <w:rsid w:val="00E20317"/>
    <w:rsid w:val="00E20323"/>
    <w:rsid w:val="00E2155C"/>
    <w:rsid w:val="00E215A1"/>
    <w:rsid w:val="00E218F2"/>
    <w:rsid w:val="00E218FE"/>
    <w:rsid w:val="00E21DB5"/>
    <w:rsid w:val="00E21E62"/>
    <w:rsid w:val="00E2259C"/>
    <w:rsid w:val="00E22680"/>
    <w:rsid w:val="00E226FD"/>
    <w:rsid w:val="00E22984"/>
    <w:rsid w:val="00E229A8"/>
    <w:rsid w:val="00E22A30"/>
    <w:rsid w:val="00E22ACE"/>
    <w:rsid w:val="00E22CBB"/>
    <w:rsid w:val="00E22EE0"/>
    <w:rsid w:val="00E22FAC"/>
    <w:rsid w:val="00E233A8"/>
    <w:rsid w:val="00E23A55"/>
    <w:rsid w:val="00E23C01"/>
    <w:rsid w:val="00E23F7C"/>
    <w:rsid w:val="00E24144"/>
    <w:rsid w:val="00E24394"/>
    <w:rsid w:val="00E2440A"/>
    <w:rsid w:val="00E247E7"/>
    <w:rsid w:val="00E2491C"/>
    <w:rsid w:val="00E24AD4"/>
    <w:rsid w:val="00E24C96"/>
    <w:rsid w:val="00E24EA1"/>
    <w:rsid w:val="00E25244"/>
    <w:rsid w:val="00E252D7"/>
    <w:rsid w:val="00E2538D"/>
    <w:rsid w:val="00E25964"/>
    <w:rsid w:val="00E25980"/>
    <w:rsid w:val="00E25A83"/>
    <w:rsid w:val="00E25B71"/>
    <w:rsid w:val="00E25D69"/>
    <w:rsid w:val="00E2609C"/>
    <w:rsid w:val="00E264FD"/>
    <w:rsid w:val="00E26AB4"/>
    <w:rsid w:val="00E26D05"/>
    <w:rsid w:val="00E27487"/>
    <w:rsid w:val="00E274C7"/>
    <w:rsid w:val="00E27669"/>
    <w:rsid w:val="00E27F6C"/>
    <w:rsid w:val="00E30120"/>
    <w:rsid w:val="00E30241"/>
    <w:rsid w:val="00E30B8B"/>
    <w:rsid w:val="00E30C49"/>
    <w:rsid w:val="00E30EA4"/>
    <w:rsid w:val="00E313DA"/>
    <w:rsid w:val="00E31811"/>
    <w:rsid w:val="00E31AB5"/>
    <w:rsid w:val="00E31CD1"/>
    <w:rsid w:val="00E320DF"/>
    <w:rsid w:val="00E32279"/>
    <w:rsid w:val="00E323B8"/>
    <w:rsid w:val="00E32451"/>
    <w:rsid w:val="00E3256F"/>
    <w:rsid w:val="00E325A6"/>
    <w:rsid w:val="00E327FE"/>
    <w:rsid w:val="00E328F7"/>
    <w:rsid w:val="00E329A6"/>
    <w:rsid w:val="00E32A8E"/>
    <w:rsid w:val="00E32ED3"/>
    <w:rsid w:val="00E32F1A"/>
    <w:rsid w:val="00E333D9"/>
    <w:rsid w:val="00E33998"/>
    <w:rsid w:val="00E3450D"/>
    <w:rsid w:val="00E34AA4"/>
    <w:rsid w:val="00E35276"/>
    <w:rsid w:val="00E352F0"/>
    <w:rsid w:val="00E35896"/>
    <w:rsid w:val="00E358CC"/>
    <w:rsid w:val="00E36009"/>
    <w:rsid w:val="00E3616E"/>
    <w:rsid w:val="00E36452"/>
    <w:rsid w:val="00E36546"/>
    <w:rsid w:val="00E36622"/>
    <w:rsid w:val="00E3665F"/>
    <w:rsid w:val="00E36678"/>
    <w:rsid w:val="00E36816"/>
    <w:rsid w:val="00E368C7"/>
    <w:rsid w:val="00E36B4C"/>
    <w:rsid w:val="00E36DA5"/>
    <w:rsid w:val="00E36E60"/>
    <w:rsid w:val="00E36EBB"/>
    <w:rsid w:val="00E37107"/>
    <w:rsid w:val="00E372B2"/>
    <w:rsid w:val="00E373D1"/>
    <w:rsid w:val="00E3749E"/>
    <w:rsid w:val="00E37552"/>
    <w:rsid w:val="00E3755F"/>
    <w:rsid w:val="00E37602"/>
    <w:rsid w:val="00E37627"/>
    <w:rsid w:val="00E376D6"/>
    <w:rsid w:val="00E377DC"/>
    <w:rsid w:val="00E377EE"/>
    <w:rsid w:val="00E37A13"/>
    <w:rsid w:val="00E37AD9"/>
    <w:rsid w:val="00E37DFC"/>
    <w:rsid w:val="00E400AE"/>
    <w:rsid w:val="00E40407"/>
    <w:rsid w:val="00E4050F"/>
    <w:rsid w:val="00E40555"/>
    <w:rsid w:val="00E40C03"/>
    <w:rsid w:val="00E4121F"/>
    <w:rsid w:val="00E41AA3"/>
    <w:rsid w:val="00E42001"/>
    <w:rsid w:val="00E42025"/>
    <w:rsid w:val="00E423CA"/>
    <w:rsid w:val="00E423E7"/>
    <w:rsid w:val="00E4252C"/>
    <w:rsid w:val="00E42648"/>
    <w:rsid w:val="00E426B1"/>
    <w:rsid w:val="00E42756"/>
    <w:rsid w:val="00E428A0"/>
    <w:rsid w:val="00E42B8A"/>
    <w:rsid w:val="00E42CDB"/>
    <w:rsid w:val="00E42D06"/>
    <w:rsid w:val="00E42F30"/>
    <w:rsid w:val="00E430AD"/>
    <w:rsid w:val="00E43624"/>
    <w:rsid w:val="00E438C0"/>
    <w:rsid w:val="00E43906"/>
    <w:rsid w:val="00E43AAE"/>
    <w:rsid w:val="00E43ADE"/>
    <w:rsid w:val="00E43E76"/>
    <w:rsid w:val="00E441A6"/>
    <w:rsid w:val="00E44279"/>
    <w:rsid w:val="00E442E4"/>
    <w:rsid w:val="00E443E5"/>
    <w:rsid w:val="00E44738"/>
    <w:rsid w:val="00E44D57"/>
    <w:rsid w:val="00E45838"/>
    <w:rsid w:val="00E45A50"/>
    <w:rsid w:val="00E45A7D"/>
    <w:rsid w:val="00E45C7D"/>
    <w:rsid w:val="00E45CE1"/>
    <w:rsid w:val="00E45E3F"/>
    <w:rsid w:val="00E45E8A"/>
    <w:rsid w:val="00E45F86"/>
    <w:rsid w:val="00E46908"/>
    <w:rsid w:val="00E471FB"/>
    <w:rsid w:val="00E47675"/>
    <w:rsid w:val="00E479FF"/>
    <w:rsid w:val="00E47AA2"/>
    <w:rsid w:val="00E47D49"/>
    <w:rsid w:val="00E47E06"/>
    <w:rsid w:val="00E47F43"/>
    <w:rsid w:val="00E504EF"/>
    <w:rsid w:val="00E505B6"/>
    <w:rsid w:val="00E509B1"/>
    <w:rsid w:val="00E50D20"/>
    <w:rsid w:val="00E50FB0"/>
    <w:rsid w:val="00E51209"/>
    <w:rsid w:val="00E5157A"/>
    <w:rsid w:val="00E516D1"/>
    <w:rsid w:val="00E51848"/>
    <w:rsid w:val="00E51931"/>
    <w:rsid w:val="00E5196A"/>
    <w:rsid w:val="00E519CA"/>
    <w:rsid w:val="00E51B54"/>
    <w:rsid w:val="00E51D40"/>
    <w:rsid w:val="00E51E74"/>
    <w:rsid w:val="00E51EE2"/>
    <w:rsid w:val="00E52049"/>
    <w:rsid w:val="00E52367"/>
    <w:rsid w:val="00E5272A"/>
    <w:rsid w:val="00E52776"/>
    <w:rsid w:val="00E52ACF"/>
    <w:rsid w:val="00E52B45"/>
    <w:rsid w:val="00E52EC4"/>
    <w:rsid w:val="00E52EF0"/>
    <w:rsid w:val="00E53074"/>
    <w:rsid w:val="00E531F4"/>
    <w:rsid w:val="00E53336"/>
    <w:rsid w:val="00E53379"/>
    <w:rsid w:val="00E53FD4"/>
    <w:rsid w:val="00E540D1"/>
    <w:rsid w:val="00E544DD"/>
    <w:rsid w:val="00E5460F"/>
    <w:rsid w:val="00E546FF"/>
    <w:rsid w:val="00E54C5E"/>
    <w:rsid w:val="00E54F45"/>
    <w:rsid w:val="00E5532B"/>
    <w:rsid w:val="00E55697"/>
    <w:rsid w:val="00E556BE"/>
    <w:rsid w:val="00E5588F"/>
    <w:rsid w:val="00E55942"/>
    <w:rsid w:val="00E55AE7"/>
    <w:rsid w:val="00E55CB3"/>
    <w:rsid w:val="00E560B2"/>
    <w:rsid w:val="00E561AF"/>
    <w:rsid w:val="00E56343"/>
    <w:rsid w:val="00E56626"/>
    <w:rsid w:val="00E5697A"/>
    <w:rsid w:val="00E56AC4"/>
    <w:rsid w:val="00E56AF0"/>
    <w:rsid w:val="00E56BA3"/>
    <w:rsid w:val="00E56DEC"/>
    <w:rsid w:val="00E574C3"/>
    <w:rsid w:val="00E57680"/>
    <w:rsid w:val="00E57A7D"/>
    <w:rsid w:val="00E57C25"/>
    <w:rsid w:val="00E57C45"/>
    <w:rsid w:val="00E57E74"/>
    <w:rsid w:val="00E6134C"/>
    <w:rsid w:val="00E614F0"/>
    <w:rsid w:val="00E6150F"/>
    <w:rsid w:val="00E616FD"/>
    <w:rsid w:val="00E6191F"/>
    <w:rsid w:val="00E61999"/>
    <w:rsid w:val="00E61AD8"/>
    <w:rsid w:val="00E61AE7"/>
    <w:rsid w:val="00E61B37"/>
    <w:rsid w:val="00E61EC1"/>
    <w:rsid w:val="00E62159"/>
    <w:rsid w:val="00E62411"/>
    <w:rsid w:val="00E6354C"/>
    <w:rsid w:val="00E63622"/>
    <w:rsid w:val="00E636F8"/>
    <w:rsid w:val="00E63887"/>
    <w:rsid w:val="00E63B8F"/>
    <w:rsid w:val="00E63CED"/>
    <w:rsid w:val="00E63D02"/>
    <w:rsid w:val="00E63D73"/>
    <w:rsid w:val="00E63DD2"/>
    <w:rsid w:val="00E63F1B"/>
    <w:rsid w:val="00E64210"/>
    <w:rsid w:val="00E6428D"/>
    <w:rsid w:val="00E64771"/>
    <w:rsid w:val="00E64AD4"/>
    <w:rsid w:val="00E64DFE"/>
    <w:rsid w:val="00E6547F"/>
    <w:rsid w:val="00E655BA"/>
    <w:rsid w:val="00E656F5"/>
    <w:rsid w:val="00E65A35"/>
    <w:rsid w:val="00E6621D"/>
    <w:rsid w:val="00E665F9"/>
    <w:rsid w:val="00E66B36"/>
    <w:rsid w:val="00E66CDE"/>
    <w:rsid w:val="00E66EF9"/>
    <w:rsid w:val="00E66FCC"/>
    <w:rsid w:val="00E6717F"/>
    <w:rsid w:val="00E6743E"/>
    <w:rsid w:val="00E67A8F"/>
    <w:rsid w:val="00E701F0"/>
    <w:rsid w:val="00E70FD5"/>
    <w:rsid w:val="00E710B1"/>
    <w:rsid w:val="00E71242"/>
    <w:rsid w:val="00E718ED"/>
    <w:rsid w:val="00E71B8D"/>
    <w:rsid w:val="00E71E41"/>
    <w:rsid w:val="00E72401"/>
    <w:rsid w:val="00E728E3"/>
    <w:rsid w:val="00E729C7"/>
    <w:rsid w:val="00E72E56"/>
    <w:rsid w:val="00E72EE4"/>
    <w:rsid w:val="00E730EC"/>
    <w:rsid w:val="00E731A9"/>
    <w:rsid w:val="00E73E36"/>
    <w:rsid w:val="00E73FD1"/>
    <w:rsid w:val="00E740FC"/>
    <w:rsid w:val="00E74374"/>
    <w:rsid w:val="00E746DD"/>
    <w:rsid w:val="00E74CBF"/>
    <w:rsid w:val="00E74D3C"/>
    <w:rsid w:val="00E74F4B"/>
    <w:rsid w:val="00E75052"/>
    <w:rsid w:val="00E75070"/>
    <w:rsid w:val="00E750C7"/>
    <w:rsid w:val="00E7537A"/>
    <w:rsid w:val="00E763C2"/>
    <w:rsid w:val="00E76562"/>
    <w:rsid w:val="00E7659F"/>
    <w:rsid w:val="00E7664F"/>
    <w:rsid w:val="00E7685C"/>
    <w:rsid w:val="00E7690A"/>
    <w:rsid w:val="00E76912"/>
    <w:rsid w:val="00E76A44"/>
    <w:rsid w:val="00E774F7"/>
    <w:rsid w:val="00E77532"/>
    <w:rsid w:val="00E77A70"/>
    <w:rsid w:val="00E77B4A"/>
    <w:rsid w:val="00E77CFF"/>
    <w:rsid w:val="00E801A7"/>
    <w:rsid w:val="00E8029C"/>
    <w:rsid w:val="00E807D1"/>
    <w:rsid w:val="00E80935"/>
    <w:rsid w:val="00E80BFF"/>
    <w:rsid w:val="00E80C84"/>
    <w:rsid w:val="00E80DFD"/>
    <w:rsid w:val="00E81202"/>
    <w:rsid w:val="00E8157E"/>
    <w:rsid w:val="00E816D0"/>
    <w:rsid w:val="00E818EF"/>
    <w:rsid w:val="00E81AD2"/>
    <w:rsid w:val="00E81C52"/>
    <w:rsid w:val="00E81F8C"/>
    <w:rsid w:val="00E820E4"/>
    <w:rsid w:val="00E82123"/>
    <w:rsid w:val="00E8259F"/>
    <w:rsid w:val="00E82C02"/>
    <w:rsid w:val="00E82E2A"/>
    <w:rsid w:val="00E82F6B"/>
    <w:rsid w:val="00E82FF7"/>
    <w:rsid w:val="00E83180"/>
    <w:rsid w:val="00E8391F"/>
    <w:rsid w:val="00E83A50"/>
    <w:rsid w:val="00E83FD8"/>
    <w:rsid w:val="00E840F1"/>
    <w:rsid w:val="00E8415E"/>
    <w:rsid w:val="00E84288"/>
    <w:rsid w:val="00E844BF"/>
    <w:rsid w:val="00E845CC"/>
    <w:rsid w:val="00E8495B"/>
    <w:rsid w:val="00E84A6A"/>
    <w:rsid w:val="00E84B3D"/>
    <w:rsid w:val="00E84B74"/>
    <w:rsid w:val="00E84F03"/>
    <w:rsid w:val="00E85076"/>
    <w:rsid w:val="00E852A9"/>
    <w:rsid w:val="00E8554C"/>
    <w:rsid w:val="00E85994"/>
    <w:rsid w:val="00E859A2"/>
    <w:rsid w:val="00E8646A"/>
    <w:rsid w:val="00E865DC"/>
    <w:rsid w:val="00E86A5C"/>
    <w:rsid w:val="00E86D16"/>
    <w:rsid w:val="00E86F49"/>
    <w:rsid w:val="00E86F69"/>
    <w:rsid w:val="00E86FFD"/>
    <w:rsid w:val="00E87310"/>
    <w:rsid w:val="00E8731A"/>
    <w:rsid w:val="00E877B9"/>
    <w:rsid w:val="00E87981"/>
    <w:rsid w:val="00E87C56"/>
    <w:rsid w:val="00E9025F"/>
    <w:rsid w:val="00E902E9"/>
    <w:rsid w:val="00E90401"/>
    <w:rsid w:val="00E9066E"/>
    <w:rsid w:val="00E9087A"/>
    <w:rsid w:val="00E90A16"/>
    <w:rsid w:val="00E90FD4"/>
    <w:rsid w:val="00E913DB"/>
    <w:rsid w:val="00E9150F"/>
    <w:rsid w:val="00E91C69"/>
    <w:rsid w:val="00E91D3B"/>
    <w:rsid w:val="00E92292"/>
    <w:rsid w:val="00E922E4"/>
    <w:rsid w:val="00E92416"/>
    <w:rsid w:val="00E92906"/>
    <w:rsid w:val="00E92D39"/>
    <w:rsid w:val="00E92DEA"/>
    <w:rsid w:val="00E93115"/>
    <w:rsid w:val="00E9336A"/>
    <w:rsid w:val="00E93993"/>
    <w:rsid w:val="00E93AB2"/>
    <w:rsid w:val="00E93BD4"/>
    <w:rsid w:val="00E93C8E"/>
    <w:rsid w:val="00E93F20"/>
    <w:rsid w:val="00E94064"/>
    <w:rsid w:val="00E943C6"/>
    <w:rsid w:val="00E946D4"/>
    <w:rsid w:val="00E947F4"/>
    <w:rsid w:val="00E94869"/>
    <w:rsid w:val="00E948F6"/>
    <w:rsid w:val="00E94DB6"/>
    <w:rsid w:val="00E94DC5"/>
    <w:rsid w:val="00E94FBA"/>
    <w:rsid w:val="00E9561A"/>
    <w:rsid w:val="00E956B4"/>
    <w:rsid w:val="00E95734"/>
    <w:rsid w:val="00E95782"/>
    <w:rsid w:val="00E95980"/>
    <w:rsid w:val="00E959FF"/>
    <w:rsid w:val="00E95BEC"/>
    <w:rsid w:val="00E95CE1"/>
    <w:rsid w:val="00E95DDF"/>
    <w:rsid w:val="00E95E33"/>
    <w:rsid w:val="00E95EA5"/>
    <w:rsid w:val="00E961D7"/>
    <w:rsid w:val="00E9623B"/>
    <w:rsid w:val="00E9636B"/>
    <w:rsid w:val="00E96521"/>
    <w:rsid w:val="00E96775"/>
    <w:rsid w:val="00E96AF5"/>
    <w:rsid w:val="00E96C0B"/>
    <w:rsid w:val="00E96DEE"/>
    <w:rsid w:val="00E97078"/>
    <w:rsid w:val="00E9760F"/>
    <w:rsid w:val="00E9773C"/>
    <w:rsid w:val="00E978DF"/>
    <w:rsid w:val="00E978E2"/>
    <w:rsid w:val="00E97C88"/>
    <w:rsid w:val="00EA0161"/>
    <w:rsid w:val="00EA01C5"/>
    <w:rsid w:val="00EA05A8"/>
    <w:rsid w:val="00EA06A5"/>
    <w:rsid w:val="00EA07F7"/>
    <w:rsid w:val="00EA0CFB"/>
    <w:rsid w:val="00EA0E63"/>
    <w:rsid w:val="00EA1042"/>
    <w:rsid w:val="00EA10D4"/>
    <w:rsid w:val="00EA123E"/>
    <w:rsid w:val="00EA162A"/>
    <w:rsid w:val="00EA16C1"/>
    <w:rsid w:val="00EA19DA"/>
    <w:rsid w:val="00EA1A69"/>
    <w:rsid w:val="00EA1B21"/>
    <w:rsid w:val="00EA1E86"/>
    <w:rsid w:val="00EA1FA8"/>
    <w:rsid w:val="00EA2205"/>
    <w:rsid w:val="00EA2BD0"/>
    <w:rsid w:val="00EA2C7B"/>
    <w:rsid w:val="00EA2CFA"/>
    <w:rsid w:val="00EA2DC1"/>
    <w:rsid w:val="00EA39F5"/>
    <w:rsid w:val="00EA3C61"/>
    <w:rsid w:val="00EA3E6B"/>
    <w:rsid w:val="00EA3F48"/>
    <w:rsid w:val="00EA3FA9"/>
    <w:rsid w:val="00EA418E"/>
    <w:rsid w:val="00EA42ED"/>
    <w:rsid w:val="00EA46C9"/>
    <w:rsid w:val="00EA4BCA"/>
    <w:rsid w:val="00EA4D90"/>
    <w:rsid w:val="00EA4E0D"/>
    <w:rsid w:val="00EA510D"/>
    <w:rsid w:val="00EA534E"/>
    <w:rsid w:val="00EA53A3"/>
    <w:rsid w:val="00EA55C5"/>
    <w:rsid w:val="00EA56D3"/>
    <w:rsid w:val="00EA5AAB"/>
    <w:rsid w:val="00EA5CF5"/>
    <w:rsid w:val="00EA5EFB"/>
    <w:rsid w:val="00EA6127"/>
    <w:rsid w:val="00EA6296"/>
    <w:rsid w:val="00EA6673"/>
    <w:rsid w:val="00EA683B"/>
    <w:rsid w:val="00EA686B"/>
    <w:rsid w:val="00EA6BD9"/>
    <w:rsid w:val="00EA6CBD"/>
    <w:rsid w:val="00EA6F9F"/>
    <w:rsid w:val="00EA70CB"/>
    <w:rsid w:val="00EA764E"/>
    <w:rsid w:val="00EA7AC7"/>
    <w:rsid w:val="00EA7CB7"/>
    <w:rsid w:val="00EA7E92"/>
    <w:rsid w:val="00EB038C"/>
    <w:rsid w:val="00EB07B9"/>
    <w:rsid w:val="00EB0B8E"/>
    <w:rsid w:val="00EB0B9C"/>
    <w:rsid w:val="00EB0DC9"/>
    <w:rsid w:val="00EB0E87"/>
    <w:rsid w:val="00EB1335"/>
    <w:rsid w:val="00EB15D6"/>
    <w:rsid w:val="00EB15EC"/>
    <w:rsid w:val="00EB1BA3"/>
    <w:rsid w:val="00EB1F7B"/>
    <w:rsid w:val="00EB21D0"/>
    <w:rsid w:val="00EB24F9"/>
    <w:rsid w:val="00EB293D"/>
    <w:rsid w:val="00EB2991"/>
    <w:rsid w:val="00EB2B1B"/>
    <w:rsid w:val="00EB2C38"/>
    <w:rsid w:val="00EB2D4A"/>
    <w:rsid w:val="00EB304D"/>
    <w:rsid w:val="00EB3269"/>
    <w:rsid w:val="00EB33AA"/>
    <w:rsid w:val="00EB389B"/>
    <w:rsid w:val="00EB39F5"/>
    <w:rsid w:val="00EB3B3D"/>
    <w:rsid w:val="00EB3B65"/>
    <w:rsid w:val="00EB3EA6"/>
    <w:rsid w:val="00EB3FBB"/>
    <w:rsid w:val="00EB40AC"/>
    <w:rsid w:val="00EB412B"/>
    <w:rsid w:val="00EB46FA"/>
    <w:rsid w:val="00EB4715"/>
    <w:rsid w:val="00EB4DFF"/>
    <w:rsid w:val="00EB536F"/>
    <w:rsid w:val="00EB55E7"/>
    <w:rsid w:val="00EB5AEC"/>
    <w:rsid w:val="00EB5B2B"/>
    <w:rsid w:val="00EB5F21"/>
    <w:rsid w:val="00EB60C6"/>
    <w:rsid w:val="00EB6139"/>
    <w:rsid w:val="00EB631B"/>
    <w:rsid w:val="00EB6512"/>
    <w:rsid w:val="00EB66F4"/>
    <w:rsid w:val="00EB69D7"/>
    <w:rsid w:val="00EB7461"/>
    <w:rsid w:val="00EB7538"/>
    <w:rsid w:val="00EB76DD"/>
    <w:rsid w:val="00EB7BC2"/>
    <w:rsid w:val="00EB7EAF"/>
    <w:rsid w:val="00EB7ED5"/>
    <w:rsid w:val="00EB7EE1"/>
    <w:rsid w:val="00EC00AB"/>
    <w:rsid w:val="00EC00F2"/>
    <w:rsid w:val="00EC019C"/>
    <w:rsid w:val="00EC088F"/>
    <w:rsid w:val="00EC0C79"/>
    <w:rsid w:val="00EC0E8F"/>
    <w:rsid w:val="00EC18F6"/>
    <w:rsid w:val="00EC1C2B"/>
    <w:rsid w:val="00EC1F7A"/>
    <w:rsid w:val="00EC217F"/>
    <w:rsid w:val="00EC2526"/>
    <w:rsid w:val="00EC25B8"/>
    <w:rsid w:val="00EC27DB"/>
    <w:rsid w:val="00EC27F8"/>
    <w:rsid w:val="00EC28D9"/>
    <w:rsid w:val="00EC2928"/>
    <w:rsid w:val="00EC2992"/>
    <w:rsid w:val="00EC29EB"/>
    <w:rsid w:val="00EC2BB6"/>
    <w:rsid w:val="00EC3557"/>
    <w:rsid w:val="00EC3AC7"/>
    <w:rsid w:val="00EC3BB8"/>
    <w:rsid w:val="00EC3E64"/>
    <w:rsid w:val="00EC3FCE"/>
    <w:rsid w:val="00EC404F"/>
    <w:rsid w:val="00EC42B7"/>
    <w:rsid w:val="00EC448E"/>
    <w:rsid w:val="00EC49FA"/>
    <w:rsid w:val="00EC4B07"/>
    <w:rsid w:val="00EC5019"/>
    <w:rsid w:val="00EC5031"/>
    <w:rsid w:val="00EC53E3"/>
    <w:rsid w:val="00EC58AC"/>
    <w:rsid w:val="00EC5975"/>
    <w:rsid w:val="00EC5A7A"/>
    <w:rsid w:val="00EC5C06"/>
    <w:rsid w:val="00EC6036"/>
    <w:rsid w:val="00EC612B"/>
    <w:rsid w:val="00EC65D9"/>
    <w:rsid w:val="00EC67AC"/>
    <w:rsid w:val="00EC6AE4"/>
    <w:rsid w:val="00EC6C42"/>
    <w:rsid w:val="00EC6C54"/>
    <w:rsid w:val="00EC6ED8"/>
    <w:rsid w:val="00EC6EE5"/>
    <w:rsid w:val="00EC6EFA"/>
    <w:rsid w:val="00EC748F"/>
    <w:rsid w:val="00EC7728"/>
    <w:rsid w:val="00EC799E"/>
    <w:rsid w:val="00EC7A5D"/>
    <w:rsid w:val="00EC7A6A"/>
    <w:rsid w:val="00EC7D43"/>
    <w:rsid w:val="00EC7E74"/>
    <w:rsid w:val="00EC7FEB"/>
    <w:rsid w:val="00ED024C"/>
    <w:rsid w:val="00ED02BA"/>
    <w:rsid w:val="00ED0331"/>
    <w:rsid w:val="00ED03A4"/>
    <w:rsid w:val="00ED05DE"/>
    <w:rsid w:val="00ED06FC"/>
    <w:rsid w:val="00ED07E1"/>
    <w:rsid w:val="00ED0C5F"/>
    <w:rsid w:val="00ED0F73"/>
    <w:rsid w:val="00ED126F"/>
    <w:rsid w:val="00ED12F7"/>
    <w:rsid w:val="00ED13F2"/>
    <w:rsid w:val="00ED151B"/>
    <w:rsid w:val="00ED1682"/>
    <w:rsid w:val="00ED18B2"/>
    <w:rsid w:val="00ED18BF"/>
    <w:rsid w:val="00ED1D69"/>
    <w:rsid w:val="00ED232A"/>
    <w:rsid w:val="00ED234B"/>
    <w:rsid w:val="00ED247F"/>
    <w:rsid w:val="00ED27F2"/>
    <w:rsid w:val="00ED28C9"/>
    <w:rsid w:val="00ED2A90"/>
    <w:rsid w:val="00ED2B3D"/>
    <w:rsid w:val="00ED2D2B"/>
    <w:rsid w:val="00ED2E57"/>
    <w:rsid w:val="00ED34AC"/>
    <w:rsid w:val="00ED3891"/>
    <w:rsid w:val="00ED38D0"/>
    <w:rsid w:val="00ED3952"/>
    <w:rsid w:val="00ED39A1"/>
    <w:rsid w:val="00ED39B4"/>
    <w:rsid w:val="00ED3E2D"/>
    <w:rsid w:val="00ED40D9"/>
    <w:rsid w:val="00ED4105"/>
    <w:rsid w:val="00ED423F"/>
    <w:rsid w:val="00ED44CA"/>
    <w:rsid w:val="00ED462E"/>
    <w:rsid w:val="00ED47A2"/>
    <w:rsid w:val="00ED4A0B"/>
    <w:rsid w:val="00ED4A7F"/>
    <w:rsid w:val="00ED4AF5"/>
    <w:rsid w:val="00ED4EC1"/>
    <w:rsid w:val="00ED4F7A"/>
    <w:rsid w:val="00ED53B8"/>
    <w:rsid w:val="00ED614F"/>
    <w:rsid w:val="00ED66FD"/>
    <w:rsid w:val="00ED7B7D"/>
    <w:rsid w:val="00ED7D32"/>
    <w:rsid w:val="00EE00B0"/>
    <w:rsid w:val="00EE0176"/>
    <w:rsid w:val="00EE05EF"/>
    <w:rsid w:val="00EE0714"/>
    <w:rsid w:val="00EE0AF2"/>
    <w:rsid w:val="00EE0E1E"/>
    <w:rsid w:val="00EE1319"/>
    <w:rsid w:val="00EE1652"/>
    <w:rsid w:val="00EE1A19"/>
    <w:rsid w:val="00EE1AB7"/>
    <w:rsid w:val="00EE2148"/>
    <w:rsid w:val="00EE23D4"/>
    <w:rsid w:val="00EE2486"/>
    <w:rsid w:val="00EE26C0"/>
    <w:rsid w:val="00EE26D9"/>
    <w:rsid w:val="00EE26F2"/>
    <w:rsid w:val="00EE2744"/>
    <w:rsid w:val="00EE2A91"/>
    <w:rsid w:val="00EE2B40"/>
    <w:rsid w:val="00EE30E0"/>
    <w:rsid w:val="00EE35FF"/>
    <w:rsid w:val="00EE3991"/>
    <w:rsid w:val="00EE399E"/>
    <w:rsid w:val="00EE3A7B"/>
    <w:rsid w:val="00EE411F"/>
    <w:rsid w:val="00EE4186"/>
    <w:rsid w:val="00EE41BD"/>
    <w:rsid w:val="00EE4790"/>
    <w:rsid w:val="00EE4B76"/>
    <w:rsid w:val="00EE4D19"/>
    <w:rsid w:val="00EE4E23"/>
    <w:rsid w:val="00EE4EA5"/>
    <w:rsid w:val="00EE51E6"/>
    <w:rsid w:val="00EE53E7"/>
    <w:rsid w:val="00EE54E6"/>
    <w:rsid w:val="00EE5643"/>
    <w:rsid w:val="00EE569A"/>
    <w:rsid w:val="00EE5917"/>
    <w:rsid w:val="00EE5921"/>
    <w:rsid w:val="00EE5C8A"/>
    <w:rsid w:val="00EE5F26"/>
    <w:rsid w:val="00EE6134"/>
    <w:rsid w:val="00EE617F"/>
    <w:rsid w:val="00EE61AB"/>
    <w:rsid w:val="00EE6262"/>
    <w:rsid w:val="00EE66C6"/>
    <w:rsid w:val="00EE6758"/>
    <w:rsid w:val="00EE68B4"/>
    <w:rsid w:val="00EE6935"/>
    <w:rsid w:val="00EE69E5"/>
    <w:rsid w:val="00EE6BD3"/>
    <w:rsid w:val="00EE6EDF"/>
    <w:rsid w:val="00EE724A"/>
    <w:rsid w:val="00EE7524"/>
    <w:rsid w:val="00EE755A"/>
    <w:rsid w:val="00EE75F4"/>
    <w:rsid w:val="00EE78B7"/>
    <w:rsid w:val="00EE7981"/>
    <w:rsid w:val="00EE7B4F"/>
    <w:rsid w:val="00EE7BB5"/>
    <w:rsid w:val="00EE7C13"/>
    <w:rsid w:val="00EE7C42"/>
    <w:rsid w:val="00EE7CB7"/>
    <w:rsid w:val="00EE7FCB"/>
    <w:rsid w:val="00EF024E"/>
    <w:rsid w:val="00EF035C"/>
    <w:rsid w:val="00EF072B"/>
    <w:rsid w:val="00EF0DA8"/>
    <w:rsid w:val="00EF100C"/>
    <w:rsid w:val="00EF1026"/>
    <w:rsid w:val="00EF1248"/>
    <w:rsid w:val="00EF127D"/>
    <w:rsid w:val="00EF128D"/>
    <w:rsid w:val="00EF15ED"/>
    <w:rsid w:val="00EF173C"/>
    <w:rsid w:val="00EF17F9"/>
    <w:rsid w:val="00EF1A58"/>
    <w:rsid w:val="00EF1CBC"/>
    <w:rsid w:val="00EF1EC1"/>
    <w:rsid w:val="00EF290B"/>
    <w:rsid w:val="00EF2A8C"/>
    <w:rsid w:val="00EF2D80"/>
    <w:rsid w:val="00EF3162"/>
    <w:rsid w:val="00EF34B3"/>
    <w:rsid w:val="00EF3AA4"/>
    <w:rsid w:val="00EF3F00"/>
    <w:rsid w:val="00EF4060"/>
    <w:rsid w:val="00EF44A6"/>
    <w:rsid w:val="00EF464B"/>
    <w:rsid w:val="00EF49D5"/>
    <w:rsid w:val="00EF4C9E"/>
    <w:rsid w:val="00EF4CD0"/>
    <w:rsid w:val="00EF4CED"/>
    <w:rsid w:val="00EF4E2B"/>
    <w:rsid w:val="00EF5008"/>
    <w:rsid w:val="00EF52FD"/>
    <w:rsid w:val="00EF530B"/>
    <w:rsid w:val="00EF584C"/>
    <w:rsid w:val="00EF58A1"/>
    <w:rsid w:val="00EF58DC"/>
    <w:rsid w:val="00EF5A52"/>
    <w:rsid w:val="00EF5B35"/>
    <w:rsid w:val="00EF5C4F"/>
    <w:rsid w:val="00EF5F0E"/>
    <w:rsid w:val="00EF6611"/>
    <w:rsid w:val="00EF6B29"/>
    <w:rsid w:val="00EF7212"/>
    <w:rsid w:val="00EF77F1"/>
    <w:rsid w:val="00EF78C2"/>
    <w:rsid w:val="00EF79CB"/>
    <w:rsid w:val="00F004EF"/>
    <w:rsid w:val="00F00591"/>
    <w:rsid w:val="00F006B0"/>
    <w:rsid w:val="00F007B7"/>
    <w:rsid w:val="00F009D4"/>
    <w:rsid w:val="00F00AC0"/>
    <w:rsid w:val="00F00C2E"/>
    <w:rsid w:val="00F00C68"/>
    <w:rsid w:val="00F00D26"/>
    <w:rsid w:val="00F011A6"/>
    <w:rsid w:val="00F013B6"/>
    <w:rsid w:val="00F014FF"/>
    <w:rsid w:val="00F01567"/>
    <w:rsid w:val="00F0181D"/>
    <w:rsid w:val="00F019AA"/>
    <w:rsid w:val="00F01B00"/>
    <w:rsid w:val="00F01B95"/>
    <w:rsid w:val="00F01BB4"/>
    <w:rsid w:val="00F01F54"/>
    <w:rsid w:val="00F025CA"/>
    <w:rsid w:val="00F02795"/>
    <w:rsid w:val="00F027DA"/>
    <w:rsid w:val="00F0290E"/>
    <w:rsid w:val="00F02E6A"/>
    <w:rsid w:val="00F0310D"/>
    <w:rsid w:val="00F031E5"/>
    <w:rsid w:val="00F03E6B"/>
    <w:rsid w:val="00F03E9E"/>
    <w:rsid w:val="00F04552"/>
    <w:rsid w:val="00F04970"/>
    <w:rsid w:val="00F04BB3"/>
    <w:rsid w:val="00F04BEA"/>
    <w:rsid w:val="00F0509E"/>
    <w:rsid w:val="00F05992"/>
    <w:rsid w:val="00F05B18"/>
    <w:rsid w:val="00F05BA0"/>
    <w:rsid w:val="00F05D5C"/>
    <w:rsid w:val="00F05F11"/>
    <w:rsid w:val="00F05F5D"/>
    <w:rsid w:val="00F061BB"/>
    <w:rsid w:val="00F062A7"/>
    <w:rsid w:val="00F06413"/>
    <w:rsid w:val="00F0684F"/>
    <w:rsid w:val="00F06A0F"/>
    <w:rsid w:val="00F06CAA"/>
    <w:rsid w:val="00F06F77"/>
    <w:rsid w:val="00F075A4"/>
    <w:rsid w:val="00F075D8"/>
    <w:rsid w:val="00F075EB"/>
    <w:rsid w:val="00F077D1"/>
    <w:rsid w:val="00F07B38"/>
    <w:rsid w:val="00F1001D"/>
    <w:rsid w:val="00F10035"/>
    <w:rsid w:val="00F101C7"/>
    <w:rsid w:val="00F10472"/>
    <w:rsid w:val="00F10507"/>
    <w:rsid w:val="00F10553"/>
    <w:rsid w:val="00F109E1"/>
    <w:rsid w:val="00F10A49"/>
    <w:rsid w:val="00F10E24"/>
    <w:rsid w:val="00F11166"/>
    <w:rsid w:val="00F111AA"/>
    <w:rsid w:val="00F11338"/>
    <w:rsid w:val="00F116A3"/>
    <w:rsid w:val="00F11790"/>
    <w:rsid w:val="00F11AE6"/>
    <w:rsid w:val="00F12B35"/>
    <w:rsid w:val="00F12BD8"/>
    <w:rsid w:val="00F12EBD"/>
    <w:rsid w:val="00F12ECC"/>
    <w:rsid w:val="00F12EFE"/>
    <w:rsid w:val="00F12F41"/>
    <w:rsid w:val="00F134E9"/>
    <w:rsid w:val="00F13536"/>
    <w:rsid w:val="00F13716"/>
    <w:rsid w:val="00F13901"/>
    <w:rsid w:val="00F13D94"/>
    <w:rsid w:val="00F13E90"/>
    <w:rsid w:val="00F1428A"/>
    <w:rsid w:val="00F14A21"/>
    <w:rsid w:val="00F14A8A"/>
    <w:rsid w:val="00F14B3D"/>
    <w:rsid w:val="00F14BF9"/>
    <w:rsid w:val="00F15121"/>
    <w:rsid w:val="00F1513B"/>
    <w:rsid w:val="00F159BC"/>
    <w:rsid w:val="00F15CF5"/>
    <w:rsid w:val="00F15EA6"/>
    <w:rsid w:val="00F1644A"/>
    <w:rsid w:val="00F165DF"/>
    <w:rsid w:val="00F165F2"/>
    <w:rsid w:val="00F16766"/>
    <w:rsid w:val="00F16C41"/>
    <w:rsid w:val="00F16E38"/>
    <w:rsid w:val="00F16FF1"/>
    <w:rsid w:val="00F170C5"/>
    <w:rsid w:val="00F1714B"/>
    <w:rsid w:val="00F17227"/>
    <w:rsid w:val="00F175FA"/>
    <w:rsid w:val="00F176FA"/>
    <w:rsid w:val="00F178BA"/>
    <w:rsid w:val="00F17CB2"/>
    <w:rsid w:val="00F2010C"/>
    <w:rsid w:val="00F205A1"/>
    <w:rsid w:val="00F2085D"/>
    <w:rsid w:val="00F208A7"/>
    <w:rsid w:val="00F20921"/>
    <w:rsid w:val="00F20BBC"/>
    <w:rsid w:val="00F20BFB"/>
    <w:rsid w:val="00F20C18"/>
    <w:rsid w:val="00F21405"/>
    <w:rsid w:val="00F21473"/>
    <w:rsid w:val="00F21507"/>
    <w:rsid w:val="00F21751"/>
    <w:rsid w:val="00F21851"/>
    <w:rsid w:val="00F21AE8"/>
    <w:rsid w:val="00F21BF6"/>
    <w:rsid w:val="00F21E2E"/>
    <w:rsid w:val="00F22522"/>
    <w:rsid w:val="00F2253A"/>
    <w:rsid w:val="00F22B33"/>
    <w:rsid w:val="00F22C64"/>
    <w:rsid w:val="00F232A2"/>
    <w:rsid w:val="00F232B9"/>
    <w:rsid w:val="00F23F96"/>
    <w:rsid w:val="00F23F99"/>
    <w:rsid w:val="00F24AD5"/>
    <w:rsid w:val="00F24D81"/>
    <w:rsid w:val="00F24DC1"/>
    <w:rsid w:val="00F24F1E"/>
    <w:rsid w:val="00F24FC6"/>
    <w:rsid w:val="00F24FFF"/>
    <w:rsid w:val="00F25295"/>
    <w:rsid w:val="00F25623"/>
    <w:rsid w:val="00F256C6"/>
    <w:rsid w:val="00F258E3"/>
    <w:rsid w:val="00F25966"/>
    <w:rsid w:val="00F25A90"/>
    <w:rsid w:val="00F25D06"/>
    <w:rsid w:val="00F261C1"/>
    <w:rsid w:val="00F266EE"/>
    <w:rsid w:val="00F267A9"/>
    <w:rsid w:val="00F2680A"/>
    <w:rsid w:val="00F27436"/>
    <w:rsid w:val="00F275B3"/>
    <w:rsid w:val="00F27658"/>
    <w:rsid w:val="00F2791F"/>
    <w:rsid w:val="00F279A6"/>
    <w:rsid w:val="00F27CAC"/>
    <w:rsid w:val="00F27CBC"/>
    <w:rsid w:val="00F3055F"/>
    <w:rsid w:val="00F30589"/>
    <w:rsid w:val="00F30751"/>
    <w:rsid w:val="00F30B05"/>
    <w:rsid w:val="00F30E13"/>
    <w:rsid w:val="00F30E18"/>
    <w:rsid w:val="00F30F07"/>
    <w:rsid w:val="00F31000"/>
    <w:rsid w:val="00F31117"/>
    <w:rsid w:val="00F3119C"/>
    <w:rsid w:val="00F312A5"/>
    <w:rsid w:val="00F31668"/>
    <w:rsid w:val="00F31774"/>
    <w:rsid w:val="00F31810"/>
    <w:rsid w:val="00F31A01"/>
    <w:rsid w:val="00F31EA6"/>
    <w:rsid w:val="00F326A8"/>
    <w:rsid w:val="00F326EF"/>
    <w:rsid w:val="00F32F0B"/>
    <w:rsid w:val="00F3362C"/>
    <w:rsid w:val="00F33A15"/>
    <w:rsid w:val="00F33AFA"/>
    <w:rsid w:val="00F3404B"/>
    <w:rsid w:val="00F3414D"/>
    <w:rsid w:val="00F342ED"/>
    <w:rsid w:val="00F344CA"/>
    <w:rsid w:val="00F3467A"/>
    <w:rsid w:val="00F3486E"/>
    <w:rsid w:val="00F348F2"/>
    <w:rsid w:val="00F34CDA"/>
    <w:rsid w:val="00F34FC3"/>
    <w:rsid w:val="00F35273"/>
    <w:rsid w:val="00F35682"/>
    <w:rsid w:val="00F356C1"/>
    <w:rsid w:val="00F356CA"/>
    <w:rsid w:val="00F3583D"/>
    <w:rsid w:val="00F358E0"/>
    <w:rsid w:val="00F359C0"/>
    <w:rsid w:val="00F35A8B"/>
    <w:rsid w:val="00F35AB1"/>
    <w:rsid w:val="00F35B38"/>
    <w:rsid w:val="00F35DDC"/>
    <w:rsid w:val="00F35F64"/>
    <w:rsid w:val="00F36504"/>
    <w:rsid w:val="00F36547"/>
    <w:rsid w:val="00F36860"/>
    <w:rsid w:val="00F369B9"/>
    <w:rsid w:val="00F36D25"/>
    <w:rsid w:val="00F36D69"/>
    <w:rsid w:val="00F36DBE"/>
    <w:rsid w:val="00F36EFC"/>
    <w:rsid w:val="00F37330"/>
    <w:rsid w:val="00F373AB"/>
    <w:rsid w:val="00F374A3"/>
    <w:rsid w:val="00F37CA2"/>
    <w:rsid w:val="00F37D03"/>
    <w:rsid w:val="00F40560"/>
    <w:rsid w:val="00F4065C"/>
    <w:rsid w:val="00F4091D"/>
    <w:rsid w:val="00F40960"/>
    <w:rsid w:val="00F40EEA"/>
    <w:rsid w:val="00F40F9C"/>
    <w:rsid w:val="00F411B5"/>
    <w:rsid w:val="00F412B4"/>
    <w:rsid w:val="00F4142E"/>
    <w:rsid w:val="00F4152E"/>
    <w:rsid w:val="00F4159C"/>
    <w:rsid w:val="00F41687"/>
    <w:rsid w:val="00F418D7"/>
    <w:rsid w:val="00F41EB9"/>
    <w:rsid w:val="00F42142"/>
    <w:rsid w:val="00F4261E"/>
    <w:rsid w:val="00F4286F"/>
    <w:rsid w:val="00F42919"/>
    <w:rsid w:val="00F42BCD"/>
    <w:rsid w:val="00F42BEE"/>
    <w:rsid w:val="00F43025"/>
    <w:rsid w:val="00F432F3"/>
    <w:rsid w:val="00F43316"/>
    <w:rsid w:val="00F435F1"/>
    <w:rsid w:val="00F43F30"/>
    <w:rsid w:val="00F44248"/>
    <w:rsid w:val="00F44575"/>
    <w:rsid w:val="00F4488C"/>
    <w:rsid w:val="00F44A1C"/>
    <w:rsid w:val="00F44C68"/>
    <w:rsid w:val="00F44D16"/>
    <w:rsid w:val="00F44E82"/>
    <w:rsid w:val="00F44FE6"/>
    <w:rsid w:val="00F45065"/>
    <w:rsid w:val="00F4507B"/>
    <w:rsid w:val="00F452CE"/>
    <w:rsid w:val="00F45504"/>
    <w:rsid w:val="00F455D1"/>
    <w:rsid w:val="00F458CB"/>
    <w:rsid w:val="00F45961"/>
    <w:rsid w:val="00F4596E"/>
    <w:rsid w:val="00F459A7"/>
    <w:rsid w:val="00F459C5"/>
    <w:rsid w:val="00F45B30"/>
    <w:rsid w:val="00F45C1B"/>
    <w:rsid w:val="00F45CBC"/>
    <w:rsid w:val="00F4621A"/>
    <w:rsid w:val="00F463CA"/>
    <w:rsid w:val="00F466CE"/>
    <w:rsid w:val="00F46A00"/>
    <w:rsid w:val="00F46C12"/>
    <w:rsid w:val="00F46F78"/>
    <w:rsid w:val="00F47189"/>
    <w:rsid w:val="00F4733E"/>
    <w:rsid w:val="00F473E9"/>
    <w:rsid w:val="00F47596"/>
    <w:rsid w:val="00F47AE3"/>
    <w:rsid w:val="00F47AF2"/>
    <w:rsid w:val="00F47C12"/>
    <w:rsid w:val="00F47DC4"/>
    <w:rsid w:val="00F50075"/>
    <w:rsid w:val="00F501AB"/>
    <w:rsid w:val="00F50755"/>
    <w:rsid w:val="00F50799"/>
    <w:rsid w:val="00F50C93"/>
    <w:rsid w:val="00F50EF6"/>
    <w:rsid w:val="00F50F11"/>
    <w:rsid w:val="00F515E7"/>
    <w:rsid w:val="00F5160C"/>
    <w:rsid w:val="00F516BB"/>
    <w:rsid w:val="00F5181F"/>
    <w:rsid w:val="00F51A0D"/>
    <w:rsid w:val="00F51CEE"/>
    <w:rsid w:val="00F51F12"/>
    <w:rsid w:val="00F52117"/>
    <w:rsid w:val="00F52162"/>
    <w:rsid w:val="00F523DF"/>
    <w:rsid w:val="00F52562"/>
    <w:rsid w:val="00F5282A"/>
    <w:rsid w:val="00F52A82"/>
    <w:rsid w:val="00F52C95"/>
    <w:rsid w:val="00F53219"/>
    <w:rsid w:val="00F532D3"/>
    <w:rsid w:val="00F53471"/>
    <w:rsid w:val="00F53503"/>
    <w:rsid w:val="00F535A5"/>
    <w:rsid w:val="00F53CA2"/>
    <w:rsid w:val="00F540F8"/>
    <w:rsid w:val="00F541EC"/>
    <w:rsid w:val="00F54386"/>
    <w:rsid w:val="00F548B6"/>
    <w:rsid w:val="00F54960"/>
    <w:rsid w:val="00F549A9"/>
    <w:rsid w:val="00F549CA"/>
    <w:rsid w:val="00F54D51"/>
    <w:rsid w:val="00F556AC"/>
    <w:rsid w:val="00F55AA5"/>
    <w:rsid w:val="00F55FF2"/>
    <w:rsid w:val="00F568A4"/>
    <w:rsid w:val="00F56A52"/>
    <w:rsid w:val="00F56BE2"/>
    <w:rsid w:val="00F56EB8"/>
    <w:rsid w:val="00F5737D"/>
    <w:rsid w:val="00F573F6"/>
    <w:rsid w:val="00F57800"/>
    <w:rsid w:val="00F57AEB"/>
    <w:rsid w:val="00F57E69"/>
    <w:rsid w:val="00F60236"/>
    <w:rsid w:val="00F6029C"/>
    <w:rsid w:val="00F60A42"/>
    <w:rsid w:val="00F60C61"/>
    <w:rsid w:val="00F616D0"/>
    <w:rsid w:val="00F61749"/>
    <w:rsid w:val="00F61A9E"/>
    <w:rsid w:val="00F61C07"/>
    <w:rsid w:val="00F61CC3"/>
    <w:rsid w:val="00F61F7E"/>
    <w:rsid w:val="00F6221C"/>
    <w:rsid w:val="00F62555"/>
    <w:rsid w:val="00F6292D"/>
    <w:rsid w:val="00F62BDB"/>
    <w:rsid w:val="00F62CFD"/>
    <w:rsid w:val="00F62D1A"/>
    <w:rsid w:val="00F62D9B"/>
    <w:rsid w:val="00F63276"/>
    <w:rsid w:val="00F632FA"/>
    <w:rsid w:val="00F63999"/>
    <w:rsid w:val="00F63E8A"/>
    <w:rsid w:val="00F64693"/>
    <w:rsid w:val="00F64763"/>
    <w:rsid w:val="00F64B72"/>
    <w:rsid w:val="00F64D7B"/>
    <w:rsid w:val="00F652B4"/>
    <w:rsid w:val="00F6569E"/>
    <w:rsid w:val="00F65C46"/>
    <w:rsid w:val="00F65D33"/>
    <w:rsid w:val="00F660E2"/>
    <w:rsid w:val="00F6612E"/>
    <w:rsid w:val="00F662C4"/>
    <w:rsid w:val="00F66677"/>
    <w:rsid w:val="00F667D2"/>
    <w:rsid w:val="00F66A5E"/>
    <w:rsid w:val="00F66B0D"/>
    <w:rsid w:val="00F66FAB"/>
    <w:rsid w:val="00F67173"/>
    <w:rsid w:val="00F67762"/>
    <w:rsid w:val="00F67B1F"/>
    <w:rsid w:val="00F67C19"/>
    <w:rsid w:val="00F67C83"/>
    <w:rsid w:val="00F70126"/>
    <w:rsid w:val="00F704BB"/>
    <w:rsid w:val="00F70757"/>
    <w:rsid w:val="00F70A6B"/>
    <w:rsid w:val="00F70D4A"/>
    <w:rsid w:val="00F70FA9"/>
    <w:rsid w:val="00F71078"/>
    <w:rsid w:val="00F71155"/>
    <w:rsid w:val="00F71224"/>
    <w:rsid w:val="00F71644"/>
    <w:rsid w:val="00F717AD"/>
    <w:rsid w:val="00F717D5"/>
    <w:rsid w:val="00F719E4"/>
    <w:rsid w:val="00F71D09"/>
    <w:rsid w:val="00F71D69"/>
    <w:rsid w:val="00F71F09"/>
    <w:rsid w:val="00F71F12"/>
    <w:rsid w:val="00F72005"/>
    <w:rsid w:val="00F728B0"/>
    <w:rsid w:val="00F72EA8"/>
    <w:rsid w:val="00F7321F"/>
    <w:rsid w:val="00F737DB"/>
    <w:rsid w:val="00F7380E"/>
    <w:rsid w:val="00F73A71"/>
    <w:rsid w:val="00F741A1"/>
    <w:rsid w:val="00F74431"/>
    <w:rsid w:val="00F74433"/>
    <w:rsid w:val="00F744C1"/>
    <w:rsid w:val="00F74638"/>
    <w:rsid w:val="00F74CE7"/>
    <w:rsid w:val="00F74DFB"/>
    <w:rsid w:val="00F74F6A"/>
    <w:rsid w:val="00F74F9B"/>
    <w:rsid w:val="00F7502D"/>
    <w:rsid w:val="00F750CE"/>
    <w:rsid w:val="00F756E3"/>
    <w:rsid w:val="00F761ED"/>
    <w:rsid w:val="00F76268"/>
    <w:rsid w:val="00F7635C"/>
    <w:rsid w:val="00F7637E"/>
    <w:rsid w:val="00F763B3"/>
    <w:rsid w:val="00F7694B"/>
    <w:rsid w:val="00F76B50"/>
    <w:rsid w:val="00F76D66"/>
    <w:rsid w:val="00F772D5"/>
    <w:rsid w:val="00F77AF2"/>
    <w:rsid w:val="00F77D41"/>
    <w:rsid w:val="00F77E71"/>
    <w:rsid w:val="00F77F02"/>
    <w:rsid w:val="00F77F57"/>
    <w:rsid w:val="00F80244"/>
    <w:rsid w:val="00F80323"/>
    <w:rsid w:val="00F809B0"/>
    <w:rsid w:val="00F812AF"/>
    <w:rsid w:val="00F814AD"/>
    <w:rsid w:val="00F82132"/>
    <w:rsid w:val="00F82421"/>
    <w:rsid w:val="00F82446"/>
    <w:rsid w:val="00F82896"/>
    <w:rsid w:val="00F82A8D"/>
    <w:rsid w:val="00F82EF1"/>
    <w:rsid w:val="00F83437"/>
    <w:rsid w:val="00F8384E"/>
    <w:rsid w:val="00F83AB8"/>
    <w:rsid w:val="00F83EC1"/>
    <w:rsid w:val="00F843F2"/>
    <w:rsid w:val="00F844EC"/>
    <w:rsid w:val="00F844F4"/>
    <w:rsid w:val="00F8455A"/>
    <w:rsid w:val="00F84573"/>
    <w:rsid w:val="00F845CA"/>
    <w:rsid w:val="00F84846"/>
    <w:rsid w:val="00F848E9"/>
    <w:rsid w:val="00F84A23"/>
    <w:rsid w:val="00F84C3F"/>
    <w:rsid w:val="00F85010"/>
    <w:rsid w:val="00F8506E"/>
    <w:rsid w:val="00F8538C"/>
    <w:rsid w:val="00F85419"/>
    <w:rsid w:val="00F85840"/>
    <w:rsid w:val="00F8584E"/>
    <w:rsid w:val="00F85906"/>
    <w:rsid w:val="00F859D1"/>
    <w:rsid w:val="00F859E3"/>
    <w:rsid w:val="00F85B3A"/>
    <w:rsid w:val="00F85CED"/>
    <w:rsid w:val="00F8606B"/>
    <w:rsid w:val="00F863C1"/>
    <w:rsid w:val="00F86499"/>
    <w:rsid w:val="00F86862"/>
    <w:rsid w:val="00F86E57"/>
    <w:rsid w:val="00F86FD6"/>
    <w:rsid w:val="00F872DA"/>
    <w:rsid w:val="00F87390"/>
    <w:rsid w:val="00F8756F"/>
    <w:rsid w:val="00F8794A"/>
    <w:rsid w:val="00F87E65"/>
    <w:rsid w:val="00F9001B"/>
    <w:rsid w:val="00F900E5"/>
    <w:rsid w:val="00F90297"/>
    <w:rsid w:val="00F9035E"/>
    <w:rsid w:val="00F90472"/>
    <w:rsid w:val="00F90A36"/>
    <w:rsid w:val="00F90BD9"/>
    <w:rsid w:val="00F90F51"/>
    <w:rsid w:val="00F90FE4"/>
    <w:rsid w:val="00F91202"/>
    <w:rsid w:val="00F9122B"/>
    <w:rsid w:val="00F9133C"/>
    <w:rsid w:val="00F9162C"/>
    <w:rsid w:val="00F918F0"/>
    <w:rsid w:val="00F919B2"/>
    <w:rsid w:val="00F91AE9"/>
    <w:rsid w:val="00F91CA5"/>
    <w:rsid w:val="00F91F2B"/>
    <w:rsid w:val="00F921CD"/>
    <w:rsid w:val="00F922A9"/>
    <w:rsid w:val="00F9237F"/>
    <w:rsid w:val="00F92843"/>
    <w:rsid w:val="00F9297F"/>
    <w:rsid w:val="00F92BE3"/>
    <w:rsid w:val="00F93025"/>
    <w:rsid w:val="00F93653"/>
    <w:rsid w:val="00F93995"/>
    <w:rsid w:val="00F939B2"/>
    <w:rsid w:val="00F93C0D"/>
    <w:rsid w:val="00F93D80"/>
    <w:rsid w:val="00F943CF"/>
    <w:rsid w:val="00F94624"/>
    <w:rsid w:val="00F94794"/>
    <w:rsid w:val="00F94A64"/>
    <w:rsid w:val="00F94FEB"/>
    <w:rsid w:val="00F950AD"/>
    <w:rsid w:val="00F951F2"/>
    <w:rsid w:val="00F9521C"/>
    <w:rsid w:val="00F95897"/>
    <w:rsid w:val="00F958A8"/>
    <w:rsid w:val="00F95CE2"/>
    <w:rsid w:val="00F9602A"/>
    <w:rsid w:val="00F96234"/>
    <w:rsid w:val="00F96338"/>
    <w:rsid w:val="00F9660F"/>
    <w:rsid w:val="00F96819"/>
    <w:rsid w:val="00F9681C"/>
    <w:rsid w:val="00F9687B"/>
    <w:rsid w:val="00F96908"/>
    <w:rsid w:val="00F96A91"/>
    <w:rsid w:val="00F9763B"/>
    <w:rsid w:val="00F97736"/>
    <w:rsid w:val="00F978F8"/>
    <w:rsid w:val="00F97EDB"/>
    <w:rsid w:val="00FA0160"/>
    <w:rsid w:val="00FA038C"/>
    <w:rsid w:val="00FA0393"/>
    <w:rsid w:val="00FA0E2F"/>
    <w:rsid w:val="00FA1237"/>
    <w:rsid w:val="00FA14F2"/>
    <w:rsid w:val="00FA17FC"/>
    <w:rsid w:val="00FA1869"/>
    <w:rsid w:val="00FA1EBF"/>
    <w:rsid w:val="00FA23EE"/>
    <w:rsid w:val="00FA26FA"/>
    <w:rsid w:val="00FA28A4"/>
    <w:rsid w:val="00FA29F7"/>
    <w:rsid w:val="00FA2AE1"/>
    <w:rsid w:val="00FA2EF5"/>
    <w:rsid w:val="00FA2FF9"/>
    <w:rsid w:val="00FA30B4"/>
    <w:rsid w:val="00FA33E8"/>
    <w:rsid w:val="00FA3794"/>
    <w:rsid w:val="00FA3882"/>
    <w:rsid w:val="00FA3958"/>
    <w:rsid w:val="00FA3C7D"/>
    <w:rsid w:val="00FA3D3D"/>
    <w:rsid w:val="00FA3D89"/>
    <w:rsid w:val="00FA3DBD"/>
    <w:rsid w:val="00FA3EF3"/>
    <w:rsid w:val="00FA40C9"/>
    <w:rsid w:val="00FA4334"/>
    <w:rsid w:val="00FA4462"/>
    <w:rsid w:val="00FA44F0"/>
    <w:rsid w:val="00FA4888"/>
    <w:rsid w:val="00FA4A40"/>
    <w:rsid w:val="00FA4B39"/>
    <w:rsid w:val="00FA4C8D"/>
    <w:rsid w:val="00FA4DD7"/>
    <w:rsid w:val="00FA51A2"/>
    <w:rsid w:val="00FA548A"/>
    <w:rsid w:val="00FA5496"/>
    <w:rsid w:val="00FA550E"/>
    <w:rsid w:val="00FA5884"/>
    <w:rsid w:val="00FA6152"/>
    <w:rsid w:val="00FA6456"/>
    <w:rsid w:val="00FA6507"/>
    <w:rsid w:val="00FA6ECD"/>
    <w:rsid w:val="00FA6F99"/>
    <w:rsid w:val="00FA710E"/>
    <w:rsid w:val="00FA74AA"/>
    <w:rsid w:val="00FA7536"/>
    <w:rsid w:val="00FA76A6"/>
    <w:rsid w:val="00FA7793"/>
    <w:rsid w:val="00FA78EF"/>
    <w:rsid w:val="00FA7995"/>
    <w:rsid w:val="00FA7BBD"/>
    <w:rsid w:val="00FA7D70"/>
    <w:rsid w:val="00FA7DDF"/>
    <w:rsid w:val="00FA7E06"/>
    <w:rsid w:val="00FB039D"/>
    <w:rsid w:val="00FB05FF"/>
    <w:rsid w:val="00FB0A44"/>
    <w:rsid w:val="00FB0DA6"/>
    <w:rsid w:val="00FB10DC"/>
    <w:rsid w:val="00FB1450"/>
    <w:rsid w:val="00FB15F3"/>
    <w:rsid w:val="00FB1826"/>
    <w:rsid w:val="00FB1A3A"/>
    <w:rsid w:val="00FB1A77"/>
    <w:rsid w:val="00FB1B4F"/>
    <w:rsid w:val="00FB1BDA"/>
    <w:rsid w:val="00FB1E03"/>
    <w:rsid w:val="00FB222D"/>
    <w:rsid w:val="00FB29AA"/>
    <w:rsid w:val="00FB2E44"/>
    <w:rsid w:val="00FB3214"/>
    <w:rsid w:val="00FB35ED"/>
    <w:rsid w:val="00FB3843"/>
    <w:rsid w:val="00FB39D5"/>
    <w:rsid w:val="00FB3ADB"/>
    <w:rsid w:val="00FB3BE2"/>
    <w:rsid w:val="00FB3BF1"/>
    <w:rsid w:val="00FB3D7E"/>
    <w:rsid w:val="00FB4378"/>
    <w:rsid w:val="00FB4412"/>
    <w:rsid w:val="00FB45DE"/>
    <w:rsid w:val="00FB463B"/>
    <w:rsid w:val="00FB4D0B"/>
    <w:rsid w:val="00FB4D15"/>
    <w:rsid w:val="00FB4D1F"/>
    <w:rsid w:val="00FB4FDF"/>
    <w:rsid w:val="00FB5A48"/>
    <w:rsid w:val="00FB5F83"/>
    <w:rsid w:val="00FB5F97"/>
    <w:rsid w:val="00FB627E"/>
    <w:rsid w:val="00FB64BA"/>
    <w:rsid w:val="00FB6EDC"/>
    <w:rsid w:val="00FB748C"/>
    <w:rsid w:val="00FB7533"/>
    <w:rsid w:val="00FB792D"/>
    <w:rsid w:val="00FB7E8F"/>
    <w:rsid w:val="00FB7ED4"/>
    <w:rsid w:val="00FB7F21"/>
    <w:rsid w:val="00FC003E"/>
    <w:rsid w:val="00FC02A3"/>
    <w:rsid w:val="00FC0357"/>
    <w:rsid w:val="00FC069D"/>
    <w:rsid w:val="00FC0831"/>
    <w:rsid w:val="00FC0E75"/>
    <w:rsid w:val="00FC0F07"/>
    <w:rsid w:val="00FC0F82"/>
    <w:rsid w:val="00FC11FD"/>
    <w:rsid w:val="00FC123C"/>
    <w:rsid w:val="00FC12C5"/>
    <w:rsid w:val="00FC1720"/>
    <w:rsid w:val="00FC22E9"/>
    <w:rsid w:val="00FC239B"/>
    <w:rsid w:val="00FC23FF"/>
    <w:rsid w:val="00FC28CE"/>
    <w:rsid w:val="00FC2930"/>
    <w:rsid w:val="00FC2A57"/>
    <w:rsid w:val="00FC30AC"/>
    <w:rsid w:val="00FC372D"/>
    <w:rsid w:val="00FC37E1"/>
    <w:rsid w:val="00FC3ADF"/>
    <w:rsid w:val="00FC3B3D"/>
    <w:rsid w:val="00FC3C34"/>
    <w:rsid w:val="00FC3CBC"/>
    <w:rsid w:val="00FC3D46"/>
    <w:rsid w:val="00FC3F0C"/>
    <w:rsid w:val="00FC4298"/>
    <w:rsid w:val="00FC43E3"/>
    <w:rsid w:val="00FC45E9"/>
    <w:rsid w:val="00FC4A45"/>
    <w:rsid w:val="00FC4D41"/>
    <w:rsid w:val="00FC4DAC"/>
    <w:rsid w:val="00FC4DCF"/>
    <w:rsid w:val="00FC51BC"/>
    <w:rsid w:val="00FC51C4"/>
    <w:rsid w:val="00FC51E5"/>
    <w:rsid w:val="00FC5333"/>
    <w:rsid w:val="00FC5502"/>
    <w:rsid w:val="00FC585B"/>
    <w:rsid w:val="00FC60A3"/>
    <w:rsid w:val="00FC6124"/>
    <w:rsid w:val="00FC6148"/>
    <w:rsid w:val="00FC649A"/>
    <w:rsid w:val="00FC6811"/>
    <w:rsid w:val="00FC6B65"/>
    <w:rsid w:val="00FC6BA6"/>
    <w:rsid w:val="00FC6BE0"/>
    <w:rsid w:val="00FC6DA5"/>
    <w:rsid w:val="00FC6DDA"/>
    <w:rsid w:val="00FC719C"/>
    <w:rsid w:val="00FC71A8"/>
    <w:rsid w:val="00FC71E2"/>
    <w:rsid w:val="00FC7292"/>
    <w:rsid w:val="00FC75C9"/>
    <w:rsid w:val="00FD0088"/>
    <w:rsid w:val="00FD0814"/>
    <w:rsid w:val="00FD0996"/>
    <w:rsid w:val="00FD0B77"/>
    <w:rsid w:val="00FD0F39"/>
    <w:rsid w:val="00FD1185"/>
    <w:rsid w:val="00FD13DA"/>
    <w:rsid w:val="00FD1604"/>
    <w:rsid w:val="00FD1E45"/>
    <w:rsid w:val="00FD1F3D"/>
    <w:rsid w:val="00FD1F9C"/>
    <w:rsid w:val="00FD2087"/>
    <w:rsid w:val="00FD22D8"/>
    <w:rsid w:val="00FD2559"/>
    <w:rsid w:val="00FD2562"/>
    <w:rsid w:val="00FD2924"/>
    <w:rsid w:val="00FD2DA5"/>
    <w:rsid w:val="00FD2F1D"/>
    <w:rsid w:val="00FD3095"/>
    <w:rsid w:val="00FD3237"/>
    <w:rsid w:val="00FD35C6"/>
    <w:rsid w:val="00FD3C87"/>
    <w:rsid w:val="00FD3CEB"/>
    <w:rsid w:val="00FD3FE9"/>
    <w:rsid w:val="00FD4669"/>
    <w:rsid w:val="00FD4689"/>
    <w:rsid w:val="00FD48D9"/>
    <w:rsid w:val="00FD52BC"/>
    <w:rsid w:val="00FD5704"/>
    <w:rsid w:val="00FD6101"/>
    <w:rsid w:val="00FD63B5"/>
    <w:rsid w:val="00FD6737"/>
    <w:rsid w:val="00FD6D14"/>
    <w:rsid w:val="00FD6E77"/>
    <w:rsid w:val="00FD6FCC"/>
    <w:rsid w:val="00FD772D"/>
    <w:rsid w:val="00FD78F1"/>
    <w:rsid w:val="00FD7A9E"/>
    <w:rsid w:val="00FD7AA2"/>
    <w:rsid w:val="00FD7BFD"/>
    <w:rsid w:val="00FD7DA8"/>
    <w:rsid w:val="00FD7E38"/>
    <w:rsid w:val="00FE0043"/>
    <w:rsid w:val="00FE004C"/>
    <w:rsid w:val="00FE0188"/>
    <w:rsid w:val="00FE024D"/>
    <w:rsid w:val="00FE05E3"/>
    <w:rsid w:val="00FE1207"/>
    <w:rsid w:val="00FE14A6"/>
    <w:rsid w:val="00FE1B6E"/>
    <w:rsid w:val="00FE1BB5"/>
    <w:rsid w:val="00FE1C6B"/>
    <w:rsid w:val="00FE1FFB"/>
    <w:rsid w:val="00FE214E"/>
    <w:rsid w:val="00FE21D6"/>
    <w:rsid w:val="00FE23FF"/>
    <w:rsid w:val="00FE2564"/>
    <w:rsid w:val="00FE2910"/>
    <w:rsid w:val="00FE2EC0"/>
    <w:rsid w:val="00FE2F98"/>
    <w:rsid w:val="00FE30FA"/>
    <w:rsid w:val="00FE36DD"/>
    <w:rsid w:val="00FE3CF2"/>
    <w:rsid w:val="00FE402F"/>
    <w:rsid w:val="00FE408B"/>
    <w:rsid w:val="00FE42C7"/>
    <w:rsid w:val="00FE4395"/>
    <w:rsid w:val="00FE44A0"/>
    <w:rsid w:val="00FE4573"/>
    <w:rsid w:val="00FE4822"/>
    <w:rsid w:val="00FE49B8"/>
    <w:rsid w:val="00FE4C0B"/>
    <w:rsid w:val="00FE4E11"/>
    <w:rsid w:val="00FE574C"/>
    <w:rsid w:val="00FE57B8"/>
    <w:rsid w:val="00FE59BA"/>
    <w:rsid w:val="00FE5BBD"/>
    <w:rsid w:val="00FE5C61"/>
    <w:rsid w:val="00FE5E58"/>
    <w:rsid w:val="00FE5F5E"/>
    <w:rsid w:val="00FE61EF"/>
    <w:rsid w:val="00FE6270"/>
    <w:rsid w:val="00FE6671"/>
    <w:rsid w:val="00FE66B4"/>
    <w:rsid w:val="00FE6F6A"/>
    <w:rsid w:val="00FE7102"/>
    <w:rsid w:val="00FE731B"/>
    <w:rsid w:val="00FE766E"/>
    <w:rsid w:val="00FE7717"/>
    <w:rsid w:val="00FE7910"/>
    <w:rsid w:val="00FE7BCB"/>
    <w:rsid w:val="00FE7C34"/>
    <w:rsid w:val="00FE7F7B"/>
    <w:rsid w:val="00FF0087"/>
    <w:rsid w:val="00FF00BB"/>
    <w:rsid w:val="00FF017C"/>
    <w:rsid w:val="00FF057A"/>
    <w:rsid w:val="00FF0595"/>
    <w:rsid w:val="00FF08DB"/>
    <w:rsid w:val="00FF09E8"/>
    <w:rsid w:val="00FF0A34"/>
    <w:rsid w:val="00FF0B04"/>
    <w:rsid w:val="00FF0BFF"/>
    <w:rsid w:val="00FF0D22"/>
    <w:rsid w:val="00FF0EBD"/>
    <w:rsid w:val="00FF1550"/>
    <w:rsid w:val="00FF2133"/>
    <w:rsid w:val="00FF220D"/>
    <w:rsid w:val="00FF27FE"/>
    <w:rsid w:val="00FF29AE"/>
    <w:rsid w:val="00FF2C95"/>
    <w:rsid w:val="00FF2C99"/>
    <w:rsid w:val="00FF2D9A"/>
    <w:rsid w:val="00FF2DA4"/>
    <w:rsid w:val="00FF2E9A"/>
    <w:rsid w:val="00FF305C"/>
    <w:rsid w:val="00FF331E"/>
    <w:rsid w:val="00FF33BB"/>
    <w:rsid w:val="00FF3685"/>
    <w:rsid w:val="00FF38C4"/>
    <w:rsid w:val="00FF3915"/>
    <w:rsid w:val="00FF3AF6"/>
    <w:rsid w:val="00FF3BA7"/>
    <w:rsid w:val="00FF3E74"/>
    <w:rsid w:val="00FF4390"/>
    <w:rsid w:val="00FF4609"/>
    <w:rsid w:val="00FF4ADB"/>
    <w:rsid w:val="00FF4B17"/>
    <w:rsid w:val="00FF51F1"/>
    <w:rsid w:val="00FF5549"/>
    <w:rsid w:val="00FF5662"/>
    <w:rsid w:val="00FF571D"/>
    <w:rsid w:val="00FF5A5E"/>
    <w:rsid w:val="00FF5AF9"/>
    <w:rsid w:val="00FF5C0B"/>
    <w:rsid w:val="00FF5CB8"/>
    <w:rsid w:val="00FF5CC2"/>
    <w:rsid w:val="00FF5E90"/>
    <w:rsid w:val="00FF5FBF"/>
    <w:rsid w:val="00FF641A"/>
    <w:rsid w:val="00FF706A"/>
    <w:rsid w:val="00FF70F2"/>
    <w:rsid w:val="00FF714E"/>
    <w:rsid w:val="00FF76A2"/>
    <w:rsid w:val="00FF774A"/>
    <w:rsid w:val="00FF7B36"/>
    <w:rsid w:val="00FF7CB9"/>
    <w:rsid w:val="00FF7D13"/>
    <w:rsid w:val="00FF7EE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60"/>
    </o:shapedefaults>
    <o:shapelayout v:ext="edit">
      <o:idmap v:ext="edit" data="1"/>
    </o:shapelayout>
  </w:shapeDefaults>
  <w:decimalSymbol w:val="."/>
  <w:listSeparator w:val=","/>
  <w14:docId w14:val="141A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45E"/>
    <w:rPr>
      <w:rFonts w:ascii="Calibri" w:eastAsia="Calibri" w:hAnsi="Calibri" w:cs="Times New Roman"/>
      <w:lang w:val="en-GB"/>
    </w:rPr>
  </w:style>
  <w:style w:type="paragraph" w:styleId="Heading1">
    <w:name w:val="heading 1"/>
    <w:basedOn w:val="Normal"/>
    <w:next w:val="Normal"/>
    <w:link w:val="Heading1Char"/>
    <w:uiPriority w:val="9"/>
    <w:qFormat/>
    <w:rsid w:val="0037645E"/>
    <w:pPr>
      <w:keepNext/>
      <w:spacing w:after="0" w:line="240" w:lineRule="auto"/>
      <w:jc w:val="center"/>
      <w:outlineLvl w:val="0"/>
    </w:pPr>
    <w:rPr>
      <w:rFonts w:ascii="Times New Roman" w:eastAsia="Times New Roman" w:hAnsi="Times New Roman"/>
      <w:b/>
      <w:bCs/>
      <w:sz w:val="28"/>
      <w:szCs w:val="24"/>
      <w:lang w:val="en-US"/>
    </w:rPr>
  </w:style>
  <w:style w:type="paragraph" w:styleId="Heading2">
    <w:name w:val="heading 2"/>
    <w:basedOn w:val="Normal"/>
    <w:next w:val="Normal"/>
    <w:link w:val="Heading2Char"/>
    <w:qFormat/>
    <w:rsid w:val="0037645E"/>
    <w:pPr>
      <w:keepNext/>
      <w:spacing w:after="0" w:line="240" w:lineRule="auto"/>
      <w:jc w:val="center"/>
      <w:outlineLvl w:val="1"/>
    </w:pPr>
    <w:rPr>
      <w:rFonts w:ascii="Times New Roman" w:eastAsia="Times New Roman" w:hAnsi="Times New Roman"/>
      <w:b/>
      <w:bCs/>
      <w:sz w:val="24"/>
      <w:szCs w:val="24"/>
      <w:lang w:val="en-US"/>
    </w:rPr>
  </w:style>
  <w:style w:type="paragraph" w:styleId="Heading3">
    <w:name w:val="heading 3"/>
    <w:basedOn w:val="Normal"/>
    <w:next w:val="Normal"/>
    <w:link w:val="Heading3Char"/>
    <w:uiPriority w:val="9"/>
    <w:unhideWhenUsed/>
    <w:qFormat/>
    <w:rsid w:val="0037645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37645E"/>
    <w:pPr>
      <w:keepNext/>
      <w:spacing w:before="240" w:after="60"/>
      <w:outlineLvl w:val="3"/>
    </w:pPr>
    <w:rPr>
      <w:rFonts w:ascii="Times New Roman" w:eastAsia="Times New Roman" w:hAnsi="Times New Roman"/>
      <w:bCs/>
      <w:i/>
      <w:sz w:val="24"/>
      <w:szCs w:val="28"/>
    </w:rPr>
  </w:style>
  <w:style w:type="paragraph" w:styleId="Heading5">
    <w:name w:val="heading 5"/>
    <w:basedOn w:val="Normal"/>
    <w:next w:val="Normal"/>
    <w:link w:val="Heading5Char"/>
    <w:qFormat/>
    <w:rsid w:val="0037645E"/>
    <w:pPr>
      <w:keepNext/>
      <w:spacing w:after="0" w:line="240" w:lineRule="auto"/>
      <w:outlineLvl w:val="4"/>
    </w:pPr>
    <w:rPr>
      <w:rFonts w:ascii="Book Antiqua" w:eastAsia="Times New Roman" w:hAnsi="Book Antiqua"/>
      <w:i/>
      <w:sz w:val="20"/>
      <w:szCs w:val="1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6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45E"/>
    <w:rPr>
      <w:rFonts w:ascii="Calibri" w:eastAsia="Calibri" w:hAnsi="Calibri" w:cs="Times New Roman"/>
      <w:lang w:val="en-GB"/>
    </w:rPr>
  </w:style>
  <w:style w:type="character" w:customStyle="1" w:styleId="Heading1Char">
    <w:name w:val="Heading 1 Char"/>
    <w:basedOn w:val="DefaultParagraphFont"/>
    <w:link w:val="Heading1"/>
    <w:uiPriority w:val="9"/>
    <w:rsid w:val="0037645E"/>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37645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37645E"/>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rsid w:val="0037645E"/>
    <w:rPr>
      <w:rFonts w:ascii="Times New Roman" w:eastAsia="Times New Roman" w:hAnsi="Times New Roman" w:cs="Times New Roman"/>
      <w:bCs/>
      <w:i/>
      <w:sz w:val="24"/>
      <w:szCs w:val="28"/>
      <w:lang w:val="en-GB"/>
    </w:rPr>
  </w:style>
  <w:style w:type="character" w:customStyle="1" w:styleId="Heading5Char">
    <w:name w:val="Heading 5 Char"/>
    <w:basedOn w:val="DefaultParagraphFont"/>
    <w:link w:val="Heading5"/>
    <w:rsid w:val="0037645E"/>
    <w:rPr>
      <w:rFonts w:ascii="Book Antiqua" w:eastAsia="Times New Roman" w:hAnsi="Book Antiqua" w:cs="Times New Roman"/>
      <w:i/>
      <w:sz w:val="20"/>
      <w:szCs w:val="16"/>
      <w:lang w:val="en-GB" w:eastAsia="nl-NL"/>
    </w:rPr>
  </w:style>
  <w:style w:type="paragraph" w:styleId="ListParagraph">
    <w:name w:val="List Paragraph"/>
    <w:aliases w:val="List Paragraph (numbered (a)),List Paragraph1,WB Para,Bullets,references,List Bullet Mary,Table/Figure Heading,Citation List,Normal bullet 2,Paragraph,Bullet Points,Liste Paragraf,Grey Bullet List,Grey Bullet Style,List Item,Table bullet"/>
    <w:basedOn w:val="Normal"/>
    <w:link w:val="ListParagraphChar"/>
    <w:uiPriority w:val="34"/>
    <w:qFormat/>
    <w:rsid w:val="0037645E"/>
    <w:pPr>
      <w:ind w:left="720"/>
      <w:contextualSpacing/>
    </w:pPr>
  </w:style>
  <w:style w:type="character" w:customStyle="1" w:styleId="ListParagraphChar">
    <w:name w:val="List Paragraph Char"/>
    <w:aliases w:val="List Paragraph (numbered (a)) Char,List Paragraph1 Char,WB Para Char,Bullets Char,references Char,List Bullet Mary Char,Table/Figure Heading Char,Citation List Char,Normal bullet 2 Char,Paragraph Char,Bullet Points Char"/>
    <w:basedOn w:val="DefaultParagraphFont"/>
    <w:link w:val="ListParagraph"/>
    <w:uiPriority w:val="34"/>
    <w:qFormat/>
    <w:rsid w:val="0037645E"/>
    <w:rPr>
      <w:rFonts w:ascii="Calibri" w:eastAsia="Calibri" w:hAnsi="Calibri" w:cs="Times New Roman"/>
      <w:lang w:val="en-GB"/>
    </w:rPr>
  </w:style>
  <w:style w:type="paragraph" w:styleId="BalloonText">
    <w:name w:val="Balloon Text"/>
    <w:basedOn w:val="Normal"/>
    <w:link w:val="BalloonTextChar"/>
    <w:uiPriority w:val="99"/>
    <w:semiHidden/>
    <w:unhideWhenUsed/>
    <w:rsid w:val="0037645E"/>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37645E"/>
    <w:rPr>
      <w:rFonts w:ascii="Tahoma" w:eastAsia="Calibri" w:hAnsi="Tahoma" w:cs="Times New Roman"/>
      <w:sz w:val="16"/>
      <w:szCs w:val="16"/>
      <w:lang w:val="en-GB"/>
    </w:rPr>
  </w:style>
  <w:style w:type="paragraph" w:styleId="Header">
    <w:name w:val="header"/>
    <w:basedOn w:val="Normal"/>
    <w:link w:val="HeaderChar"/>
    <w:uiPriority w:val="99"/>
    <w:unhideWhenUsed/>
    <w:rsid w:val="00376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45E"/>
    <w:rPr>
      <w:rFonts w:ascii="Calibri" w:eastAsia="Calibri" w:hAnsi="Calibri" w:cs="Times New Roman"/>
      <w:lang w:val="en-GB"/>
    </w:rPr>
  </w:style>
  <w:style w:type="character" w:styleId="PlaceholderText">
    <w:name w:val="Placeholder Text"/>
    <w:uiPriority w:val="99"/>
    <w:semiHidden/>
    <w:rsid w:val="0037645E"/>
    <w:rPr>
      <w:color w:val="808080"/>
    </w:rPr>
  </w:style>
  <w:style w:type="paragraph" w:styleId="FootnoteText">
    <w:name w:val="footnote text"/>
    <w:basedOn w:val="Normal"/>
    <w:link w:val="FootnoteTextChar"/>
    <w:uiPriority w:val="99"/>
    <w:unhideWhenUsed/>
    <w:rsid w:val="0037645E"/>
    <w:pPr>
      <w:spacing w:after="0" w:line="240" w:lineRule="auto"/>
    </w:pPr>
    <w:rPr>
      <w:sz w:val="20"/>
      <w:szCs w:val="20"/>
    </w:rPr>
  </w:style>
  <w:style w:type="character" w:customStyle="1" w:styleId="FootnoteTextChar">
    <w:name w:val="Footnote Text Char"/>
    <w:basedOn w:val="DefaultParagraphFont"/>
    <w:link w:val="FootnoteText"/>
    <w:uiPriority w:val="99"/>
    <w:rsid w:val="0037645E"/>
    <w:rPr>
      <w:rFonts w:ascii="Calibri" w:eastAsia="Calibri" w:hAnsi="Calibri" w:cs="Times New Roman"/>
      <w:sz w:val="20"/>
      <w:szCs w:val="20"/>
      <w:lang w:val="en-GB"/>
    </w:rPr>
  </w:style>
  <w:style w:type="character" w:styleId="FootnoteReference">
    <w:name w:val="footnote reference"/>
    <w:uiPriority w:val="99"/>
    <w:unhideWhenUsed/>
    <w:rsid w:val="0037645E"/>
    <w:rPr>
      <w:vertAlign w:val="superscript"/>
    </w:rPr>
  </w:style>
  <w:style w:type="character" w:styleId="Hyperlink">
    <w:name w:val="Hyperlink"/>
    <w:uiPriority w:val="99"/>
    <w:unhideWhenUsed/>
    <w:rsid w:val="0037645E"/>
    <w:rPr>
      <w:color w:val="0000FF"/>
      <w:u w:val="single"/>
    </w:rPr>
  </w:style>
  <w:style w:type="table" w:styleId="TableGrid">
    <w:name w:val="Table Grid"/>
    <w:basedOn w:val="TableNormal"/>
    <w:uiPriority w:val="59"/>
    <w:rsid w:val="003764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37645E"/>
    <w:pPr>
      <w:spacing w:after="0" w:line="240" w:lineRule="auto"/>
      <w:jc w:val="center"/>
    </w:pPr>
    <w:rPr>
      <w:rFonts w:ascii="Times New Roman" w:eastAsia="Times New Roman" w:hAnsi="Times New Roman"/>
      <w:b/>
      <w:bCs/>
      <w:sz w:val="36"/>
      <w:szCs w:val="24"/>
      <w:lang w:val="en-US"/>
    </w:rPr>
  </w:style>
  <w:style w:type="paragraph" w:styleId="NormalWeb">
    <w:name w:val="Normal (Web)"/>
    <w:basedOn w:val="Normal"/>
    <w:uiPriority w:val="99"/>
    <w:unhideWhenUsed/>
    <w:rsid w:val="0037645E"/>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37645E"/>
    <w:pPr>
      <w:spacing w:after="0" w:line="240" w:lineRule="auto"/>
    </w:pPr>
    <w:rPr>
      <w:rFonts w:ascii="Calibri" w:eastAsia="Calibri" w:hAnsi="Calibri" w:cs="Times New Roman"/>
      <w:lang w:val="en-GB"/>
    </w:rPr>
  </w:style>
  <w:style w:type="paragraph" w:customStyle="1" w:styleId="texte">
    <w:name w:val="texte"/>
    <w:basedOn w:val="Normal"/>
    <w:rsid w:val="0037645E"/>
    <w:pPr>
      <w:spacing w:before="100" w:beforeAutospacing="1" w:after="100" w:afterAutospacing="1" w:line="240" w:lineRule="auto"/>
    </w:pPr>
    <w:rPr>
      <w:rFonts w:ascii="Times New Roman" w:eastAsia="Times New Roman" w:hAnsi="Times New Roman"/>
      <w:sz w:val="24"/>
      <w:szCs w:val="24"/>
      <w:lang w:val="en-US"/>
    </w:rPr>
  </w:style>
  <w:style w:type="paragraph" w:styleId="TOC3">
    <w:name w:val="toc 3"/>
    <w:basedOn w:val="Normal"/>
    <w:next w:val="Normal"/>
    <w:autoRedefine/>
    <w:uiPriority w:val="39"/>
    <w:unhideWhenUsed/>
    <w:qFormat/>
    <w:rsid w:val="008A58E6"/>
    <w:pPr>
      <w:tabs>
        <w:tab w:val="left" w:pos="180"/>
        <w:tab w:val="left" w:pos="360"/>
        <w:tab w:val="right" w:leader="dot" w:pos="8790"/>
      </w:tabs>
      <w:spacing w:after="0" w:line="240" w:lineRule="auto"/>
      <w:ind w:left="360"/>
      <w:jc w:val="both"/>
    </w:pPr>
    <w:rPr>
      <w:rFonts w:ascii="Times New Roman" w:eastAsia="Times New Roman" w:hAnsi="Times New Roman"/>
      <w:noProof/>
      <w:sz w:val="24"/>
      <w:szCs w:val="24"/>
      <w:lang w:val="en-US"/>
    </w:rPr>
  </w:style>
  <w:style w:type="character" w:customStyle="1" w:styleId="st1">
    <w:name w:val="st1"/>
    <w:basedOn w:val="DefaultParagraphFont"/>
    <w:rsid w:val="0037645E"/>
  </w:style>
  <w:style w:type="character" w:styleId="Strong">
    <w:name w:val="Strong"/>
    <w:uiPriority w:val="22"/>
    <w:qFormat/>
    <w:rsid w:val="0037645E"/>
    <w:rPr>
      <w:b/>
      <w:bCs/>
    </w:rPr>
  </w:style>
  <w:style w:type="character" w:styleId="FollowedHyperlink">
    <w:name w:val="FollowedHyperlink"/>
    <w:rsid w:val="0037645E"/>
    <w:rPr>
      <w:color w:val="800080"/>
      <w:u w:val="single"/>
    </w:rPr>
  </w:style>
  <w:style w:type="paragraph" w:styleId="TOC1">
    <w:name w:val="toc 1"/>
    <w:basedOn w:val="Normal"/>
    <w:next w:val="Normal"/>
    <w:autoRedefine/>
    <w:uiPriority w:val="39"/>
    <w:unhideWhenUsed/>
    <w:qFormat/>
    <w:rsid w:val="00233604"/>
    <w:pPr>
      <w:tabs>
        <w:tab w:val="left" w:pos="220"/>
        <w:tab w:val="right" w:leader="dot" w:pos="8820"/>
      </w:tabs>
      <w:spacing w:after="0" w:line="240" w:lineRule="auto"/>
      <w:ind w:left="360" w:hanging="360"/>
    </w:pPr>
    <w:rPr>
      <w:rFonts w:ascii="Times New Roman" w:hAnsi="Times New Roman"/>
      <w:bCs/>
      <w:smallCaps/>
      <w:noProof/>
      <w:sz w:val="24"/>
      <w:szCs w:val="24"/>
      <w:lang w:val="en-US"/>
    </w:rPr>
  </w:style>
  <w:style w:type="paragraph" w:styleId="TOC2">
    <w:name w:val="toc 2"/>
    <w:basedOn w:val="Normal"/>
    <w:next w:val="Normal"/>
    <w:autoRedefine/>
    <w:uiPriority w:val="39"/>
    <w:unhideWhenUsed/>
    <w:qFormat/>
    <w:rsid w:val="00931FE3"/>
    <w:pPr>
      <w:tabs>
        <w:tab w:val="left" w:pos="540"/>
        <w:tab w:val="right" w:leader="dot" w:pos="8820"/>
      </w:tabs>
      <w:spacing w:after="0" w:line="360" w:lineRule="auto"/>
      <w:ind w:left="360" w:hanging="360"/>
    </w:pPr>
    <w:rPr>
      <w:rFonts w:ascii="Times New Roman" w:hAnsi="Times New Roman"/>
      <w:b/>
      <w:smallCaps/>
      <w:noProof/>
      <w:color w:val="000000"/>
      <w:sz w:val="24"/>
      <w:szCs w:val="24"/>
      <w:lang w:val="en-US"/>
    </w:rPr>
  </w:style>
  <w:style w:type="paragraph" w:styleId="BodyTextIndent2">
    <w:name w:val="Body Text Indent 2"/>
    <w:basedOn w:val="Normal"/>
    <w:link w:val="BodyTextIndent2Char"/>
    <w:rsid w:val="0037645E"/>
    <w:pPr>
      <w:spacing w:after="0" w:line="240" w:lineRule="auto"/>
      <w:ind w:left="126" w:hanging="126"/>
    </w:pPr>
    <w:rPr>
      <w:rFonts w:ascii="Book Antiqua" w:eastAsia="Times New Roman" w:hAnsi="Book Antiqua"/>
      <w:sz w:val="20"/>
      <w:szCs w:val="16"/>
      <w:lang w:eastAsia="nl-NL"/>
    </w:rPr>
  </w:style>
  <w:style w:type="character" w:customStyle="1" w:styleId="BodyTextIndent2Char">
    <w:name w:val="Body Text Indent 2 Char"/>
    <w:basedOn w:val="DefaultParagraphFont"/>
    <w:link w:val="BodyTextIndent2"/>
    <w:rsid w:val="0037645E"/>
    <w:rPr>
      <w:rFonts w:ascii="Book Antiqua" w:eastAsia="Times New Roman" w:hAnsi="Book Antiqua" w:cs="Times New Roman"/>
      <w:sz w:val="20"/>
      <w:szCs w:val="16"/>
      <w:lang w:val="en-GB" w:eastAsia="nl-NL"/>
    </w:rPr>
  </w:style>
  <w:style w:type="paragraph" w:styleId="BodyText2">
    <w:name w:val="Body Text 2"/>
    <w:basedOn w:val="Normal"/>
    <w:link w:val="BodyText2Char"/>
    <w:rsid w:val="0037645E"/>
    <w:pPr>
      <w:spacing w:after="0" w:line="240" w:lineRule="auto"/>
    </w:pPr>
    <w:rPr>
      <w:rFonts w:ascii="Book Antiqua" w:eastAsia="Times New Roman" w:hAnsi="Book Antiqua"/>
      <w:b/>
      <w:sz w:val="24"/>
      <w:szCs w:val="24"/>
      <w:lang w:val="nl-NL" w:eastAsia="nl-NL"/>
    </w:rPr>
  </w:style>
  <w:style w:type="character" w:customStyle="1" w:styleId="BodyText2Char">
    <w:name w:val="Body Text 2 Char"/>
    <w:basedOn w:val="DefaultParagraphFont"/>
    <w:link w:val="BodyText2"/>
    <w:rsid w:val="0037645E"/>
    <w:rPr>
      <w:rFonts w:ascii="Book Antiqua" w:eastAsia="Times New Roman" w:hAnsi="Book Antiqua" w:cs="Times New Roman"/>
      <w:b/>
      <w:sz w:val="24"/>
      <w:szCs w:val="24"/>
      <w:lang w:val="nl-NL" w:eastAsia="nl-NL"/>
    </w:rPr>
  </w:style>
  <w:style w:type="paragraph" w:styleId="BodyText">
    <w:name w:val="Body Text"/>
    <w:basedOn w:val="Normal"/>
    <w:link w:val="BodyTextChar"/>
    <w:rsid w:val="0037645E"/>
    <w:pPr>
      <w:spacing w:after="0" w:line="240" w:lineRule="auto"/>
      <w:jc w:val="center"/>
    </w:pPr>
    <w:rPr>
      <w:rFonts w:ascii="Book Antiqua" w:eastAsia="Times New Roman" w:hAnsi="Book Antiqua"/>
      <w:sz w:val="20"/>
      <w:szCs w:val="16"/>
      <w:lang w:val="nl-NL" w:eastAsia="nl-NL"/>
    </w:rPr>
  </w:style>
  <w:style w:type="character" w:customStyle="1" w:styleId="BodyTextChar">
    <w:name w:val="Body Text Char"/>
    <w:basedOn w:val="DefaultParagraphFont"/>
    <w:link w:val="BodyText"/>
    <w:rsid w:val="0037645E"/>
    <w:rPr>
      <w:rFonts w:ascii="Book Antiqua" w:eastAsia="Times New Roman" w:hAnsi="Book Antiqua" w:cs="Times New Roman"/>
      <w:sz w:val="20"/>
      <w:szCs w:val="16"/>
      <w:lang w:val="nl-NL" w:eastAsia="nl-NL"/>
    </w:rPr>
  </w:style>
  <w:style w:type="paragraph" w:customStyle="1" w:styleId="figure">
    <w:name w:val="figure"/>
    <w:basedOn w:val="PlainText"/>
    <w:next w:val="BodyText3"/>
    <w:link w:val="figureChar"/>
    <w:qFormat/>
    <w:rsid w:val="0037645E"/>
    <w:pPr>
      <w:spacing w:after="0" w:line="360" w:lineRule="auto"/>
      <w:jc w:val="both"/>
    </w:pPr>
    <w:rPr>
      <w:rFonts w:ascii="Times New Roman" w:hAnsi="Times New Roman"/>
      <w:sz w:val="24"/>
      <w:szCs w:val="24"/>
    </w:rPr>
  </w:style>
  <w:style w:type="paragraph" w:styleId="PlainText">
    <w:name w:val="Plain Text"/>
    <w:basedOn w:val="Normal"/>
    <w:link w:val="PlainTextChar"/>
    <w:uiPriority w:val="99"/>
    <w:semiHidden/>
    <w:unhideWhenUsed/>
    <w:rsid w:val="0037645E"/>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37645E"/>
    <w:rPr>
      <w:rFonts w:ascii="Courier New" w:eastAsia="Calibri" w:hAnsi="Courier New" w:cs="Courier New"/>
      <w:sz w:val="20"/>
      <w:szCs w:val="20"/>
      <w:lang w:val="en-GB"/>
    </w:rPr>
  </w:style>
  <w:style w:type="paragraph" w:styleId="BodyText3">
    <w:name w:val="Body Text 3"/>
    <w:basedOn w:val="Normal"/>
    <w:link w:val="BodyText3Char"/>
    <w:uiPriority w:val="99"/>
    <w:unhideWhenUsed/>
    <w:rsid w:val="0037645E"/>
    <w:pPr>
      <w:spacing w:after="120"/>
    </w:pPr>
    <w:rPr>
      <w:sz w:val="16"/>
      <w:szCs w:val="16"/>
    </w:rPr>
  </w:style>
  <w:style w:type="character" w:customStyle="1" w:styleId="BodyText3Char">
    <w:name w:val="Body Text 3 Char"/>
    <w:basedOn w:val="DefaultParagraphFont"/>
    <w:link w:val="BodyText3"/>
    <w:uiPriority w:val="99"/>
    <w:rsid w:val="0037645E"/>
    <w:rPr>
      <w:rFonts w:ascii="Calibri" w:eastAsia="Calibri" w:hAnsi="Calibri" w:cs="Times New Roman"/>
      <w:sz w:val="16"/>
      <w:szCs w:val="16"/>
      <w:lang w:val="en-GB"/>
    </w:rPr>
  </w:style>
  <w:style w:type="character" w:customStyle="1" w:styleId="figureChar">
    <w:name w:val="figure Char"/>
    <w:basedOn w:val="PlainTextChar"/>
    <w:link w:val="figure"/>
    <w:rsid w:val="0037645E"/>
    <w:rPr>
      <w:rFonts w:ascii="Times New Roman" w:eastAsia="Calibri" w:hAnsi="Times New Roman" w:cs="Courier New"/>
      <w:sz w:val="24"/>
      <w:szCs w:val="24"/>
      <w:lang w:val="en-GB"/>
    </w:rPr>
  </w:style>
  <w:style w:type="character" w:customStyle="1" w:styleId="TableofFiguresChar">
    <w:name w:val="Table of Figures Char"/>
    <w:basedOn w:val="figureChar"/>
    <w:link w:val="TableofFigures"/>
    <w:uiPriority w:val="99"/>
    <w:rsid w:val="0037645E"/>
    <w:rPr>
      <w:rFonts w:ascii="Times New Roman" w:eastAsia="Calibri" w:hAnsi="Times New Roman" w:cs="Courier New"/>
      <w:sz w:val="24"/>
      <w:szCs w:val="24"/>
      <w:lang w:val="en-GB"/>
    </w:rPr>
  </w:style>
  <w:style w:type="paragraph" w:styleId="TableofFigures">
    <w:name w:val="table of figures"/>
    <w:basedOn w:val="Table"/>
    <w:next w:val="Style2"/>
    <w:link w:val="TableofFiguresChar"/>
    <w:autoRedefine/>
    <w:uiPriority w:val="99"/>
    <w:unhideWhenUsed/>
    <w:rsid w:val="0037645E"/>
    <w:rPr>
      <w:rFonts w:cs="Courier New"/>
      <w:b w:val="0"/>
      <w:bCs w:val="0"/>
      <w:iCs w:val="0"/>
      <w:spacing w:val="0"/>
      <w:position w:val="0"/>
    </w:rPr>
  </w:style>
  <w:style w:type="paragraph" w:customStyle="1" w:styleId="Table">
    <w:name w:val="Table"/>
    <w:basedOn w:val="Normal"/>
    <w:link w:val="TableChar"/>
    <w:qFormat/>
    <w:rsid w:val="0037645E"/>
    <w:pPr>
      <w:widowControl w:val="0"/>
      <w:autoSpaceDE w:val="0"/>
      <w:autoSpaceDN w:val="0"/>
      <w:adjustRightInd w:val="0"/>
      <w:spacing w:after="0" w:line="360" w:lineRule="auto"/>
      <w:jc w:val="both"/>
    </w:pPr>
    <w:rPr>
      <w:rFonts w:ascii="Times New Roman" w:hAnsi="Times New Roman"/>
      <w:b/>
      <w:bCs/>
      <w:iCs/>
      <w:spacing w:val="-3"/>
      <w:position w:val="-1"/>
      <w:sz w:val="24"/>
      <w:szCs w:val="24"/>
    </w:rPr>
  </w:style>
  <w:style w:type="character" w:customStyle="1" w:styleId="TableChar">
    <w:name w:val="Table Char"/>
    <w:basedOn w:val="DefaultParagraphFont"/>
    <w:link w:val="Table"/>
    <w:rsid w:val="0037645E"/>
    <w:rPr>
      <w:rFonts w:ascii="Times New Roman" w:eastAsia="Calibri" w:hAnsi="Times New Roman" w:cs="Times New Roman"/>
      <w:b/>
      <w:bCs/>
      <w:iCs/>
      <w:spacing w:val="-3"/>
      <w:position w:val="-1"/>
      <w:sz w:val="24"/>
      <w:szCs w:val="24"/>
      <w:lang w:val="en-GB"/>
    </w:rPr>
  </w:style>
  <w:style w:type="paragraph" w:customStyle="1" w:styleId="Style2">
    <w:name w:val="Style2"/>
    <w:basedOn w:val="Table"/>
    <w:link w:val="Style2Char"/>
    <w:qFormat/>
    <w:rsid w:val="0037645E"/>
  </w:style>
  <w:style w:type="character" w:customStyle="1" w:styleId="Style2Char">
    <w:name w:val="Style2 Char"/>
    <w:basedOn w:val="TableChar"/>
    <w:link w:val="Style2"/>
    <w:rsid w:val="0037645E"/>
    <w:rPr>
      <w:rFonts w:ascii="Times New Roman" w:eastAsia="Calibri" w:hAnsi="Times New Roman" w:cs="Times New Roman"/>
      <w:b/>
      <w:bCs/>
      <w:iCs/>
      <w:spacing w:val="-3"/>
      <w:position w:val="-1"/>
      <w:sz w:val="24"/>
      <w:szCs w:val="24"/>
      <w:lang w:val="en-GB"/>
    </w:rPr>
  </w:style>
  <w:style w:type="paragraph" w:customStyle="1" w:styleId="Style1">
    <w:name w:val="Style1"/>
    <w:basedOn w:val="TableofFigures"/>
    <w:qFormat/>
    <w:rsid w:val="0037645E"/>
    <w:rPr>
      <w:lang w:eastAsia="en-GB"/>
    </w:rPr>
  </w:style>
  <w:style w:type="paragraph" w:customStyle="1" w:styleId="Heading31">
    <w:name w:val="Heading 31"/>
    <w:basedOn w:val="Normal"/>
    <w:next w:val="Heading3"/>
    <w:link w:val="heading3Char0"/>
    <w:qFormat/>
    <w:rsid w:val="0037645E"/>
    <w:pPr>
      <w:spacing w:after="0"/>
    </w:pPr>
    <w:rPr>
      <w:rFonts w:ascii="Times New Roman" w:hAnsi="Times New Roman"/>
      <w:b/>
      <w:i/>
      <w:sz w:val="24"/>
      <w:szCs w:val="28"/>
    </w:rPr>
  </w:style>
  <w:style w:type="character" w:customStyle="1" w:styleId="heading3Char0">
    <w:name w:val="heading 3 Char"/>
    <w:basedOn w:val="DefaultParagraphFont"/>
    <w:link w:val="Heading31"/>
    <w:rsid w:val="0037645E"/>
    <w:rPr>
      <w:rFonts w:ascii="Times New Roman" w:eastAsia="Calibri" w:hAnsi="Times New Roman" w:cs="Times New Roman"/>
      <w:b/>
      <w:i/>
      <w:sz w:val="24"/>
      <w:szCs w:val="28"/>
      <w:lang w:val="en-GB"/>
    </w:rPr>
  </w:style>
  <w:style w:type="paragraph" w:customStyle="1" w:styleId="Heading41">
    <w:name w:val="Heading 41"/>
    <w:basedOn w:val="ListParagraph"/>
    <w:link w:val="heading4Char0"/>
    <w:qFormat/>
    <w:rsid w:val="0037645E"/>
    <w:pPr>
      <w:spacing w:after="0" w:line="360" w:lineRule="auto"/>
      <w:ind w:left="360" w:hanging="360"/>
    </w:pPr>
    <w:rPr>
      <w:rFonts w:ascii="Times New Roman" w:hAnsi="Times New Roman"/>
      <w:i/>
      <w:sz w:val="24"/>
      <w:szCs w:val="24"/>
    </w:rPr>
  </w:style>
  <w:style w:type="character" w:customStyle="1" w:styleId="heading4Char0">
    <w:name w:val="heading 4 Char"/>
    <w:basedOn w:val="ListParagraphChar"/>
    <w:link w:val="Heading41"/>
    <w:rsid w:val="0037645E"/>
    <w:rPr>
      <w:rFonts w:ascii="Times New Roman" w:eastAsia="Calibri" w:hAnsi="Times New Roman" w:cs="Times New Roman"/>
      <w:i/>
      <w:sz w:val="24"/>
      <w:szCs w:val="24"/>
      <w:lang w:val="en-GB"/>
    </w:rPr>
  </w:style>
  <w:style w:type="paragraph" w:styleId="TOC7">
    <w:name w:val="toc 7"/>
    <w:basedOn w:val="Normal"/>
    <w:next w:val="Normal"/>
    <w:autoRedefine/>
    <w:uiPriority w:val="39"/>
    <w:unhideWhenUsed/>
    <w:rsid w:val="0037645E"/>
    <w:pPr>
      <w:ind w:left="1320"/>
    </w:pPr>
    <w:rPr>
      <w:rFonts w:ascii="Times New Roman" w:hAnsi="Times New Roman"/>
      <w:sz w:val="24"/>
      <w:szCs w:val="24"/>
    </w:rPr>
  </w:style>
  <w:style w:type="paragraph" w:styleId="TOC4">
    <w:name w:val="toc 4"/>
    <w:basedOn w:val="Normal"/>
    <w:next w:val="Normal"/>
    <w:autoRedefine/>
    <w:uiPriority w:val="39"/>
    <w:unhideWhenUsed/>
    <w:rsid w:val="0037645E"/>
    <w:pPr>
      <w:ind w:left="660"/>
    </w:pPr>
    <w:rPr>
      <w:rFonts w:ascii="Times New Roman" w:hAnsi="Times New Roman"/>
      <w:i/>
      <w:sz w:val="24"/>
      <w:szCs w:val="24"/>
    </w:rPr>
  </w:style>
  <w:style w:type="paragraph" w:styleId="Bibliography">
    <w:name w:val="Bibliography"/>
    <w:basedOn w:val="Normal"/>
    <w:next w:val="Normal"/>
    <w:uiPriority w:val="37"/>
    <w:unhideWhenUsed/>
    <w:rsid w:val="0037645E"/>
    <w:rPr>
      <w:sz w:val="24"/>
      <w:szCs w:val="24"/>
    </w:rPr>
  </w:style>
  <w:style w:type="character" w:customStyle="1" w:styleId="itemtitle">
    <w:name w:val="item_title"/>
    <w:basedOn w:val="DefaultParagraphFont"/>
    <w:rsid w:val="0037645E"/>
  </w:style>
  <w:style w:type="character" w:styleId="Emphasis">
    <w:name w:val="Emphasis"/>
    <w:basedOn w:val="DefaultParagraphFont"/>
    <w:uiPriority w:val="20"/>
    <w:qFormat/>
    <w:rsid w:val="0037645E"/>
    <w:rPr>
      <w:i/>
      <w:iCs/>
    </w:rPr>
  </w:style>
  <w:style w:type="character" w:customStyle="1" w:styleId="A3">
    <w:name w:val="A3"/>
    <w:uiPriority w:val="99"/>
    <w:rsid w:val="0037645E"/>
    <w:rPr>
      <w:color w:val="000000"/>
    </w:rPr>
  </w:style>
  <w:style w:type="paragraph" w:customStyle="1" w:styleId="Pa8">
    <w:name w:val="Pa8"/>
    <w:basedOn w:val="Normal"/>
    <w:next w:val="Normal"/>
    <w:uiPriority w:val="99"/>
    <w:rsid w:val="0037645E"/>
    <w:pPr>
      <w:autoSpaceDE w:val="0"/>
      <w:autoSpaceDN w:val="0"/>
      <w:adjustRightInd w:val="0"/>
      <w:spacing w:after="0" w:line="281" w:lineRule="atLeast"/>
      <w:jc w:val="both"/>
    </w:pPr>
    <w:rPr>
      <w:rFonts w:ascii="Lucida Sans" w:eastAsia="Malgun Gothic" w:hAnsi="Lucida Sans"/>
      <w:sz w:val="24"/>
      <w:szCs w:val="24"/>
      <w:lang w:val="en-US"/>
    </w:rPr>
  </w:style>
  <w:style w:type="paragraph" w:customStyle="1" w:styleId="Pa3">
    <w:name w:val="Pa3"/>
    <w:basedOn w:val="Normal"/>
    <w:next w:val="Normal"/>
    <w:uiPriority w:val="99"/>
    <w:rsid w:val="0037645E"/>
    <w:pPr>
      <w:autoSpaceDE w:val="0"/>
      <w:autoSpaceDN w:val="0"/>
      <w:adjustRightInd w:val="0"/>
      <w:spacing w:after="0" w:line="241" w:lineRule="atLeast"/>
      <w:jc w:val="both"/>
    </w:pPr>
    <w:rPr>
      <w:rFonts w:ascii="Lucida Sans" w:eastAsia="Malgun Gothic" w:hAnsi="Lucida Sans"/>
      <w:sz w:val="24"/>
      <w:szCs w:val="24"/>
      <w:lang w:val="en-US"/>
    </w:rPr>
  </w:style>
  <w:style w:type="character" w:customStyle="1" w:styleId="A2">
    <w:name w:val="A2"/>
    <w:uiPriority w:val="99"/>
    <w:rsid w:val="0037645E"/>
    <w:rPr>
      <w:rFonts w:cs="Lucida Sans"/>
      <w:b/>
      <w:bCs/>
      <w:color w:val="000000"/>
      <w:sz w:val="26"/>
      <w:szCs w:val="26"/>
    </w:rPr>
  </w:style>
  <w:style w:type="character" w:customStyle="1" w:styleId="A6">
    <w:name w:val="A6"/>
    <w:uiPriority w:val="99"/>
    <w:rsid w:val="0037645E"/>
    <w:rPr>
      <w:rFonts w:ascii="Symbol" w:hAnsi="Symbol" w:cs="Symbol"/>
      <w:color w:val="000000"/>
      <w:sz w:val="20"/>
      <w:szCs w:val="20"/>
    </w:rPr>
  </w:style>
  <w:style w:type="paragraph" w:customStyle="1" w:styleId="msolistparagraph0">
    <w:name w:val="msolistparagraph"/>
    <w:basedOn w:val="Normal"/>
    <w:rsid w:val="0037645E"/>
    <w:pPr>
      <w:ind w:left="720"/>
      <w:contextualSpacing/>
      <w:jc w:val="both"/>
    </w:pPr>
    <w:rPr>
      <w:sz w:val="24"/>
      <w:szCs w:val="24"/>
      <w:lang w:val="en-US"/>
    </w:rPr>
  </w:style>
  <w:style w:type="paragraph" w:customStyle="1" w:styleId="Default">
    <w:name w:val="Default"/>
    <w:rsid w:val="0037645E"/>
    <w:pPr>
      <w:autoSpaceDE w:val="0"/>
      <w:autoSpaceDN w:val="0"/>
      <w:adjustRightInd w:val="0"/>
      <w:spacing w:after="0" w:line="240" w:lineRule="auto"/>
      <w:jc w:val="both"/>
    </w:pPr>
    <w:rPr>
      <w:rFonts w:ascii="Bookman Old Style" w:eastAsia="Times New Roman" w:hAnsi="Bookman Old Style" w:cs="Bookman Old Style"/>
      <w:color w:val="000000"/>
      <w:sz w:val="24"/>
      <w:szCs w:val="24"/>
    </w:rPr>
  </w:style>
  <w:style w:type="paragraph" w:styleId="ListBullet">
    <w:name w:val="List Bullet"/>
    <w:basedOn w:val="Normal"/>
    <w:uiPriority w:val="99"/>
    <w:unhideWhenUsed/>
    <w:rsid w:val="0037645E"/>
    <w:pPr>
      <w:tabs>
        <w:tab w:val="num" w:pos="361"/>
      </w:tabs>
      <w:ind w:leftChars="200" w:left="361" w:hangingChars="200" w:hanging="360"/>
      <w:contextualSpacing/>
      <w:jc w:val="both"/>
    </w:pPr>
    <w:rPr>
      <w:sz w:val="24"/>
      <w:szCs w:val="24"/>
    </w:rPr>
  </w:style>
  <w:style w:type="paragraph" w:styleId="TOC5">
    <w:name w:val="toc 5"/>
    <w:basedOn w:val="Normal"/>
    <w:next w:val="Normal"/>
    <w:autoRedefine/>
    <w:uiPriority w:val="39"/>
    <w:unhideWhenUsed/>
    <w:rsid w:val="0037645E"/>
    <w:pPr>
      <w:widowControl w:val="0"/>
      <w:wordWrap w:val="0"/>
      <w:autoSpaceDE w:val="0"/>
      <w:autoSpaceDN w:val="0"/>
      <w:spacing w:after="0" w:line="240" w:lineRule="auto"/>
      <w:ind w:leftChars="800" w:left="1700"/>
      <w:jc w:val="both"/>
    </w:pPr>
    <w:rPr>
      <w:rFonts w:eastAsia="Times New Roman"/>
      <w:kern w:val="2"/>
      <w:sz w:val="20"/>
      <w:szCs w:val="24"/>
      <w:lang w:val="en-US" w:eastAsia="ko-KR"/>
    </w:rPr>
  </w:style>
  <w:style w:type="paragraph" w:styleId="TOC6">
    <w:name w:val="toc 6"/>
    <w:basedOn w:val="Normal"/>
    <w:next w:val="Normal"/>
    <w:autoRedefine/>
    <w:uiPriority w:val="39"/>
    <w:unhideWhenUsed/>
    <w:rsid w:val="0037645E"/>
    <w:pPr>
      <w:widowControl w:val="0"/>
      <w:wordWrap w:val="0"/>
      <w:autoSpaceDE w:val="0"/>
      <w:autoSpaceDN w:val="0"/>
      <w:spacing w:after="0" w:line="240" w:lineRule="auto"/>
      <w:ind w:leftChars="1000" w:left="2125"/>
      <w:jc w:val="both"/>
    </w:pPr>
    <w:rPr>
      <w:rFonts w:eastAsia="Times New Roman"/>
      <w:kern w:val="2"/>
      <w:sz w:val="20"/>
      <w:szCs w:val="24"/>
      <w:lang w:val="en-US" w:eastAsia="ko-KR"/>
    </w:rPr>
  </w:style>
  <w:style w:type="paragraph" w:styleId="TOC8">
    <w:name w:val="toc 8"/>
    <w:basedOn w:val="Normal"/>
    <w:next w:val="Normal"/>
    <w:autoRedefine/>
    <w:uiPriority w:val="39"/>
    <w:unhideWhenUsed/>
    <w:rsid w:val="0037645E"/>
    <w:pPr>
      <w:widowControl w:val="0"/>
      <w:wordWrap w:val="0"/>
      <w:autoSpaceDE w:val="0"/>
      <w:autoSpaceDN w:val="0"/>
      <w:spacing w:after="0" w:line="240" w:lineRule="auto"/>
      <w:ind w:leftChars="1400" w:left="2975"/>
      <w:jc w:val="both"/>
    </w:pPr>
    <w:rPr>
      <w:rFonts w:eastAsia="Times New Roman"/>
      <w:kern w:val="2"/>
      <w:sz w:val="20"/>
      <w:szCs w:val="24"/>
      <w:lang w:val="en-US" w:eastAsia="ko-KR"/>
    </w:rPr>
  </w:style>
  <w:style w:type="paragraph" w:styleId="TOC9">
    <w:name w:val="toc 9"/>
    <w:basedOn w:val="Normal"/>
    <w:next w:val="Normal"/>
    <w:autoRedefine/>
    <w:uiPriority w:val="39"/>
    <w:unhideWhenUsed/>
    <w:rsid w:val="0037645E"/>
    <w:pPr>
      <w:widowControl w:val="0"/>
      <w:wordWrap w:val="0"/>
      <w:autoSpaceDE w:val="0"/>
      <w:autoSpaceDN w:val="0"/>
      <w:spacing w:after="0" w:line="240" w:lineRule="auto"/>
      <w:ind w:leftChars="1600" w:left="3400"/>
      <w:jc w:val="both"/>
    </w:pPr>
    <w:rPr>
      <w:rFonts w:eastAsia="Times New Roman"/>
      <w:kern w:val="2"/>
      <w:sz w:val="20"/>
      <w:szCs w:val="24"/>
      <w:lang w:val="en-US" w:eastAsia="ko-KR"/>
    </w:rPr>
  </w:style>
  <w:style w:type="character" w:customStyle="1" w:styleId="addmd">
    <w:name w:val="addmd"/>
    <w:basedOn w:val="DefaultParagraphFont"/>
    <w:rsid w:val="0037645E"/>
  </w:style>
  <w:style w:type="paragraph" w:customStyle="1" w:styleId="Abstracttext">
    <w:name w:val="Abstract text"/>
    <w:basedOn w:val="Normal"/>
    <w:rsid w:val="0037645E"/>
    <w:pPr>
      <w:spacing w:line="240" w:lineRule="auto"/>
      <w:jc w:val="both"/>
    </w:pPr>
    <w:rPr>
      <w:rFonts w:ascii="Times New Roman" w:eastAsia="Times New Roman" w:hAnsi="Times New Roman"/>
      <w:i/>
      <w:sz w:val="20"/>
      <w:szCs w:val="20"/>
      <w:lang w:val="en-US"/>
    </w:rPr>
  </w:style>
  <w:style w:type="paragraph" w:customStyle="1" w:styleId="NoSpacing1">
    <w:name w:val="No Spacing1"/>
    <w:basedOn w:val="Normal"/>
    <w:uiPriority w:val="1"/>
    <w:qFormat/>
    <w:rsid w:val="0037645E"/>
    <w:pPr>
      <w:spacing w:after="0" w:line="240" w:lineRule="auto"/>
    </w:pPr>
    <w:rPr>
      <w:rFonts w:ascii="Times New Roman" w:eastAsia="Times New Roman" w:hAnsi="Times New Roman"/>
      <w:sz w:val="24"/>
      <w:lang w:val="en-US" w:bidi="en-US"/>
    </w:rPr>
  </w:style>
  <w:style w:type="character" w:customStyle="1" w:styleId="st">
    <w:name w:val="st"/>
    <w:basedOn w:val="DefaultParagraphFont"/>
    <w:rsid w:val="0037645E"/>
  </w:style>
  <w:style w:type="paragraph" w:customStyle="1" w:styleId="svarticle">
    <w:name w:val="svarticle"/>
    <w:basedOn w:val="Normal"/>
    <w:rsid w:val="00841713"/>
    <w:pPr>
      <w:spacing w:before="100" w:beforeAutospacing="1" w:after="100" w:afterAutospacing="1" w:line="240" w:lineRule="auto"/>
    </w:pPr>
    <w:rPr>
      <w:rFonts w:ascii="Times New Roman" w:eastAsia="Times New Roman" w:hAnsi="Times New Roman"/>
      <w:sz w:val="24"/>
      <w:szCs w:val="24"/>
      <w:lang w:val="en-US"/>
    </w:rPr>
  </w:style>
  <w:style w:type="table" w:styleId="MediumShading1-Accent6">
    <w:name w:val="Medium Shading 1 Accent 6"/>
    <w:basedOn w:val="TableNormal"/>
    <w:uiPriority w:val="63"/>
    <w:rsid w:val="00303455"/>
    <w:pPr>
      <w:spacing w:after="0" w:line="240" w:lineRule="auto"/>
    </w:pPr>
    <w:tblPr>
      <w:tblStyleRowBandSize w:val="1"/>
      <w:tblStyleColBandSize w:val="1"/>
      <w:tblInd w:w="0" w:type="dxa"/>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paragraph" w:customStyle="1" w:styleId="wp-caption-text">
    <w:name w:val="wp-caption-text"/>
    <w:basedOn w:val="Normal"/>
    <w:rsid w:val="0069240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MainText">
    <w:name w:val="Main Text"/>
    <w:basedOn w:val="Normal"/>
    <w:rsid w:val="00B315C9"/>
    <w:pPr>
      <w:spacing w:after="120" w:line="240" w:lineRule="auto"/>
      <w:jc w:val="both"/>
    </w:pPr>
    <w:rPr>
      <w:rFonts w:ascii="Arial" w:eastAsia="Times New Roman" w:hAnsi="Arial" w:cs="Arial"/>
    </w:rPr>
  </w:style>
  <w:style w:type="paragraph" w:customStyle="1" w:styleId="21-SciencePG-Figure">
    <w:name w:val="21-SciencePG-Figure"/>
    <w:basedOn w:val="Normal"/>
    <w:qFormat/>
    <w:rsid w:val="00516E72"/>
    <w:pPr>
      <w:widowControl w:val="0"/>
      <w:adjustRightInd w:val="0"/>
      <w:snapToGrid w:val="0"/>
      <w:spacing w:before="200" w:after="100" w:line="240" w:lineRule="auto"/>
      <w:jc w:val="center"/>
    </w:pPr>
    <w:rPr>
      <w:rFonts w:asciiTheme="minorHAnsi" w:eastAsia="Times New Roman" w:hAnsiTheme="minorHAnsi" w:cstheme="minorBidi"/>
      <w:noProof/>
      <w:kern w:val="2"/>
      <w:sz w:val="24"/>
      <w:lang w:val="en-US" w:eastAsia="zh-CN"/>
    </w:rPr>
  </w:style>
  <w:style w:type="paragraph" w:customStyle="1" w:styleId="22-SciencePG-Figure-caption-single-line">
    <w:name w:val="22-SciencePG-Figure-caption-single-line"/>
    <w:basedOn w:val="Normal"/>
    <w:qFormat/>
    <w:rsid w:val="00516E72"/>
    <w:pPr>
      <w:widowControl w:val="0"/>
      <w:adjustRightInd w:val="0"/>
      <w:snapToGrid w:val="0"/>
      <w:spacing w:before="100" w:line="200" w:lineRule="exact"/>
      <w:jc w:val="center"/>
    </w:pPr>
    <w:rPr>
      <w:rFonts w:ascii="Times New Roman" w:eastAsia="Times New Roman" w:hAnsi="Times New Roman"/>
      <w:i/>
      <w:kern w:val="2"/>
      <w:sz w:val="16"/>
      <w:szCs w:val="16"/>
      <w:lang w:val="en-US" w:eastAsia="zh-CN"/>
    </w:rPr>
  </w:style>
  <w:style w:type="paragraph" w:customStyle="1" w:styleId="29-SciencePG-Text-with-Formula">
    <w:name w:val="29-SciencePG-Text-with-Formula"/>
    <w:basedOn w:val="Normal"/>
    <w:qFormat/>
    <w:rsid w:val="00D810F8"/>
    <w:pPr>
      <w:widowControl w:val="0"/>
      <w:adjustRightInd w:val="0"/>
      <w:snapToGrid w:val="0"/>
      <w:spacing w:after="0" w:line="240" w:lineRule="auto"/>
      <w:ind w:firstLineChars="100" w:firstLine="100"/>
      <w:jc w:val="both"/>
    </w:pPr>
    <w:rPr>
      <w:rFonts w:ascii="Times New Roman" w:eastAsia="Times New Roman" w:hAnsi="Times New Roman"/>
      <w:kern w:val="2"/>
      <w:sz w:val="20"/>
      <w:szCs w:val="20"/>
      <w:lang w:val="en-US" w:eastAsia="zh-CN"/>
    </w:rPr>
  </w:style>
  <w:style w:type="paragraph" w:customStyle="1" w:styleId="20-SciencePG-Text">
    <w:name w:val="20-SciencePG-Text"/>
    <w:basedOn w:val="Normal"/>
    <w:qFormat/>
    <w:rsid w:val="00531C12"/>
    <w:pPr>
      <w:widowControl w:val="0"/>
      <w:adjustRightInd w:val="0"/>
      <w:snapToGrid w:val="0"/>
      <w:spacing w:after="0" w:line="240" w:lineRule="exact"/>
      <w:ind w:firstLineChars="100" w:firstLine="100"/>
      <w:jc w:val="both"/>
    </w:pPr>
    <w:rPr>
      <w:rFonts w:ascii="Times New Roman" w:eastAsia="Times New Roman" w:hAnsi="Times New Roman"/>
      <w:kern w:val="2"/>
      <w:sz w:val="20"/>
      <w:szCs w:val="20"/>
      <w:lang w:val="en-US" w:eastAsia="zh-CN"/>
    </w:rPr>
  </w:style>
  <w:style w:type="paragraph" w:customStyle="1" w:styleId="71-SciencePG-Figure-caption-single-line-with-Formula">
    <w:name w:val="71-SciencePG-Figure-caption-single-line-with-Formula"/>
    <w:basedOn w:val="Normal"/>
    <w:qFormat/>
    <w:rsid w:val="00546B39"/>
    <w:pPr>
      <w:widowControl w:val="0"/>
      <w:adjustRightInd w:val="0"/>
      <w:snapToGrid w:val="0"/>
      <w:spacing w:before="100" w:line="240" w:lineRule="auto"/>
      <w:jc w:val="center"/>
    </w:pPr>
    <w:rPr>
      <w:rFonts w:ascii="Times New Roman" w:eastAsia="Times New Roman" w:hAnsi="Times New Roman"/>
      <w:i/>
      <w:kern w:val="2"/>
      <w:sz w:val="16"/>
      <w:szCs w:val="20"/>
      <w:lang w:val="en-US" w:eastAsia="zh-CN"/>
    </w:rPr>
  </w:style>
  <w:style w:type="table" w:styleId="LightShading-Accent3">
    <w:name w:val="Light Shading Accent 3"/>
    <w:basedOn w:val="TableNormal"/>
    <w:uiPriority w:val="60"/>
    <w:rsid w:val="00D77C66"/>
    <w:pPr>
      <w:spacing w:after="0" w:line="240" w:lineRule="auto"/>
    </w:pPr>
    <w:rPr>
      <w:color w:val="A95715" w:themeColor="accent3" w:themeShade="BF"/>
    </w:rPr>
    <w:tblPr>
      <w:tblStyleRowBandSize w:val="1"/>
      <w:tblStyleColBandSize w:val="1"/>
      <w:tblInd w:w="0" w:type="dxa"/>
      <w:tblBorders>
        <w:top w:val="single" w:sz="8" w:space="0" w:color="E2751D" w:themeColor="accent3"/>
        <w:bottom w:val="single" w:sz="8" w:space="0" w:color="E2751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2751D" w:themeColor="accent3"/>
          <w:left w:val="nil"/>
          <w:bottom w:val="single" w:sz="8" w:space="0" w:color="E2751D" w:themeColor="accent3"/>
          <w:right w:val="nil"/>
          <w:insideH w:val="nil"/>
          <w:insideV w:val="nil"/>
        </w:tcBorders>
      </w:tcPr>
    </w:tblStylePr>
    <w:tblStylePr w:type="lastRow">
      <w:pPr>
        <w:spacing w:before="0" w:after="0" w:line="240" w:lineRule="auto"/>
      </w:pPr>
      <w:rPr>
        <w:b/>
        <w:bCs/>
      </w:rPr>
      <w:tblPr/>
      <w:tcPr>
        <w:tcBorders>
          <w:top w:val="single" w:sz="8" w:space="0" w:color="E2751D" w:themeColor="accent3"/>
          <w:left w:val="nil"/>
          <w:bottom w:val="single" w:sz="8" w:space="0" w:color="E2751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CC7" w:themeFill="accent3" w:themeFillTint="3F"/>
      </w:tcPr>
    </w:tblStylePr>
    <w:tblStylePr w:type="band1Horz">
      <w:tblPr/>
      <w:tcPr>
        <w:tcBorders>
          <w:left w:val="nil"/>
          <w:right w:val="nil"/>
          <w:insideH w:val="nil"/>
          <w:insideV w:val="nil"/>
        </w:tcBorders>
        <w:shd w:val="clear" w:color="auto" w:fill="F8DCC7" w:themeFill="accent3" w:themeFillTint="3F"/>
      </w:tcPr>
    </w:tblStylePr>
  </w:style>
  <w:style w:type="table" w:styleId="MediumList2-Accent6">
    <w:name w:val="Medium List 2 Accent 6"/>
    <w:basedOn w:val="TableNormal"/>
    <w:uiPriority w:val="66"/>
    <w:rsid w:val="006945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0000" w:themeColor="accent6"/>
        <w:left w:val="single" w:sz="8" w:space="0" w:color="C00000" w:themeColor="accent6"/>
        <w:bottom w:val="single" w:sz="8" w:space="0" w:color="C00000" w:themeColor="accent6"/>
        <w:right w:val="single" w:sz="8" w:space="0" w:color="C00000"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8B378C"/>
    <w:pPr>
      <w:spacing w:after="0" w:line="240" w:lineRule="auto"/>
    </w:pPr>
    <w:tblPr>
      <w:tblStyleRowBandSize w:val="1"/>
      <w:tblStyleColBandSize w:val="1"/>
      <w:tblInd w:w="0" w:type="dxa"/>
      <w:tblBorders>
        <w:top w:val="single" w:sz="8" w:space="0" w:color="E2751D" w:themeColor="accent3"/>
        <w:left w:val="single" w:sz="8" w:space="0" w:color="E2751D" w:themeColor="accent3"/>
        <w:bottom w:val="single" w:sz="8" w:space="0" w:color="E2751D" w:themeColor="accent3"/>
        <w:right w:val="single" w:sz="8" w:space="0" w:color="E2751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2751D" w:themeFill="accent3"/>
      </w:tcPr>
    </w:tblStylePr>
    <w:tblStylePr w:type="lastRow">
      <w:pPr>
        <w:spacing w:before="0" w:after="0" w:line="240" w:lineRule="auto"/>
      </w:pPr>
      <w:rPr>
        <w:b/>
        <w:bCs/>
      </w:rPr>
      <w:tblPr/>
      <w:tcPr>
        <w:tcBorders>
          <w:top w:val="double" w:sz="6" w:space="0" w:color="E2751D" w:themeColor="accent3"/>
          <w:left w:val="single" w:sz="8" w:space="0" w:color="E2751D" w:themeColor="accent3"/>
          <w:bottom w:val="single" w:sz="8" w:space="0" w:color="E2751D" w:themeColor="accent3"/>
          <w:right w:val="single" w:sz="8" w:space="0" w:color="E2751D" w:themeColor="accent3"/>
        </w:tcBorders>
      </w:tcPr>
    </w:tblStylePr>
    <w:tblStylePr w:type="firstCol">
      <w:rPr>
        <w:b/>
        <w:bCs/>
      </w:rPr>
    </w:tblStylePr>
    <w:tblStylePr w:type="lastCol">
      <w:rPr>
        <w:b/>
        <w:bCs/>
      </w:rPr>
    </w:tblStylePr>
    <w:tblStylePr w:type="band1Vert">
      <w:tblPr/>
      <w:tcPr>
        <w:tcBorders>
          <w:top w:val="single" w:sz="8" w:space="0" w:color="E2751D" w:themeColor="accent3"/>
          <w:left w:val="single" w:sz="8" w:space="0" w:color="E2751D" w:themeColor="accent3"/>
          <w:bottom w:val="single" w:sz="8" w:space="0" w:color="E2751D" w:themeColor="accent3"/>
          <w:right w:val="single" w:sz="8" w:space="0" w:color="E2751D" w:themeColor="accent3"/>
        </w:tcBorders>
      </w:tcPr>
    </w:tblStylePr>
    <w:tblStylePr w:type="band1Horz">
      <w:tblPr/>
      <w:tcPr>
        <w:tcBorders>
          <w:top w:val="single" w:sz="8" w:space="0" w:color="E2751D" w:themeColor="accent3"/>
          <w:left w:val="single" w:sz="8" w:space="0" w:color="E2751D" w:themeColor="accent3"/>
          <w:bottom w:val="single" w:sz="8" w:space="0" w:color="E2751D" w:themeColor="accent3"/>
          <w:right w:val="single" w:sz="8" w:space="0" w:color="E2751D" w:themeColor="accent3"/>
        </w:tcBorders>
      </w:tcPr>
    </w:tblStylePr>
  </w:style>
  <w:style w:type="table" w:styleId="MediumShading2-Accent3">
    <w:name w:val="Medium Shading 2 Accent 3"/>
    <w:basedOn w:val="TableNormal"/>
    <w:uiPriority w:val="64"/>
    <w:rsid w:val="008B37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2751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2751D" w:themeFill="accent3"/>
      </w:tcPr>
    </w:tblStylePr>
    <w:tblStylePr w:type="lastCol">
      <w:rPr>
        <w:b/>
        <w:bCs/>
        <w:color w:val="FFFFFF" w:themeColor="background1"/>
      </w:rPr>
      <w:tblPr/>
      <w:tcPr>
        <w:tcBorders>
          <w:left w:val="nil"/>
          <w:right w:val="nil"/>
          <w:insideH w:val="nil"/>
          <w:insideV w:val="nil"/>
        </w:tcBorders>
        <w:shd w:val="clear" w:color="auto" w:fill="E2751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3">
    <w:name w:val="Colorful List Accent 3"/>
    <w:basedOn w:val="TableNormal"/>
    <w:uiPriority w:val="72"/>
    <w:rsid w:val="008B378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1E8" w:themeFill="accent3" w:themeFillTint="19"/>
    </w:tcPr>
    <w:tblStylePr w:type="firstRow">
      <w:rPr>
        <w:b/>
        <w:bCs/>
        <w:color w:val="FFFFFF" w:themeColor="background1"/>
      </w:rPr>
      <w:tblPr/>
      <w:tcPr>
        <w:tcBorders>
          <w:bottom w:val="single" w:sz="12" w:space="0" w:color="FFFFFF" w:themeColor="background1"/>
        </w:tcBorders>
        <w:shd w:val="clear" w:color="auto" w:fill="CC9000" w:themeFill="accent4" w:themeFillShade="CC"/>
      </w:tcPr>
    </w:tblStylePr>
    <w:tblStylePr w:type="lastRow">
      <w:rPr>
        <w:b/>
        <w:bCs/>
        <w:color w:val="CC90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CC7" w:themeFill="accent3" w:themeFillTint="3F"/>
      </w:tcPr>
    </w:tblStylePr>
    <w:tblStylePr w:type="band1Horz">
      <w:tblPr/>
      <w:tcPr>
        <w:shd w:val="clear" w:color="auto" w:fill="F9E3D1" w:themeFill="accent3" w:themeFillTint="33"/>
      </w:tcPr>
    </w:tblStylePr>
  </w:style>
  <w:style w:type="table" w:styleId="ColorfulGrid-Accent3">
    <w:name w:val="Colorful Grid Accent 3"/>
    <w:basedOn w:val="TableNormal"/>
    <w:uiPriority w:val="73"/>
    <w:rsid w:val="008B378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E3D1" w:themeFill="accent3" w:themeFillTint="33"/>
    </w:tcPr>
    <w:tblStylePr w:type="firstRow">
      <w:rPr>
        <w:b/>
        <w:bCs/>
      </w:rPr>
      <w:tblPr/>
      <w:tcPr>
        <w:shd w:val="clear" w:color="auto" w:fill="F3C7A4" w:themeFill="accent3" w:themeFillTint="66"/>
      </w:tcPr>
    </w:tblStylePr>
    <w:tblStylePr w:type="lastRow">
      <w:rPr>
        <w:b/>
        <w:bCs/>
        <w:color w:val="000000" w:themeColor="text1"/>
      </w:rPr>
      <w:tblPr/>
      <w:tcPr>
        <w:shd w:val="clear" w:color="auto" w:fill="F3C7A4" w:themeFill="accent3" w:themeFillTint="66"/>
      </w:tcPr>
    </w:tblStylePr>
    <w:tblStylePr w:type="firstCol">
      <w:rPr>
        <w:color w:val="FFFFFF" w:themeColor="background1"/>
      </w:rPr>
      <w:tblPr/>
      <w:tcPr>
        <w:shd w:val="clear" w:color="auto" w:fill="A95715" w:themeFill="accent3" w:themeFillShade="BF"/>
      </w:tcPr>
    </w:tblStylePr>
    <w:tblStylePr w:type="lastCol">
      <w:rPr>
        <w:color w:val="FFFFFF" w:themeColor="background1"/>
      </w:rPr>
      <w:tblPr/>
      <w:tcPr>
        <w:shd w:val="clear" w:color="auto" w:fill="A95715" w:themeFill="accent3" w:themeFillShade="BF"/>
      </w:tcPr>
    </w:tblStylePr>
    <w:tblStylePr w:type="band1Vert">
      <w:tblPr/>
      <w:tcPr>
        <w:shd w:val="clear" w:color="auto" w:fill="F0B98E" w:themeFill="accent3" w:themeFillTint="7F"/>
      </w:tcPr>
    </w:tblStylePr>
    <w:tblStylePr w:type="band1Horz">
      <w:tblPr/>
      <w:tcPr>
        <w:shd w:val="clear" w:color="auto" w:fill="F0B98E" w:themeFill="accent3" w:themeFillTint="7F"/>
      </w:tcPr>
    </w:tblStylePr>
  </w:style>
  <w:style w:type="table" w:styleId="ColorfulGrid-Accent6">
    <w:name w:val="Colorful Grid Accent 6"/>
    <w:basedOn w:val="TableNormal"/>
    <w:uiPriority w:val="73"/>
    <w:rsid w:val="008B378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000000"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LightShading-Accent4">
    <w:name w:val="Light Shading Accent 4"/>
    <w:basedOn w:val="TableNormal"/>
    <w:uiPriority w:val="60"/>
    <w:rsid w:val="008B378C"/>
    <w:pPr>
      <w:spacing w:after="0" w:line="240" w:lineRule="auto"/>
    </w:pPr>
    <w:rPr>
      <w:color w:val="BF8600" w:themeColor="accent4" w:themeShade="BF"/>
    </w:rPr>
    <w:tblPr>
      <w:tblStyleRowBandSize w:val="1"/>
      <w:tblStyleColBandSize w:val="1"/>
      <w:tblInd w:w="0" w:type="dxa"/>
      <w:tblBorders>
        <w:top w:val="single" w:sz="8" w:space="0" w:color="FFB400" w:themeColor="accent4"/>
        <w:bottom w:val="single" w:sz="8" w:space="0" w:color="FFB4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B400" w:themeColor="accent4"/>
          <w:left w:val="nil"/>
          <w:bottom w:val="single" w:sz="8" w:space="0" w:color="FFB400" w:themeColor="accent4"/>
          <w:right w:val="nil"/>
          <w:insideH w:val="nil"/>
          <w:insideV w:val="nil"/>
        </w:tcBorders>
      </w:tcPr>
    </w:tblStylePr>
    <w:tblStylePr w:type="lastRow">
      <w:pPr>
        <w:spacing w:before="0" w:after="0" w:line="240" w:lineRule="auto"/>
      </w:pPr>
      <w:rPr>
        <w:b/>
        <w:bCs/>
      </w:rPr>
      <w:tblPr/>
      <w:tcPr>
        <w:tcBorders>
          <w:top w:val="single" w:sz="8" w:space="0" w:color="FFB400" w:themeColor="accent4"/>
          <w:left w:val="nil"/>
          <w:bottom w:val="single" w:sz="8" w:space="0" w:color="FFB4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0" w:themeFill="accent4" w:themeFillTint="3F"/>
      </w:tcPr>
    </w:tblStylePr>
    <w:tblStylePr w:type="band1Horz">
      <w:tblPr/>
      <w:tcPr>
        <w:tcBorders>
          <w:left w:val="nil"/>
          <w:right w:val="nil"/>
          <w:insideH w:val="nil"/>
          <w:insideV w:val="nil"/>
        </w:tcBorders>
        <w:shd w:val="clear" w:color="auto" w:fill="FFECC0" w:themeFill="accent4" w:themeFillTint="3F"/>
      </w:tcPr>
    </w:tblStylePr>
  </w:style>
  <w:style w:type="table" w:styleId="LightShading-Accent6">
    <w:name w:val="Light Shading Accent 6"/>
    <w:basedOn w:val="TableNormal"/>
    <w:uiPriority w:val="60"/>
    <w:rsid w:val="008B378C"/>
    <w:pPr>
      <w:spacing w:after="0" w:line="240" w:lineRule="auto"/>
    </w:pPr>
    <w:rPr>
      <w:color w:val="8F0000" w:themeColor="accent6" w:themeShade="BF"/>
    </w:rPr>
    <w:tblPr>
      <w:tblStyleRowBandSize w:val="1"/>
      <w:tblStyleColBandSize w:val="1"/>
      <w:tblInd w:w="0" w:type="dxa"/>
      <w:tblBorders>
        <w:top w:val="single" w:sz="8" w:space="0" w:color="C00000" w:themeColor="accent6"/>
        <w:bottom w:val="single" w:sz="8" w:space="0" w:color="C0000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LightList-Accent5">
    <w:name w:val="Light List Accent 5"/>
    <w:basedOn w:val="TableNormal"/>
    <w:uiPriority w:val="61"/>
    <w:rsid w:val="008B378C"/>
    <w:pPr>
      <w:spacing w:after="0" w:line="240" w:lineRule="auto"/>
    </w:pPr>
    <w:tblPr>
      <w:tblStyleRowBandSize w:val="1"/>
      <w:tblStyleColBandSize w:val="1"/>
      <w:tblInd w:w="0" w:type="dxa"/>
      <w:tblBorders>
        <w:top w:val="single" w:sz="8" w:space="0" w:color="7EB606" w:themeColor="accent5"/>
        <w:left w:val="single" w:sz="8" w:space="0" w:color="7EB606" w:themeColor="accent5"/>
        <w:bottom w:val="single" w:sz="8" w:space="0" w:color="7EB606" w:themeColor="accent5"/>
        <w:right w:val="single" w:sz="8" w:space="0" w:color="7EB60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B606" w:themeFill="accent5"/>
      </w:tcPr>
    </w:tblStylePr>
    <w:tblStylePr w:type="lastRow">
      <w:pPr>
        <w:spacing w:before="0" w:after="0" w:line="240" w:lineRule="auto"/>
      </w:pPr>
      <w:rPr>
        <w:b/>
        <w:bCs/>
      </w:rPr>
      <w:tblPr/>
      <w:tcPr>
        <w:tcBorders>
          <w:top w:val="double" w:sz="6" w:space="0" w:color="7EB606" w:themeColor="accent5"/>
          <w:left w:val="single" w:sz="8" w:space="0" w:color="7EB606" w:themeColor="accent5"/>
          <w:bottom w:val="single" w:sz="8" w:space="0" w:color="7EB606" w:themeColor="accent5"/>
          <w:right w:val="single" w:sz="8" w:space="0" w:color="7EB606" w:themeColor="accent5"/>
        </w:tcBorders>
      </w:tcPr>
    </w:tblStylePr>
    <w:tblStylePr w:type="firstCol">
      <w:rPr>
        <w:b/>
        <w:bCs/>
      </w:rPr>
    </w:tblStylePr>
    <w:tblStylePr w:type="lastCol">
      <w:rPr>
        <w:b/>
        <w:bCs/>
      </w:rPr>
    </w:tblStylePr>
    <w:tblStylePr w:type="band1Vert">
      <w:tblPr/>
      <w:tcPr>
        <w:tcBorders>
          <w:top w:val="single" w:sz="8" w:space="0" w:color="7EB606" w:themeColor="accent5"/>
          <w:left w:val="single" w:sz="8" w:space="0" w:color="7EB606" w:themeColor="accent5"/>
          <w:bottom w:val="single" w:sz="8" w:space="0" w:color="7EB606" w:themeColor="accent5"/>
          <w:right w:val="single" w:sz="8" w:space="0" w:color="7EB606" w:themeColor="accent5"/>
        </w:tcBorders>
      </w:tcPr>
    </w:tblStylePr>
    <w:tblStylePr w:type="band1Horz">
      <w:tblPr/>
      <w:tcPr>
        <w:tcBorders>
          <w:top w:val="single" w:sz="8" w:space="0" w:color="7EB606" w:themeColor="accent5"/>
          <w:left w:val="single" w:sz="8" w:space="0" w:color="7EB606" w:themeColor="accent5"/>
          <w:bottom w:val="single" w:sz="8" w:space="0" w:color="7EB606" w:themeColor="accent5"/>
          <w:right w:val="single" w:sz="8" w:space="0" w:color="7EB606" w:themeColor="accent5"/>
        </w:tcBorders>
      </w:tcPr>
    </w:tblStylePr>
  </w:style>
  <w:style w:type="table" w:styleId="MediumShading2-Accent6">
    <w:name w:val="Medium Shading 2 Accent 6"/>
    <w:basedOn w:val="TableNormal"/>
    <w:uiPriority w:val="64"/>
    <w:rsid w:val="008B37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8B378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44A58" w:themeColor="accent2"/>
        <w:left w:val="single" w:sz="8" w:space="0" w:color="244A58" w:themeColor="accent2"/>
        <w:bottom w:val="single" w:sz="8" w:space="0" w:color="244A58" w:themeColor="accent2"/>
        <w:right w:val="single" w:sz="8" w:space="0" w:color="244A58"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244A58" w:themeColor="accent2"/>
          <w:right w:val="nil"/>
          <w:insideH w:val="nil"/>
          <w:insideV w:val="nil"/>
        </w:tcBorders>
        <w:shd w:val="clear" w:color="auto" w:fill="FFFFFF" w:themeFill="background1"/>
      </w:tcPr>
    </w:tblStylePr>
    <w:tblStylePr w:type="lastRow">
      <w:tblPr/>
      <w:tcPr>
        <w:tcBorders>
          <w:top w:val="single" w:sz="8" w:space="0" w:color="244A5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4A58" w:themeColor="accent2"/>
          <w:insideH w:val="nil"/>
          <w:insideV w:val="nil"/>
        </w:tcBorders>
        <w:shd w:val="clear" w:color="auto" w:fill="FFFFFF" w:themeFill="background1"/>
      </w:tcPr>
    </w:tblStylePr>
    <w:tblStylePr w:type="lastCol">
      <w:tblPr/>
      <w:tcPr>
        <w:tcBorders>
          <w:top w:val="nil"/>
          <w:left w:val="single" w:sz="8" w:space="0" w:color="244A5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D8E3" w:themeFill="accent2" w:themeFillTint="3F"/>
      </w:tcPr>
    </w:tblStylePr>
    <w:tblStylePr w:type="band1Horz">
      <w:tblPr/>
      <w:tcPr>
        <w:tcBorders>
          <w:top w:val="nil"/>
          <w:bottom w:val="nil"/>
          <w:insideH w:val="nil"/>
          <w:insideV w:val="nil"/>
        </w:tcBorders>
        <w:shd w:val="clear" w:color="auto" w:fill="BBD8E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8B378C"/>
    <w:pPr>
      <w:spacing w:after="0" w:line="240" w:lineRule="auto"/>
    </w:pPr>
    <w:rPr>
      <w:color w:val="000000" w:themeColor="text1"/>
    </w:rPr>
    <w:tblPr>
      <w:tblStyleRowBandSize w:val="1"/>
      <w:tblStyleColBandSize w:val="1"/>
      <w:tblInd w:w="0" w:type="dxa"/>
      <w:tblBorders>
        <w:top w:val="single" w:sz="8" w:space="0" w:color="C00000" w:themeColor="accent6"/>
        <w:bottom w:val="single" w:sz="8" w:space="0" w:color="C0000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0921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ghtShading-Accent2">
    <w:name w:val="Light Shading Accent 2"/>
    <w:basedOn w:val="TableNormal"/>
    <w:uiPriority w:val="60"/>
    <w:rsid w:val="00BF2C97"/>
    <w:pPr>
      <w:spacing w:after="0" w:line="240" w:lineRule="auto"/>
    </w:pPr>
    <w:rPr>
      <w:color w:val="1B3741" w:themeColor="accent2" w:themeShade="BF"/>
    </w:rPr>
    <w:tblPr>
      <w:tblStyleRowBandSize w:val="1"/>
      <w:tblStyleColBandSize w:val="1"/>
      <w:tblInd w:w="0" w:type="dxa"/>
      <w:tblBorders>
        <w:top w:val="single" w:sz="8" w:space="0" w:color="244A58" w:themeColor="accent2"/>
        <w:bottom w:val="single" w:sz="8" w:space="0" w:color="244A5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44A58" w:themeColor="accent2"/>
          <w:left w:val="nil"/>
          <w:bottom w:val="single" w:sz="8" w:space="0" w:color="244A58" w:themeColor="accent2"/>
          <w:right w:val="nil"/>
          <w:insideH w:val="nil"/>
          <w:insideV w:val="nil"/>
        </w:tcBorders>
      </w:tcPr>
    </w:tblStylePr>
    <w:tblStylePr w:type="lastRow">
      <w:pPr>
        <w:spacing w:before="0" w:after="0" w:line="240" w:lineRule="auto"/>
      </w:pPr>
      <w:rPr>
        <w:b/>
        <w:bCs/>
      </w:rPr>
      <w:tblPr/>
      <w:tcPr>
        <w:tcBorders>
          <w:top w:val="single" w:sz="8" w:space="0" w:color="244A58" w:themeColor="accent2"/>
          <w:left w:val="nil"/>
          <w:bottom w:val="single" w:sz="8" w:space="0" w:color="244A5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D8E3" w:themeFill="accent2" w:themeFillTint="3F"/>
      </w:tcPr>
    </w:tblStylePr>
    <w:tblStylePr w:type="band1Horz">
      <w:tblPr/>
      <w:tcPr>
        <w:tcBorders>
          <w:left w:val="nil"/>
          <w:right w:val="nil"/>
          <w:insideH w:val="nil"/>
          <w:insideV w:val="nil"/>
        </w:tcBorders>
        <w:shd w:val="clear" w:color="auto" w:fill="BBD8E3" w:themeFill="accent2" w:themeFillTint="3F"/>
      </w:tcPr>
    </w:tblStylePr>
  </w:style>
  <w:style w:type="table" w:customStyle="1" w:styleId="MediumList11">
    <w:name w:val="Medium List 11"/>
    <w:basedOn w:val="TableNormal"/>
    <w:uiPriority w:val="65"/>
    <w:rsid w:val="00BF2C9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9213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5">
    <w:name w:val="Light Shading Accent 5"/>
    <w:basedOn w:val="TableNormal"/>
    <w:uiPriority w:val="60"/>
    <w:rsid w:val="00BF2C97"/>
    <w:pPr>
      <w:spacing w:after="0" w:line="240" w:lineRule="auto"/>
    </w:pPr>
    <w:rPr>
      <w:color w:val="5D8804" w:themeColor="accent5" w:themeShade="BF"/>
    </w:rPr>
    <w:tblPr>
      <w:tblStyleRowBandSize w:val="1"/>
      <w:tblStyleColBandSize w:val="1"/>
      <w:tblInd w:w="0" w:type="dxa"/>
      <w:tblBorders>
        <w:top w:val="single" w:sz="8" w:space="0" w:color="7EB606" w:themeColor="accent5"/>
        <w:bottom w:val="single" w:sz="8" w:space="0" w:color="7EB60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B606" w:themeColor="accent5"/>
          <w:left w:val="nil"/>
          <w:bottom w:val="single" w:sz="8" w:space="0" w:color="7EB606" w:themeColor="accent5"/>
          <w:right w:val="nil"/>
          <w:insideH w:val="nil"/>
          <w:insideV w:val="nil"/>
        </w:tcBorders>
      </w:tcPr>
    </w:tblStylePr>
    <w:tblStylePr w:type="lastRow">
      <w:pPr>
        <w:spacing w:before="0" w:after="0" w:line="240" w:lineRule="auto"/>
      </w:pPr>
      <w:rPr>
        <w:b/>
        <w:bCs/>
      </w:rPr>
      <w:tblPr/>
      <w:tcPr>
        <w:tcBorders>
          <w:top w:val="single" w:sz="8" w:space="0" w:color="7EB606" w:themeColor="accent5"/>
          <w:left w:val="nil"/>
          <w:bottom w:val="single" w:sz="8" w:space="0" w:color="7EB60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CB1" w:themeFill="accent5" w:themeFillTint="3F"/>
      </w:tcPr>
    </w:tblStylePr>
    <w:tblStylePr w:type="band1Horz">
      <w:tblPr/>
      <w:tcPr>
        <w:tcBorders>
          <w:left w:val="nil"/>
          <w:right w:val="nil"/>
          <w:insideH w:val="nil"/>
          <w:insideV w:val="nil"/>
        </w:tcBorders>
        <w:shd w:val="clear" w:color="auto" w:fill="E4FCB1" w:themeFill="accent5" w:themeFillTint="3F"/>
      </w:tcPr>
    </w:tblStylePr>
  </w:style>
  <w:style w:type="table" w:customStyle="1" w:styleId="LightShading1">
    <w:name w:val="Light Shading1"/>
    <w:basedOn w:val="TableNormal"/>
    <w:uiPriority w:val="60"/>
    <w:rsid w:val="006C62E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CB1231"/>
    <w:pPr>
      <w:spacing w:after="0" w:line="240" w:lineRule="auto"/>
    </w:pPr>
    <w:rPr>
      <w:color w:val="215C77" w:themeColor="accent1" w:themeShade="BF"/>
    </w:rPr>
    <w:tblPr>
      <w:tblStyleRowBandSize w:val="1"/>
      <w:tblStyleColBandSize w:val="1"/>
      <w:tblInd w:w="0" w:type="dxa"/>
      <w:tblBorders>
        <w:top w:val="single" w:sz="8" w:space="0" w:color="2C7C9F" w:themeColor="accent1"/>
        <w:bottom w:val="single" w:sz="8" w:space="0" w:color="2C7C9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la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1EE" w:themeFill="accent1" w:themeFillTint="3F"/>
      </w:tcPr>
    </w:tblStylePr>
    <w:tblStylePr w:type="band1Horz">
      <w:tblPr/>
      <w:tcPr>
        <w:tcBorders>
          <w:left w:val="nil"/>
          <w:right w:val="nil"/>
          <w:insideH w:val="nil"/>
          <w:insideV w:val="nil"/>
        </w:tcBorders>
        <w:shd w:val="clear" w:color="auto" w:fill="C3E1EE" w:themeFill="accent1" w:themeFillTint="3F"/>
      </w:tcPr>
    </w:tblStylePr>
  </w:style>
  <w:style w:type="character" w:customStyle="1" w:styleId="ilfuvd">
    <w:name w:val="ilfuvd"/>
    <w:basedOn w:val="DefaultParagraphFont"/>
    <w:rsid w:val="00477A2A"/>
  </w:style>
  <w:style w:type="table" w:styleId="LightGrid-Accent4">
    <w:name w:val="Light Grid Accent 4"/>
    <w:basedOn w:val="TableNormal"/>
    <w:uiPriority w:val="62"/>
    <w:rsid w:val="00511CD5"/>
    <w:pPr>
      <w:spacing w:after="0" w:line="240" w:lineRule="auto"/>
    </w:pPr>
    <w:tblPr>
      <w:tblStyleRowBandSize w:val="1"/>
      <w:tblStyleColBandSize w:val="1"/>
      <w:tblInd w:w="0" w:type="dxa"/>
      <w:tblBorders>
        <w:top w:val="single" w:sz="8" w:space="0" w:color="FFB400" w:themeColor="accent4"/>
        <w:left w:val="single" w:sz="8" w:space="0" w:color="FFB400" w:themeColor="accent4"/>
        <w:bottom w:val="single" w:sz="8" w:space="0" w:color="FFB400" w:themeColor="accent4"/>
        <w:right w:val="single" w:sz="8" w:space="0" w:color="FFB400" w:themeColor="accent4"/>
        <w:insideH w:val="single" w:sz="8" w:space="0" w:color="FFB400" w:themeColor="accent4"/>
        <w:insideV w:val="single" w:sz="8" w:space="0" w:color="FFB4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B400" w:themeColor="accent4"/>
          <w:left w:val="single" w:sz="8" w:space="0" w:color="FFB400" w:themeColor="accent4"/>
          <w:bottom w:val="single" w:sz="18" w:space="0" w:color="FFB400" w:themeColor="accent4"/>
          <w:right w:val="single" w:sz="8" w:space="0" w:color="FFB400" w:themeColor="accent4"/>
          <w:insideH w:val="nil"/>
          <w:insideV w:val="single" w:sz="8" w:space="0" w:color="FFB4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400" w:themeColor="accent4"/>
          <w:left w:val="single" w:sz="8" w:space="0" w:color="FFB400" w:themeColor="accent4"/>
          <w:bottom w:val="single" w:sz="8" w:space="0" w:color="FFB400" w:themeColor="accent4"/>
          <w:right w:val="single" w:sz="8" w:space="0" w:color="FFB400" w:themeColor="accent4"/>
          <w:insideH w:val="nil"/>
          <w:insideV w:val="single" w:sz="8" w:space="0" w:color="FFB4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400" w:themeColor="accent4"/>
          <w:left w:val="single" w:sz="8" w:space="0" w:color="FFB400" w:themeColor="accent4"/>
          <w:bottom w:val="single" w:sz="8" w:space="0" w:color="FFB400" w:themeColor="accent4"/>
          <w:right w:val="single" w:sz="8" w:space="0" w:color="FFB400" w:themeColor="accent4"/>
        </w:tcBorders>
      </w:tcPr>
    </w:tblStylePr>
    <w:tblStylePr w:type="band1Vert">
      <w:tblPr/>
      <w:tcPr>
        <w:tcBorders>
          <w:top w:val="single" w:sz="8" w:space="0" w:color="FFB400" w:themeColor="accent4"/>
          <w:left w:val="single" w:sz="8" w:space="0" w:color="FFB400" w:themeColor="accent4"/>
          <w:bottom w:val="single" w:sz="8" w:space="0" w:color="FFB400" w:themeColor="accent4"/>
          <w:right w:val="single" w:sz="8" w:space="0" w:color="FFB400" w:themeColor="accent4"/>
        </w:tcBorders>
        <w:shd w:val="clear" w:color="auto" w:fill="FFECC0" w:themeFill="accent4" w:themeFillTint="3F"/>
      </w:tcPr>
    </w:tblStylePr>
    <w:tblStylePr w:type="band1Horz">
      <w:tblPr/>
      <w:tcPr>
        <w:tcBorders>
          <w:top w:val="single" w:sz="8" w:space="0" w:color="FFB400" w:themeColor="accent4"/>
          <w:left w:val="single" w:sz="8" w:space="0" w:color="FFB400" w:themeColor="accent4"/>
          <w:bottom w:val="single" w:sz="8" w:space="0" w:color="FFB400" w:themeColor="accent4"/>
          <w:right w:val="single" w:sz="8" w:space="0" w:color="FFB400" w:themeColor="accent4"/>
          <w:insideV w:val="single" w:sz="8" w:space="0" w:color="FFB400" w:themeColor="accent4"/>
        </w:tcBorders>
        <w:shd w:val="clear" w:color="auto" w:fill="FFECC0" w:themeFill="accent4" w:themeFillTint="3F"/>
      </w:tcPr>
    </w:tblStylePr>
    <w:tblStylePr w:type="band2Horz">
      <w:tblPr/>
      <w:tcPr>
        <w:tcBorders>
          <w:top w:val="single" w:sz="8" w:space="0" w:color="FFB400" w:themeColor="accent4"/>
          <w:left w:val="single" w:sz="8" w:space="0" w:color="FFB400" w:themeColor="accent4"/>
          <w:bottom w:val="single" w:sz="8" w:space="0" w:color="FFB400" w:themeColor="accent4"/>
          <w:right w:val="single" w:sz="8" w:space="0" w:color="FFB400" w:themeColor="accent4"/>
          <w:insideV w:val="single" w:sz="8" w:space="0" w:color="FFB400" w:themeColor="accent4"/>
        </w:tcBorders>
      </w:tcPr>
    </w:tblStylePr>
  </w:style>
  <w:style w:type="table" w:styleId="MediumShading2-Accent4">
    <w:name w:val="Medium Shading 2 Accent 4"/>
    <w:basedOn w:val="TableNormal"/>
    <w:uiPriority w:val="64"/>
    <w:rsid w:val="00511CD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4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400" w:themeFill="accent4"/>
      </w:tcPr>
    </w:tblStylePr>
    <w:tblStylePr w:type="lastCol">
      <w:rPr>
        <w:b/>
        <w:bCs/>
        <w:color w:val="FFFFFF" w:themeColor="background1"/>
      </w:rPr>
      <w:tblPr/>
      <w:tcPr>
        <w:tcBorders>
          <w:left w:val="nil"/>
          <w:right w:val="nil"/>
          <w:insideH w:val="nil"/>
          <w:insideV w:val="nil"/>
        </w:tcBorders>
        <w:shd w:val="clear" w:color="auto" w:fill="FFB4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9"/>
    <w:semiHidden/>
    <w:unhideWhenUsed/>
    <w:rsid w:val="0002322B"/>
  </w:style>
  <w:style w:type="paragraph" w:customStyle="1" w:styleId="iw">
    <w:name w:val="iw"/>
    <w:basedOn w:val="Normal"/>
    <w:rsid w:val="00FD0996"/>
    <w:pPr>
      <w:spacing w:before="100" w:beforeAutospacing="1" w:after="100" w:afterAutospacing="1" w:line="240" w:lineRule="auto"/>
    </w:pPr>
    <w:rPr>
      <w:rFonts w:ascii="Times" w:eastAsiaTheme="minorHAnsi" w:hAnsi="Times" w:cstheme="minorBidi"/>
      <w:sz w:val="20"/>
      <w:szCs w:val="20"/>
      <w:lang w:val="en-US"/>
    </w:rPr>
  </w:style>
  <w:style w:type="character" w:customStyle="1" w:styleId="ref-lnk">
    <w:name w:val="ref-lnk"/>
    <w:basedOn w:val="DefaultParagraphFont"/>
    <w:rsid w:val="00B01273"/>
  </w:style>
  <w:style w:type="character" w:customStyle="1" w:styleId="ref-overlay">
    <w:name w:val="ref-overlay"/>
    <w:basedOn w:val="DefaultParagraphFont"/>
    <w:rsid w:val="00B01273"/>
  </w:style>
  <w:style w:type="character" w:customStyle="1" w:styleId="nlmyear">
    <w:name w:val="nlm_year"/>
    <w:basedOn w:val="DefaultParagraphFont"/>
    <w:rsid w:val="00B01273"/>
  </w:style>
  <w:style w:type="character" w:customStyle="1" w:styleId="ref-links">
    <w:name w:val="ref-links"/>
    <w:basedOn w:val="DefaultParagraphFont"/>
    <w:rsid w:val="00B01273"/>
  </w:style>
  <w:style w:type="character" w:customStyle="1" w:styleId="xlinks-container">
    <w:name w:val="xlinks-container"/>
    <w:basedOn w:val="DefaultParagraphFont"/>
    <w:rsid w:val="00B01273"/>
  </w:style>
  <w:style w:type="character" w:customStyle="1" w:styleId="googlescholar-container">
    <w:name w:val="googlescholar-container"/>
    <w:basedOn w:val="DefaultParagraphFont"/>
    <w:rsid w:val="00B01273"/>
  </w:style>
  <w:style w:type="character" w:customStyle="1" w:styleId="hlfld-contribauthor">
    <w:name w:val="hlfld-contribauthor"/>
    <w:basedOn w:val="DefaultParagraphFont"/>
    <w:rsid w:val="00B01273"/>
  </w:style>
  <w:style w:type="character" w:customStyle="1" w:styleId="nlmgiven-names">
    <w:name w:val="nlm_given-names"/>
    <w:basedOn w:val="DefaultParagraphFont"/>
    <w:rsid w:val="00B01273"/>
  </w:style>
  <w:style w:type="character" w:customStyle="1" w:styleId="nlmedition">
    <w:name w:val="nlm_edition"/>
    <w:basedOn w:val="DefaultParagraphFont"/>
    <w:rsid w:val="00B01273"/>
  </w:style>
  <w:style w:type="character" w:customStyle="1" w:styleId="nlmpublisher-loc">
    <w:name w:val="nlm_publisher-loc"/>
    <w:basedOn w:val="DefaultParagraphFont"/>
    <w:rsid w:val="00B01273"/>
  </w:style>
  <w:style w:type="character" w:customStyle="1" w:styleId="nlmpublisher-name">
    <w:name w:val="nlm_publisher-name"/>
    <w:basedOn w:val="DefaultParagraphFont"/>
    <w:rsid w:val="00B01273"/>
  </w:style>
  <w:style w:type="character" w:customStyle="1" w:styleId="nlmarticle-title">
    <w:name w:val="nlm_article-title"/>
    <w:basedOn w:val="DefaultParagraphFont"/>
    <w:rsid w:val="00B01273"/>
  </w:style>
  <w:style w:type="character" w:customStyle="1" w:styleId="nlmfpage">
    <w:name w:val="nlm_fpage"/>
    <w:basedOn w:val="DefaultParagraphFont"/>
    <w:rsid w:val="00B01273"/>
  </w:style>
  <w:style w:type="character" w:customStyle="1" w:styleId="nlmlpage">
    <w:name w:val="nlm_lpage"/>
    <w:basedOn w:val="DefaultParagraphFont"/>
    <w:rsid w:val="00B01273"/>
  </w:style>
  <w:style w:type="character" w:customStyle="1" w:styleId="nlmpub-id">
    <w:name w:val="nlm_pub-id"/>
    <w:basedOn w:val="DefaultParagraphFont"/>
    <w:rsid w:val="00B01273"/>
  </w:style>
  <w:style w:type="character" w:customStyle="1" w:styleId="a">
    <w:name w:val="_"/>
    <w:basedOn w:val="DefaultParagraphFont"/>
    <w:rsid w:val="008B2969"/>
  </w:style>
  <w:style w:type="table" w:styleId="MediumGrid1-Accent3">
    <w:name w:val="Medium Grid 1 Accent 3"/>
    <w:basedOn w:val="TableNormal"/>
    <w:uiPriority w:val="67"/>
    <w:rsid w:val="00421D32"/>
    <w:pPr>
      <w:spacing w:after="0" w:line="240" w:lineRule="auto"/>
    </w:pPr>
    <w:tblPr>
      <w:tblStyleRowBandSize w:val="1"/>
      <w:tblStyleColBandSize w:val="1"/>
      <w:tblInd w:w="0" w:type="dxa"/>
      <w:tblBorders>
        <w:top w:val="single" w:sz="8" w:space="0" w:color="E99755" w:themeColor="accent3" w:themeTint="BF"/>
        <w:left w:val="single" w:sz="8" w:space="0" w:color="E99755" w:themeColor="accent3" w:themeTint="BF"/>
        <w:bottom w:val="single" w:sz="8" w:space="0" w:color="E99755" w:themeColor="accent3" w:themeTint="BF"/>
        <w:right w:val="single" w:sz="8" w:space="0" w:color="E99755" w:themeColor="accent3" w:themeTint="BF"/>
        <w:insideH w:val="single" w:sz="8" w:space="0" w:color="E99755" w:themeColor="accent3" w:themeTint="BF"/>
        <w:insideV w:val="single" w:sz="8" w:space="0" w:color="E99755" w:themeColor="accent3" w:themeTint="BF"/>
      </w:tblBorders>
      <w:tblCellMar>
        <w:top w:w="0" w:type="dxa"/>
        <w:left w:w="108" w:type="dxa"/>
        <w:bottom w:w="0" w:type="dxa"/>
        <w:right w:w="108" w:type="dxa"/>
      </w:tblCellMar>
    </w:tblPr>
    <w:tcPr>
      <w:shd w:val="clear" w:color="auto" w:fill="F8DCC7" w:themeFill="accent3" w:themeFillTint="3F"/>
    </w:tcPr>
    <w:tblStylePr w:type="firstRow">
      <w:rPr>
        <w:b/>
        <w:bCs/>
      </w:rPr>
    </w:tblStylePr>
    <w:tblStylePr w:type="lastRow">
      <w:rPr>
        <w:b/>
        <w:bCs/>
      </w:rPr>
      <w:tblPr/>
      <w:tcPr>
        <w:tcBorders>
          <w:top w:val="single" w:sz="18" w:space="0" w:color="E99755" w:themeColor="accent3" w:themeTint="BF"/>
        </w:tcBorders>
      </w:tcPr>
    </w:tblStylePr>
    <w:tblStylePr w:type="firstCol">
      <w:rPr>
        <w:b/>
        <w:bCs/>
      </w:rPr>
    </w:tblStylePr>
    <w:tblStylePr w:type="lastCol">
      <w:rPr>
        <w:b/>
        <w:bCs/>
      </w:rPr>
    </w:tblStylePr>
    <w:tblStylePr w:type="band1Vert">
      <w:tblPr/>
      <w:tcPr>
        <w:shd w:val="clear" w:color="auto" w:fill="F0B98E" w:themeFill="accent3" w:themeFillTint="7F"/>
      </w:tcPr>
    </w:tblStylePr>
    <w:tblStylePr w:type="band1Horz">
      <w:tblPr/>
      <w:tcPr>
        <w:shd w:val="clear" w:color="auto" w:fill="F0B98E" w:themeFill="accent3"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45E"/>
    <w:rPr>
      <w:rFonts w:ascii="Calibri" w:eastAsia="Calibri" w:hAnsi="Calibri" w:cs="Times New Roman"/>
      <w:lang w:val="en-GB"/>
    </w:rPr>
  </w:style>
  <w:style w:type="paragraph" w:styleId="Heading1">
    <w:name w:val="heading 1"/>
    <w:basedOn w:val="Normal"/>
    <w:next w:val="Normal"/>
    <w:link w:val="Heading1Char"/>
    <w:uiPriority w:val="9"/>
    <w:qFormat/>
    <w:rsid w:val="0037645E"/>
    <w:pPr>
      <w:keepNext/>
      <w:spacing w:after="0" w:line="240" w:lineRule="auto"/>
      <w:jc w:val="center"/>
      <w:outlineLvl w:val="0"/>
    </w:pPr>
    <w:rPr>
      <w:rFonts w:ascii="Times New Roman" w:eastAsia="Times New Roman" w:hAnsi="Times New Roman"/>
      <w:b/>
      <w:bCs/>
      <w:sz w:val="28"/>
      <w:szCs w:val="24"/>
      <w:lang w:val="en-US"/>
    </w:rPr>
  </w:style>
  <w:style w:type="paragraph" w:styleId="Heading2">
    <w:name w:val="heading 2"/>
    <w:basedOn w:val="Normal"/>
    <w:next w:val="Normal"/>
    <w:link w:val="Heading2Char"/>
    <w:qFormat/>
    <w:rsid w:val="0037645E"/>
    <w:pPr>
      <w:keepNext/>
      <w:spacing w:after="0" w:line="240" w:lineRule="auto"/>
      <w:jc w:val="center"/>
      <w:outlineLvl w:val="1"/>
    </w:pPr>
    <w:rPr>
      <w:rFonts w:ascii="Times New Roman" w:eastAsia="Times New Roman" w:hAnsi="Times New Roman"/>
      <w:b/>
      <w:bCs/>
      <w:sz w:val="24"/>
      <w:szCs w:val="24"/>
      <w:lang w:val="en-US"/>
    </w:rPr>
  </w:style>
  <w:style w:type="paragraph" w:styleId="Heading3">
    <w:name w:val="heading 3"/>
    <w:basedOn w:val="Normal"/>
    <w:next w:val="Normal"/>
    <w:link w:val="Heading3Char"/>
    <w:uiPriority w:val="9"/>
    <w:unhideWhenUsed/>
    <w:qFormat/>
    <w:rsid w:val="0037645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37645E"/>
    <w:pPr>
      <w:keepNext/>
      <w:spacing w:before="240" w:after="60"/>
      <w:outlineLvl w:val="3"/>
    </w:pPr>
    <w:rPr>
      <w:rFonts w:ascii="Times New Roman" w:eastAsia="Times New Roman" w:hAnsi="Times New Roman"/>
      <w:bCs/>
      <w:i/>
      <w:sz w:val="24"/>
      <w:szCs w:val="28"/>
    </w:rPr>
  </w:style>
  <w:style w:type="paragraph" w:styleId="Heading5">
    <w:name w:val="heading 5"/>
    <w:basedOn w:val="Normal"/>
    <w:next w:val="Normal"/>
    <w:link w:val="Heading5Char"/>
    <w:qFormat/>
    <w:rsid w:val="0037645E"/>
    <w:pPr>
      <w:keepNext/>
      <w:spacing w:after="0" w:line="240" w:lineRule="auto"/>
      <w:outlineLvl w:val="4"/>
    </w:pPr>
    <w:rPr>
      <w:rFonts w:ascii="Book Antiqua" w:eastAsia="Times New Roman" w:hAnsi="Book Antiqua"/>
      <w:i/>
      <w:sz w:val="20"/>
      <w:szCs w:val="1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6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45E"/>
    <w:rPr>
      <w:rFonts w:ascii="Calibri" w:eastAsia="Calibri" w:hAnsi="Calibri" w:cs="Times New Roman"/>
      <w:lang w:val="en-GB"/>
    </w:rPr>
  </w:style>
  <w:style w:type="character" w:customStyle="1" w:styleId="Heading1Char">
    <w:name w:val="Heading 1 Char"/>
    <w:basedOn w:val="DefaultParagraphFont"/>
    <w:link w:val="Heading1"/>
    <w:uiPriority w:val="9"/>
    <w:rsid w:val="0037645E"/>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37645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37645E"/>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rsid w:val="0037645E"/>
    <w:rPr>
      <w:rFonts w:ascii="Times New Roman" w:eastAsia="Times New Roman" w:hAnsi="Times New Roman" w:cs="Times New Roman"/>
      <w:bCs/>
      <w:i/>
      <w:sz w:val="24"/>
      <w:szCs w:val="28"/>
      <w:lang w:val="en-GB"/>
    </w:rPr>
  </w:style>
  <w:style w:type="character" w:customStyle="1" w:styleId="Heading5Char">
    <w:name w:val="Heading 5 Char"/>
    <w:basedOn w:val="DefaultParagraphFont"/>
    <w:link w:val="Heading5"/>
    <w:rsid w:val="0037645E"/>
    <w:rPr>
      <w:rFonts w:ascii="Book Antiqua" w:eastAsia="Times New Roman" w:hAnsi="Book Antiqua" w:cs="Times New Roman"/>
      <w:i/>
      <w:sz w:val="20"/>
      <w:szCs w:val="16"/>
      <w:lang w:val="en-GB" w:eastAsia="nl-NL"/>
    </w:rPr>
  </w:style>
  <w:style w:type="paragraph" w:styleId="ListParagraph">
    <w:name w:val="List Paragraph"/>
    <w:aliases w:val="List Paragraph (numbered (a)),List Paragraph1,WB Para,Bullets,references,List Bullet Mary,Table/Figure Heading,Citation List,Normal bullet 2,Paragraph,Bullet Points,Liste Paragraf,Grey Bullet List,Grey Bullet Style,List Item,Table bullet"/>
    <w:basedOn w:val="Normal"/>
    <w:link w:val="ListParagraphChar"/>
    <w:uiPriority w:val="34"/>
    <w:qFormat/>
    <w:rsid w:val="0037645E"/>
    <w:pPr>
      <w:ind w:left="720"/>
      <w:contextualSpacing/>
    </w:pPr>
  </w:style>
  <w:style w:type="character" w:customStyle="1" w:styleId="ListParagraphChar">
    <w:name w:val="List Paragraph Char"/>
    <w:aliases w:val="List Paragraph (numbered (a)) Char,List Paragraph1 Char,WB Para Char,Bullets Char,references Char,List Bullet Mary Char,Table/Figure Heading Char,Citation List Char,Normal bullet 2 Char,Paragraph Char,Bullet Points Char"/>
    <w:basedOn w:val="DefaultParagraphFont"/>
    <w:link w:val="ListParagraph"/>
    <w:uiPriority w:val="34"/>
    <w:qFormat/>
    <w:rsid w:val="0037645E"/>
    <w:rPr>
      <w:rFonts w:ascii="Calibri" w:eastAsia="Calibri" w:hAnsi="Calibri" w:cs="Times New Roman"/>
      <w:lang w:val="en-GB"/>
    </w:rPr>
  </w:style>
  <w:style w:type="paragraph" w:styleId="BalloonText">
    <w:name w:val="Balloon Text"/>
    <w:basedOn w:val="Normal"/>
    <w:link w:val="BalloonTextChar"/>
    <w:uiPriority w:val="99"/>
    <w:semiHidden/>
    <w:unhideWhenUsed/>
    <w:rsid w:val="0037645E"/>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37645E"/>
    <w:rPr>
      <w:rFonts w:ascii="Tahoma" w:eastAsia="Calibri" w:hAnsi="Tahoma" w:cs="Times New Roman"/>
      <w:sz w:val="16"/>
      <w:szCs w:val="16"/>
      <w:lang w:val="en-GB"/>
    </w:rPr>
  </w:style>
  <w:style w:type="paragraph" w:styleId="Header">
    <w:name w:val="header"/>
    <w:basedOn w:val="Normal"/>
    <w:link w:val="HeaderChar"/>
    <w:uiPriority w:val="99"/>
    <w:unhideWhenUsed/>
    <w:rsid w:val="00376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45E"/>
    <w:rPr>
      <w:rFonts w:ascii="Calibri" w:eastAsia="Calibri" w:hAnsi="Calibri" w:cs="Times New Roman"/>
      <w:lang w:val="en-GB"/>
    </w:rPr>
  </w:style>
  <w:style w:type="character" w:styleId="PlaceholderText">
    <w:name w:val="Placeholder Text"/>
    <w:uiPriority w:val="99"/>
    <w:semiHidden/>
    <w:rsid w:val="0037645E"/>
    <w:rPr>
      <w:color w:val="808080"/>
    </w:rPr>
  </w:style>
  <w:style w:type="paragraph" w:styleId="FootnoteText">
    <w:name w:val="footnote text"/>
    <w:basedOn w:val="Normal"/>
    <w:link w:val="FootnoteTextChar"/>
    <w:uiPriority w:val="99"/>
    <w:unhideWhenUsed/>
    <w:rsid w:val="0037645E"/>
    <w:pPr>
      <w:spacing w:after="0" w:line="240" w:lineRule="auto"/>
    </w:pPr>
    <w:rPr>
      <w:sz w:val="20"/>
      <w:szCs w:val="20"/>
    </w:rPr>
  </w:style>
  <w:style w:type="character" w:customStyle="1" w:styleId="FootnoteTextChar">
    <w:name w:val="Footnote Text Char"/>
    <w:basedOn w:val="DefaultParagraphFont"/>
    <w:link w:val="FootnoteText"/>
    <w:uiPriority w:val="99"/>
    <w:rsid w:val="0037645E"/>
    <w:rPr>
      <w:rFonts w:ascii="Calibri" w:eastAsia="Calibri" w:hAnsi="Calibri" w:cs="Times New Roman"/>
      <w:sz w:val="20"/>
      <w:szCs w:val="20"/>
      <w:lang w:val="en-GB"/>
    </w:rPr>
  </w:style>
  <w:style w:type="character" w:styleId="FootnoteReference">
    <w:name w:val="footnote reference"/>
    <w:uiPriority w:val="99"/>
    <w:unhideWhenUsed/>
    <w:rsid w:val="0037645E"/>
    <w:rPr>
      <w:vertAlign w:val="superscript"/>
    </w:rPr>
  </w:style>
  <w:style w:type="character" w:styleId="Hyperlink">
    <w:name w:val="Hyperlink"/>
    <w:uiPriority w:val="99"/>
    <w:unhideWhenUsed/>
    <w:rsid w:val="0037645E"/>
    <w:rPr>
      <w:color w:val="0000FF"/>
      <w:u w:val="single"/>
    </w:rPr>
  </w:style>
  <w:style w:type="table" w:styleId="TableGrid">
    <w:name w:val="Table Grid"/>
    <w:basedOn w:val="TableNormal"/>
    <w:uiPriority w:val="59"/>
    <w:rsid w:val="003764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37645E"/>
    <w:pPr>
      <w:spacing w:after="0" w:line="240" w:lineRule="auto"/>
      <w:jc w:val="center"/>
    </w:pPr>
    <w:rPr>
      <w:rFonts w:ascii="Times New Roman" w:eastAsia="Times New Roman" w:hAnsi="Times New Roman"/>
      <w:b/>
      <w:bCs/>
      <w:sz w:val="36"/>
      <w:szCs w:val="24"/>
      <w:lang w:val="en-US"/>
    </w:rPr>
  </w:style>
  <w:style w:type="paragraph" w:styleId="NormalWeb">
    <w:name w:val="Normal (Web)"/>
    <w:basedOn w:val="Normal"/>
    <w:uiPriority w:val="99"/>
    <w:unhideWhenUsed/>
    <w:rsid w:val="0037645E"/>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37645E"/>
    <w:pPr>
      <w:spacing w:after="0" w:line="240" w:lineRule="auto"/>
    </w:pPr>
    <w:rPr>
      <w:rFonts w:ascii="Calibri" w:eastAsia="Calibri" w:hAnsi="Calibri" w:cs="Times New Roman"/>
      <w:lang w:val="en-GB"/>
    </w:rPr>
  </w:style>
  <w:style w:type="paragraph" w:customStyle="1" w:styleId="texte">
    <w:name w:val="texte"/>
    <w:basedOn w:val="Normal"/>
    <w:rsid w:val="0037645E"/>
    <w:pPr>
      <w:spacing w:before="100" w:beforeAutospacing="1" w:after="100" w:afterAutospacing="1" w:line="240" w:lineRule="auto"/>
    </w:pPr>
    <w:rPr>
      <w:rFonts w:ascii="Times New Roman" w:eastAsia="Times New Roman" w:hAnsi="Times New Roman"/>
      <w:sz w:val="24"/>
      <w:szCs w:val="24"/>
      <w:lang w:val="en-US"/>
    </w:rPr>
  </w:style>
  <w:style w:type="paragraph" w:styleId="TOC3">
    <w:name w:val="toc 3"/>
    <w:basedOn w:val="Normal"/>
    <w:next w:val="Normal"/>
    <w:autoRedefine/>
    <w:uiPriority w:val="39"/>
    <w:unhideWhenUsed/>
    <w:qFormat/>
    <w:rsid w:val="008A58E6"/>
    <w:pPr>
      <w:tabs>
        <w:tab w:val="left" w:pos="180"/>
        <w:tab w:val="left" w:pos="360"/>
        <w:tab w:val="right" w:leader="dot" w:pos="8790"/>
      </w:tabs>
      <w:spacing w:after="0" w:line="240" w:lineRule="auto"/>
      <w:ind w:left="360"/>
      <w:jc w:val="both"/>
    </w:pPr>
    <w:rPr>
      <w:rFonts w:ascii="Times New Roman" w:eastAsia="Times New Roman" w:hAnsi="Times New Roman"/>
      <w:noProof/>
      <w:sz w:val="24"/>
      <w:szCs w:val="24"/>
      <w:lang w:val="en-US"/>
    </w:rPr>
  </w:style>
  <w:style w:type="character" w:customStyle="1" w:styleId="st1">
    <w:name w:val="st1"/>
    <w:basedOn w:val="DefaultParagraphFont"/>
    <w:rsid w:val="0037645E"/>
  </w:style>
  <w:style w:type="character" w:styleId="Strong">
    <w:name w:val="Strong"/>
    <w:uiPriority w:val="22"/>
    <w:qFormat/>
    <w:rsid w:val="0037645E"/>
    <w:rPr>
      <w:b/>
      <w:bCs/>
    </w:rPr>
  </w:style>
  <w:style w:type="character" w:styleId="FollowedHyperlink">
    <w:name w:val="FollowedHyperlink"/>
    <w:rsid w:val="0037645E"/>
    <w:rPr>
      <w:color w:val="800080"/>
      <w:u w:val="single"/>
    </w:rPr>
  </w:style>
  <w:style w:type="paragraph" w:styleId="TOC1">
    <w:name w:val="toc 1"/>
    <w:basedOn w:val="Normal"/>
    <w:next w:val="Normal"/>
    <w:autoRedefine/>
    <w:uiPriority w:val="39"/>
    <w:unhideWhenUsed/>
    <w:qFormat/>
    <w:rsid w:val="00233604"/>
    <w:pPr>
      <w:tabs>
        <w:tab w:val="left" w:pos="220"/>
        <w:tab w:val="right" w:leader="dot" w:pos="8820"/>
      </w:tabs>
      <w:spacing w:after="0" w:line="240" w:lineRule="auto"/>
      <w:ind w:left="360" w:hanging="360"/>
    </w:pPr>
    <w:rPr>
      <w:rFonts w:ascii="Times New Roman" w:hAnsi="Times New Roman"/>
      <w:bCs/>
      <w:smallCaps/>
      <w:noProof/>
      <w:sz w:val="24"/>
      <w:szCs w:val="24"/>
      <w:lang w:val="en-US"/>
    </w:rPr>
  </w:style>
  <w:style w:type="paragraph" w:styleId="TOC2">
    <w:name w:val="toc 2"/>
    <w:basedOn w:val="Normal"/>
    <w:next w:val="Normal"/>
    <w:autoRedefine/>
    <w:uiPriority w:val="39"/>
    <w:unhideWhenUsed/>
    <w:qFormat/>
    <w:rsid w:val="00931FE3"/>
    <w:pPr>
      <w:tabs>
        <w:tab w:val="left" w:pos="540"/>
        <w:tab w:val="right" w:leader="dot" w:pos="8820"/>
      </w:tabs>
      <w:spacing w:after="0" w:line="360" w:lineRule="auto"/>
      <w:ind w:left="360" w:hanging="360"/>
    </w:pPr>
    <w:rPr>
      <w:rFonts w:ascii="Times New Roman" w:hAnsi="Times New Roman"/>
      <w:b/>
      <w:smallCaps/>
      <w:noProof/>
      <w:color w:val="000000"/>
      <w:sz w:val="24"/>
      <w:szCs w:val="24"/>
      <w:lang w:val="en-US"/>
    </w:rPr>
  </w:style>
  <w:style w:type="paragraph" w:styleId="BodyTextIndent2">
    <w:name w:val="Body Text Indent 2"/>
    <w:basedOn w:val="Normal"/>
    <w:link w:val="BodyTextIndent2Char"/>
    <w:rsid w:val="0037645E"/>
    <w:pPr>
      <w:spacing w:after="0" w:line="240" w:lineRule="auto"/>
      <w:ind w:left="126" w:hanging="126"/>
    </w:pPr>
    <w:rPr>
      <w:rFonts w:ascii="Book Antiqua" w:eastAsia="Times New Roman" w:hAnsi="Book Antiqua"/>
      <w:sz w:val="20"/>
      <w:szCs w:val="16"/>
      <w:lang w:eastAsia="nl-NL"/>
    </w:rPr>
  </w:style>
  <w:style w:type="character" w:customStyle="1" w:styleId="BodyTextIndent2Char">
    <w:name w:val="Body Text Indent 2 Char"/>
    <w:basedOn w:val="DefaultParagraphFont"/>
    <w:link w:val="BodyTextIndent2"/>
    <w:rsid w:val="0037645E"/>
    <w:rPr>
      <w:rFonts w:ascii="Book Antiqua" w:eastAsia="Times New Roman" w:hAnsi="Book Antiqua" w:cs="Times New Roman"/>
      <w:sz w:val="20"/>
      <w:szCs w:val="16"/>
      <w:lang w:val="en-GB" w:eastAsia="nl-NL"/>
    </w:rPr>
  </w:style>
  <w:style w:type="paragraph" w:styleId="BodyText2">
    <w:name w:val="Body Text 2"/>
    <w:basedOn w:val="Normal"/>
    <w:link w:val="BodyText2Char"/>
    <w:rsid w:val="0037645E"/>
    <w:pPr>
      <w:spacing w:after="0" w:line="240" w:lineRule="auto"/>
    </w:pPr>
    <w:rPr>
      <w:rFonts w:ascii="Book Antiqua" w:eastAsia="Times New Roman" w:hAnsi="Book Antiqua"/>
      <w:b/>
      <w:sz w:val="24"/>
      <w:szCs w:val="24"/>
      <w:lang w:val="nl-NL" w:eastAsia="nl-NL"/>
    </w:rPr>
  </w:style>
  <w:style w:type="character" w:customStyle="1" w:styleId="BodyText2Char">
    <w:name w:val="Body Text 2 Char"/>
    <w:basedOn w:val="DefaultParagraphFont"/>
    <w:link w:val="BodyText2"/>
    <w:rsid w:val="0037645E"/>
    <w:rPr>
      <w:rFonts w:ascii="Book Antiqua" w:eastAsia="Times New Roman" w:hAnsi="Book Antiqua" w:cs="Times New Roman"/>
      <w:b/>
      <w:sz w:val="24"/>
      <w:szCs w:val="24"/>
      <w:lang w:val="nl-NL" w:eastAsia="nl-NL"/>
    </w:rPr>
  </w:style>
  <w:style w:type="paragraph" w:styleId="BodyText">
    <w:name w:val="Body Text"/>
    <w:basedOn w:val="Normal"/>
    <w:link w:val="BodyTextChar"/>
    <w:rsid w:val="0037645E"/>
    <w:pPr>
      <w:spacing w:after="0" w:line="240" w:lineRule="auto"/>
      <w:jc w:val="center"/>
    </w:pPr>
    <w:rPr>
      <w:rFonts w:ascii="Book Antiqua" w:eastAsia="Times New Roman" w:hAnsi="Book Antiqua"/>
      <w:sz w:val="20"/>
      <w:szCs w:val="16"/>
      <w:lang w:val="nl-NL" w:eastAsia="nl-NL"/>
    </w:rPr>
  </w:style>
  <w:style w:type="character" w:customStyle="1" w:styleId="BodyTextChar">
    <w:name w:val="Body Text Char"/>
    <w:basedOn w:val="DefaultParagraphFont"/>
    <w:link w:val="BodyText"/>
    <w:rsid w:val="0037645E"/>
    <w:rPr>
      <w:rFonts w:ascii="Book Antiqua" w:eastAsia="Times New Roman" w:hAnsi="Book Antiqua" w:cs="Times New Roman"/>
      <w:sz w:val="20"/>
      <w:szCs w:val="16"/>
      <w:lang w:val="nl-NL" w:eastAsia="nl-NL"/>
    </w:rPr>
  </w:style>
  <w:style w:type="paragraph" w:customStyle="1" w:styleId="figure">
    <w:name w:val="figure"/>
    <w:basedOn w:val="PlainText"/>
    <w:next w:val="BodyText3"/>
    <w:link w:val="figureChar"/>
    <w:qFormat/>
    <w:rsid w:val="0037645E"/>
    <w:pPr>
      <w:spacing w:after="0" w:line="360" w:lineRule="auto"/>
      <w:jc w:val="both"/>
    </w:pPr>
    <w:rPr>
      <w:rFonts w:ascii="Times New Roman" w:hAnsi="Times New Roman"/>
      <w:sz w:val="24"/>
      <w:szCs w:val="24"/>
    </w:rPr>
  </w:style>
  <w:style w:type="paragraph" w:styleId="PlainText">
    <w:name w:val="Plain Text"/>
    <w:basedOn w:val="Normal"/>
    <w:link w:val="PlainTextChar"/>
    <w:uiPriority w:val="99"/>
    <w:semiHidden/>
    <w:unhideWhenUsed/>
    <w:rsid w:val="0037645E"/>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37645E"/>
    <w:rPr>
      <w:rFonts w:ascii="Courier New" w:eastAsia="Calibri" w:hAnsi="Courier New" w:cs="Courier New"/>
      <w:sz w:val="20"/>
      <w:szCs w:val="20"/>
      <w:lang w:val="en-GB"/>
    </w:rPr>
  </w:style>
  <w:style w:type="paragraph" w:styleId="BodyText3">
    <w:name w:val="Body Text 3"/>
    <w:basedOn w:val="Normal"/>
    <w:link w:val="BodyText3Char"/>
    <w:uiPriority w:val="99"/>
    <w:unhideWhenUsed/>
    <w:rsid w:val="0037645E"/>
    <w:pPr>
      <w:spacing w:after="120"/>
    </w:pPr>
    <w:rPr>
      <w:sz w:val="16"/>
      <w:szCs w:val="16"/>
    </w:rPr>
  </w:style>
  <w:style w:type="character" w:customStyle="1" w:styleId="BodyText3Char">
    <w:name w:val="Body Text 3 Char"/>
    <w:basedOn w:val="DefaultParagraphFont"/>
    <w:link w:val="BodyText3"/>
    <w:uiPriority w:val="99"/>
    <w:rsid w:val="0037645E"/>
    <w:rPr>
      <w:rFonts w:ascii="Calibri" w:eastAsia="Calibri" w:hAnsi="Calibri" w:cs="Times New Roman"/>
      <w:sz w:val="16"/>
      <w:szCs w:val="16"/>
      <w:lang w:val="en-GB"/>
    </w:rPr>
  </w:style>
  <w:style w:type="character" w:customStyle="1" w:styleId="figureChar">
    <w:name w:val="figure Char"/>
    <w:basedOn w:val="PlainTextChar"/>
    <w:link w:val="figure"/>
    <w:rsid w:val="0037645E"/>
    <w:rPr>
      <w:rFonts w:ascii="Times New Roman" w:eastAsia="Calibri" w:hAnsi="Times New Roman" w:cs="Courier New"/>
      <w:sz w:val="24"/>
      <w:szCs w:val="24"/>
      <w:lang w:val="en-GB"/>
    </w:rPr>
  </w:style>
  <w:style w:type="character" w:customStyle="1" w:styleId="TableofFiguresChar">
    <w:name w:val="Table of Figures Char"/>
    <w:basedOn w:val="figureChar"/>
    <w:link w:val="TableofFigures"/>
    <w:uiPriority w:val="99"/>
    <w:rsid w:val="0037645E"/>
    <w:rPr>
      <w:rFonts w:ascii="Times New Roman" w:eastAsia="Calibri" w:hAnsi="Times New Roman" w:cs="Courier New"/>
      <w:sz w:val="24"/>
      <w:szCs w:val="24"/>
      <w:lang w:val="en-GB"/>
    </w:rPr>
  </w:style>
  <w:style w:type="paragraph" w:styleId="TableofFigures">
    <w:name w:val="table of figures"/>
    <w:basedOn w:val="Table"/>
    <w:next w:val="Style2"/>
    <w:link w:val="TableofFiguresChar"/>
    <w:autoRedefine/>
    <w:uiPriority w:val="99"/>
    <w:unhideWhenUsed/>
    <w:rsid w:val="0037645E"/>
    <w:rPr>
      <w:rFonts w:cs="Courier New"/>
      <w:b w:val="0"/>
      <w:bCs w:val="0"/>
      <w:iCs w:val="0"/>
      <w:spacing w:val="0"/>
      <w:position w:val="0"/>
    </w:rPr>
  </w:style>
  <w:style w:type="paragraph" w:customStyle="1" w:styleId="Table">
    <w:name w:val="Table"/>
    <w:basedOn w:val="Normal"/>
    <w:link w:val="TableChar"/>
    <w:qFormat/>
    <w:rsid w:val="0037645E"/>
    <w:pPr>
      <w:widowControl w:val="0"/>
      <w:autoSpaceDE w:val="0"/>
      <w:autoSpaceDN w:val="0"/>
      <w:adjustRightInd w:val="0"/>
      <w:spacing w:after="0" w:line="360" w:lineRule="auto"/>
      <w:jc w:val="both"/>
    </w:pPr>
    <w:rPr>
      <w:rFonts w:ascii="Times New Roman" w:hAnsi="Times New Roman"/>
      <w:b/>
      <w:bCs/>
      <w:iCs/>
      <w:spacing w:val="-3"/>
      <w:position w:val="-1"/>
      <w:sz w:val="24"/>
      <w:szCs w:val="24"/>
    </w:rPr>
  </w:style>
  <w:style w:type="character" w:customStyle="1" w:styleId="TableChar">
    <w:name w:val="Table Char"/>
    <w:basedOn w:val="DefaultParagraphFont"/>
    <w:link w:val="Table"/>
    <w:rsid w:val="0037645E"/>
    <w:rPr>
      <w:rFonts w:ascii="Times New Roman" w:eastAsia="Calibri" w:hAnsi="Times New Roman" w:cs="Times New Roman"/>
      <w:b/>
      <w:bCs/>
      <w:iCs/>
      <w:spacing w:val="-3"/>
      <w:position w:val="-1"/>
      <w:sz w:val="24"/>
      <w:szCs w:val="24"/>
      <w:lang w:val="en-GB"/>
    </w:rPr>
  </w:style>
  <w:style w:type="paragraph" w:customStyle="1" w:styleId="Style2">
    <w:name w:val="Style2"/>
    <w:basedOn w:val="Table"/>
    <w:link w:val="Style2Char"/>
    <w:qFormat/>
    <w:rsid w:val="0037645E"/>
  </w:style>
  <w:style w:type="character" w:customStyle="1" w:styleId="Style2Char">
    <w:name w:val="Style2 Char"/>
    <w:basedOn w:val="TableChar"/>
    <w:link w:val="Style2"/>
    <w:rsid w:val="0037645E"/>
    <w:rPr>
      <w:rFonts w:ascii="Times New Roman" w:eastAsia="Calibri" w:hAnsi="Times New Roman" w:cs="Times New Roman"/>
      <w:b/>
      <w:bCs/>
      <w:iCs/>
      <w:spacing w:val="-3"/>
      <w:position w:val="-1"/>
      <w:sz w:val="24"/>
      <w:szCs w:val="24"/>
      <w:lang w:val="en-GB"/>
    </w:rPr>
  </w:style>
  <w:style w:type="paragraph" w:customStyle="1" w:styleId="Style1">
    <w:name w:val="Style1"/>
    <w:basedOn w:val="TableofFigures"/>
    <w:qFormat/>
    <w:rsid w:val="0037645E"/>
    <w:rPr>
      <w:lang w:eastAsia="en-GB"/>
    </w:rPr>
  </w:style>
  <w:style w:type="paragraph" w:customStyle="1" w:styleId="Heading31">
    <w:name w:val="Heading 31"/>
    <w:basedOn w:val="Normal"/>
    <w:next w:val="Heading3"/>
    <w:link w:val="heading3Char0"/>
    <w:qFormat/>
    <w:rsid w:val="0037645E"/>
    <w:pPr>
      <w:spacing w:after="0"/>
    </w:pPr>
    <w:rPr>
      <w:rFonts w:ascii="Times New Roman" w:hAnsi="Times New Roman"/>
      <w:b/>
      <w:i/>
      <w:sz w:val="24"/>
      <w:szCs w:val="28"/>
    </w:rPr>
  </w:style>
  <w:style w:type="character" w:customStyle="1" w:styleId="heading3Char0">
    <w:name w:val="heading 3 Char"/>
    <w:basedOn w:val="DefaultParagraphFont"/>
    <w:link w:val="Heading31"/>
    <w:rsid w:val="0037645E"/>
    <w:rPr>
      <w:rFonts w:ascii="Times New Roman" w:eastAsia="Calibri" w:hAnsi="Times New Roman" w:cs="Times New Roman"/>
      <w:b/>
      <w:i/>
      <w:sz w:val="24"/>
      <w:szCs w:val="28"/>
      <w:lang w:val="en-GB"/>
    </w:rPr>
  </w:style>
  <w:style w:type="paragraph" w:customStyle="1" w:styleId="Heading41">
    <w:name w:val="Heading 41"/>
    <w:basedOn w:val="ListParagraph"/>
    <w:link w:val="heading4Char0"/>
    <w:qFormat/>
    <w:rsid w:val="0037645E"/>
    <w:pPr>
      <w:spacing w:after="0" w:line="360" w:lineRule="auto"/>
      <w:ind w:left="360" w:hanging="360"/>
    </w:pPr>
    <w:rPr>
      <w:rFonts w:ascii="Times New Roman" w:hAnsi="Times New Roman"/>
      <w:i/>
      <w:sz w:val="24"/>
      <w:szCs w:val="24"/>
    </w:rPr>
  </w:style>
  <w:style w:type="character" w:customStyle="1" w:styleId="heading4Char0">
    <w:name w:val="heading 4 Char"/>
    <w:basedOn w:val="ListParagraphChar"/>
    <w:link w:val="Heading41"/>
    <w:rsid w:val="0037645E"/>
    <w:rPr>
      <w:rFonts w:ascii="Times New Roman" w:eastAsia="Calibri" w:hAnsi="Times New Roman" w:cs="Times New Roman"/>
      <w:i/>
      <w:sz w:val="24"/>
      <w:szCs w:val="24"/>
      <w:lang w:val="en-GB"/>
    </w:rPr>
  </w:style>
  <w:style w:type="paragraph" w:styleId="TOC7">
    <w:name w:val="toc 7"/>
    <w:basedOn w:val="Normal"/>
    <w:next w:val="Normal"/>
    <w:autoRedefine/>
    <w:uiPriority w:val="39"/>
    <w:unhideWhenUsed/>
    <w:rsid w:val="0037645E"/>
    <w:pPr>
      <w:ind w:left="1320"/>
    </w:pPr>
    <w:rPr>
      <w:rFonts w:ascii="Times New Roman" w:hAnsi="Times New Roman"/>
      <w:sz w:val="24"/>
      <w:szCs w:val="24"/>
    </w:rPr>
  </w:style>
  <w:style w:type="paragraph" w:styleId="TOC4">
    <w:name w:val="toc 4"/>
    <w:basedOn w:val="Normal"/>
    <w:next w:val="Normal"/>
    <w:autoRedefine/>
    <w:uiPriority w:val="39"/>
    <w:unhideWhenUsed/>
    <w:rsid w:val="0037645E"/>
    <w:pPr>
      <w:ind w:left="660"/>
    </w:pPr>
    <w:rPr>
      <w:rFonts w:ascii="Times New Roman" w:hAnsi="Times New Roman"/>
      <w:i/>
      <w:sz w:val="24"/>
      <w:szCs w:val="24"/>
    </w:rPr>
  </w:style>
  <w:style w:type="paragraph" w:styleId="Bibliography">
    <w:name w:val="Bibliography"/>
    <w:basedOn w:val="Normal"/>
    <w:next w:val="Normal"/>
    <w:uiPriority w:val="37"/>
    <w:unhideWhenUsed/>
    <w:rsid w:val="0037645E"/>
    <w:rPr>
      <w:sz w:val="24"/>
      <w:szCs w:val="24"/>
    </w:rPr>
  </w:style>
  <w:style w:type="character" w:customStyle="1" w:styleId="itemtitle">
    <w:name w:val="item_title"/>
    <w:basedOn w:val="DefaultParagraphFont"/>
    <w:rsid w:val="0037645E"/>
  </w:style>
  <w:style w:type="character" w:styleId="Emphasis">
    <w:name w:val="Emphasis"/>
    <w:basedOn w:val="DefaultParagraphFont"/>
    <w:uiPriority w:val="20"/>
    <w:qFormat/>
    <w:rsid w:val="0037645E"/>
    <w:rPr>
      <w:i/>
      <w:iCs/>
    </w:rPr>
  </w:style>
  <w:style w:type="character" w:customStyle="1" w:styleId="A3">
    <w:name w:val="A3"/>
    <w:uiPriority w:val="99"/>
    <w:rsid w:val="0037645E"/>
    <w:rPr>
      <w:color w:val="000000"/>
    </w:rPr>
  </w:style>
  <w:style w:type="paragraph" w:customStyle="1" w:styleId="Pa8">
    <w:name w:val="Pa8"/>
    <w:basedOn w:val="Normal"/>
    <w:next w:val="Normal"/>
    <w:uiPriority w:val="99"/>
    <w:rsid w:val="0037645E"/>
    <w:pPr>
      <w:autoSpaceDE w:val="0"/>
      <w:autoSpaceDN w:val="0"/>
      <w:adjustRightInd w:val="0"/>
      <w:spacing w:after="0" w:line="281" w:lineRule="atLeast"/>
      <w:jc w:val="both"/>
    </w:pPr>
    <w:rPr>
      <w:rFonts w:ascii="Lucida Sans" w:eastAsia="Malgun Gothic" w:hAnsi="Lucida Sans"/>
      <w:sz w:val="24"/>
      <w:szCs w:val="24"/>
      <w:lang w:val="en-US"/>
    </w:rPr>
  </w:style>
  <w:style w:type="paragraph" w:customStyle="1" w:styleId="Pa3">
    <w:name w:val="Pa3"/>
    <w:basedOn w:val="Normal"/>
    <w:next w:val="Normal"/>
    <w:uiPriority w:val="99"/>
    <w:rsid w:val="0037645E"/>
    <w:pPr>
      <w:autoSpaceDE w:val="0"/>
      <w:autoSpaceDN w:val="0"/>
      <w:adjustRightInd w:val="0"/>
      <w:spacing w:after="0" w:line="241" w:lineRule="atLeast"/>
      <w:jc w:val="both"/>
    </w:pPr>
    <w:rPr>
      <w:rFonts w:ascii="Lucida Sans" w:eastAsia="Malgun Gothic" w:hAnsi="Lucida Sans"/>
      <w:sz w:val="24"/>
      <w:szCs w:val="24"/>
      <w:lang w:val="en-US"/>
    </w:rPr>
  </w:style>
  <w:style w:type="character" w:customStyle="1" w:styleId="A2">
    <w:name w:val="A2"/>
    <w:uiPriority w:val="99"/>
    <w:rsid w:val="0037645E"/>
    <w:rPr>
      <w:rFonts w:cs="Lucida Sans"/>
      <w:b/>
      <w:bCs/>
      <w:color w:val="000000"/>
      <w:sz w:val="26"/>
      <w:szCs w:val="26"/>
    </w:rPr>
  </w:style>
  <w:style w:type="character" w:customStyle="1" w:styleId="A6">
    <w:name w:val="A6"/>
    <w:uiPriority w:val="99"/>
    <w:rsid w:val="0037645E"/>
    <w:rPr>
      <w:rFonts w:ascii="Symbol" w:hAnsi="Symbol" w:cs="Symbol"/>
      <w:color w:val="000000"/>
      <w:sz w:val="20"/>
      <w:szCs w:val="20"/>
    </w:rPr>
  </w:style>
  <w:style w:type="paragraph" w:customStyle="1" w:styleId="msolistparagraph0">
    <w:name w:val="msolistparagraph"/>
    <w:basedOn w:val="Normal"/>
    <w:rsid w:val="0037645E"/>
    <w:pPr>
      <w:ind w:left="720"/>
      <w:contextualSpacing/>
      <w:jc w:val="both"/>
    </w:pPr>
    <w:rPr>
      <w:sz w:val="24"/>
      <w:szCs w:val="24"/>
      <w:lang w:val="en-US"/>
    </w:rPr>
  </w:style>
  <w:style w:type="paragraph" w:customStyle="1" w:styleId="Default">
    <w:name w:val="Default"/>
    <w:rsid w:val="0037645E"/>
    <w:pPr>
      <w:autoSpaceDE w:val="0"/>
      <w:autoSpaceDN w:val="0"/>
      <w:adjustRightInd w:val="0"/>
      <w:spacing w:after="0" w:line="240" w:lineRule="auto"/>
      <w:jc w:val="both"/>
    </w:pPr>
    <w:rPr>
      <w:rFonts w:ascii="Bookman Old Style" w:eastAsia="Times New Roman" w:hAnsi="Bookman Old Style" w:cs="Bookman Old Style"/>
      <w:color w:val="000000"/>
      <w:sz w:val="24"/>
      <w:szCs w:val="24"/>
    </w:rPr>
  </w:style>
  <w:style w:type="paragraph" w:styleId="ListBullet">
    <w:name w:val="List Bullet"/>
    <w:basedOn w:val="Normal"/>
    <w:uiPriority w:val="99"/>
    <w:unhideWhenUsed/>
    <w:rsid w:val="0037645E"/>
    <w:pPr>
      <w:tabs>
        <w:tab w:val="num" w:pos="361"/>
      </w:tabs>
      <w:ind w:leftChars="200" w:left="361" w:hangingChars="200" w:hanging="360"/>
      <w:contextualSpacing/>
      <w:jc w:val="both"/>
    </w:pPr>
    <w:rPr>
      <w:sz w:val="24"/>
      <w:szCs w:val="24"/>
    </w:rPr>
  </w:style>
  <w:style w:type="paragraph" w:styleId="TOC5">
    <w:name w:val="toc 5"/>
    <w:basedOn w:val="Normal"/>
    <w:next w:val="Normal"/>
    <w:autoRedefine/>
    <w:uiPriority w:val="39"/>
    <w:unhideWhenUsed/>
    <w:rsid w:val="0037645E"/>
    <w:pPr>
      <w:widowControl w:val="0"/>
      <w:wordWrap w:val="0"/>
      <w:autoSpaceDE w:val="0"/>
      <w:autoSpaceDN w:val="0"/>
      <w:spacing w:after="0" w:line="240" w:lineRule="auto"/>
      <w:ind w:leftChars="800" w:left="1700"/>
      <w:jc w:val="both"/>
    </w:pPr>
    <w:rPr>
      <w:rFonts w:eastAsia="Times New Roman"/>
      <w:kern w:val="2"/>
      <w:sz w:val="20"/>
      <w:szCs w:val="24"/>
      <w:lang w:val="en-US" w:eastAsia="ko-KR"/>
    </w:rPr>
  </w:style>
  <w:style w:type="paragraph" w:styleId="TOC6">
    <w:name w:val="toc 6"/>
    <w:basedOn w:val="Normal"/>
    <w:next w:val="Normal"/>
    <w:autoRedefine/>
    <w:uiPriority w:val="39"/>
    <w:unhideWhenUsed/>
    <w:rsid w:val="0037645E"/>
    <w:pPr>
      <w:widowControl w:val="0"/>
      <w:wordWrap w:val="0"/>
      <w:autoSpaceDE w:val="0"/>
      <w:autoSpaceDN w:val="0"/>
      <w:spacing w:after="0" w:line="240" w:lineRule="auto"/>
      <w:ind w:leftChars="1000" w:left="2125"/>
      <w:jc w:val="both"/>
    </w:pPr>
    <w:rPr>
      <w:rFonts w:eastAsia="Times New Roman"/>
      <w:kern w:val="2"/>
      <w:sz w:val="20"/>
      <w:szCs w:val="24"/>
      <w:lang w:val="en-US" w:eastAsia="ko-KR"/>
    </w:rPr>
  </w:style>
  <w:style w:type="paragraph" w:styleId="TOC8">
    <w:name w:val="toc 8"/>
    <w:basedOn w:val="Normal"/>
    <w:next w:val="Normal"/>
    <w:autoRedefine/>
    <w:uiPriority w:val="39"/>
    <w:unhideWhenUsed/>
    <w:rsid w:val="0037645E"/>
    <w:pPr>
      <w:widowControl w:val="0"/>
      <w:wordWrap w:val="0"/>
      <w:autoSpaceDE w:val="0"/>
      <w:autoSpaceDN w:val="0"/>
      <w:spacing w:after="0" w:line="240" w:lineRule="auto"/>
      <w:ind w:leftChars="1400" w:left="2975"/>
      <w:jc w:val="both"/>
    </w:pPr>
    <w:rPr>
      <w:rFonts w:eastAsia="Times New Roman"/>
      <w:kern w:val="2"/>
      <w:sz w:val="20"/>
      <w:szCs w:val="24"/>
      <w:lang w:val="en-US" w:eastAsia="ko-KR"/>
    </w:rPr>
  </w:style>
  <w:style w:type="paragraph" w:styleId="TOC9">
    <w:name w:val="toc 9"/>
    <w:basedOn w:val="Normal"/>
    <w:next w:val="Normal"/>
    <w:autoRedefine/>
    <w:uiPriority w:val="39"/>
    <w:unhideWhenUsed/>
    <w:rsid w:val="0037645E"/>
    <w:pPr>
      <w:widowControl w:val="0"/>
      <w:wordWrap w:val="0"/>
      <w:autoSpaceDE w:val="0"/>
      <w:autoSpaceDN w:val="0"/>
      <w:spacing w:after="0" w:line="240" w:lineRule="auto"/>
      <w:ind w:leftChars="1600" w:left="3400"/>
      <w:jc w:val="both"/>
    </w:pPr>
    <w:rPr>
      <w:rFonts w:eastAsia="Times New Roman"/>
      <w:kern w:val="2"/>
      <w:sz w:val="20"/>
      <w:szCs w:val="24"/>
      <w:lang w:val="en-US" w:eastAsia="ko-KR"/>
    </w:rPr>
  </w:style>
  <w:style w:type="character" w:customStyle="1" w:styleId="addmd">
    <w:name w:val="addmd"/>
    <w:basedOn w:val="DefaultParagraphFont"/>
    <w:rsid w:val="0037645E"/>
  </w:style>
  <w:style w:type="paragraph" w:customStyle="1" w:styleId="Abstracttext">
    <w:name w:val="Abstract text"/>
    <w:basedOn w:val="Normal"/>
    <w:rsid w:val="0037645E"/>
    <w:pPr>
      <w:spacing w:line="240" w:lineRule="auto"/>
      <w:jc w:val="both"/>
    </w:pPr>
    <w:rPr>
      <w:rFonts w:ascii="Times New Roman" w:eastAsia="Times New Roman" w:hAnsi="Times New Roman"/>
      <w:i/>
      <w:sz w:val="20"/>
      <w:szCs w:val="20"/>
      <w:lang w:val="en-US"/>
    </w:rPr>
  </w:style>
  <w:style w:type="paragraph" w:customStyle="1" w:styleId="NoSpacing1">
    <w:name w:val="No Spacing1"/>
    <w:basedOn w:val="Normal"/>
    <w:uiPriority w:val="1"/>
    <w:qFormat/>
    <w:rsid w:val="0037645E"/>
    <w:pPr>
      <w:spacing w:after="0" w:line="240" w:lineRule="auto"/>
    </w:pPr>
    <w:rPr>
      <w:rFonts w:ascii="Times New Roman" w:eastAsia="Times New Roman" w:hAnsi="Times New Roman"/>
      <w:sz w:val="24"/>
      <w:lang w:val="en-US" w:bidi="en-US"/>
    </w:rPr>
  </w:style>
  <w:style w:type="character" w:customStyle="1" w:styleId="st">
    <w:name w:val="st"/>
    <w:basedOn w:val="DefaultParagraphFont"/>
    <w:rsid w:val="0037645E"/>
  </w:style>
  <w:style w:type="paragraph" w:customStyle="1" w:styleId="svarticle">
    <w:name w:val="svarticle"/>
    <w:basedOn w:val="Normal"/>
    <w:rsid w:val="00841713"/>
    <w:pPr>
      <w:spacing w:before="100" w:beforeAutospacing="1" w:after="100" w:afterAutospacing="1" w:line="240" w:lineRule="auto"/>
    </w:pPr>
    <w:rPr>
      <w:rFonts w:ascii="Times New Roman" w:eastAsia="Times New Roman" w:hAnsi="Times New Roman"/>
      <w:sz w:val="24"/>
      <w:szCs w:val="24"/>
      <w:lang w:val="en-US"/>
    </w:rPr>
  </w:style>
  <w:style w:type="table" w:styleId="MediumShading1-Accent6">
    <w:name w:val="Medium Shading 1 Accent 6"/>
    <w:basedOn w:val="TableNormal"/>
    <w:uiPriority w:val="63"/>
    <w:rsid w:val="00303455"/>
    <w:pPr>
      <w:spacing w:after="0" w:line="240" w:lineRule="auto"/>
    </w:pPr>
    <w:tblPr>
      <w:tblStyleRowBandSize w:val="1"/>
      <w:tblStyleColBandSize w:val="1"/>
      <w:tblInd w:w="0" w:type="dxa"/>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paragraph" w:customStyle="1" w:styleId="wp-caption-text">
    <w:name w:val="wp-caption-text"/>
    <w:basedOn w:val="Normal"/>
    <w:rsid w:val="0069240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MainText">
    <w:name w:val="Main Text"/>
    <w:basedOn w:val="Normal"/>
    <w:rsid w:val="00B315C9"/>
    <w:pPr>
      <w:spacing w:after="120" w:line="240" w:lineRule="auto"/>
      <w:jc w:val="both"/>
    </w:pPr>
    <w:rPr>
      <w:rFonts w:ascii="Arial" w:eastAsia="Times New Roman" w:hAnsi="Arial" w:cs="Arial"/>
    </w:rPr>
  </w:style>
  <w:style w:type="paragraph" w:customStyle="1" w:styleId="21-SciencePG-Figure">
    <w:name w:val="21-SciencePG-Figure"/>
    <w:basedOn w:val="Normal"/>
    <w:qFormat/>
    <w:rsid w:val="00516E72"/>
    <w:pPr>
      <w:widowControl w:val="0"/>
      <w:adjustRightInd w:val="0"/>
      <w:snapToGrid w:val="0"/>
      <w:spacing w:before="200" w:after="100" w:line="240" w:lineRule="auto"/>
      <w:jc w:val="center"/>
    </w:pPr>
    <w:rPr>
      <w:rFonts w:asciiTheme="minorHAnsi" w:eastAsia="Times New Roman" w:hAnsiTheme="minorHAnsi" w:cstheme="minorBidi"/>
      <w:noProof/>
      <w:kern w:val="2"/>
      <w:sz w:val="24"/>
      <w:lang w:val="en-US" w:eastAsia="zh-CN"/>
    </w:rPr>
  </w:style>
  <w:style w:type="paragraph" w:customStyle="1" w:styleId="22-SciencePG-Figure-caption-single-line">
    <w:name w:val="22-SciencePG-Figure-caption-single-line"/>
    <w:basedOn w:val="Normal"/>
    <w:qFormat/>
    <w:rsid w:val="00516E72"/>
    <w:pPr>
      <w:widowControl w:val="0"/>
      <w:adjustRightInd w:val="0"/>
      <w:snapToGrid w:val="0"/>
      <w:spacing w:before="100" w:line="200" w:lineRule="exact"/>
      <w:jc w:val="center"/>
    </w:pPr>
    <w:rPr>
      <w:rFonts w:ascii="Times New Roman" w:eastAsia="Times New Roman" w:hAnsi="Times New Roman"/>
      <w:i/>
      <w:kern w:val="2"/>
      <w:sz w:val="16"/>
      <w:szCs w:val="16"/>
      <w:lang w:val="en-US" w:eastAsia="zh-CN"/>
    </w:rPr>
  </w:style>
  <w:style w:type="paragraph" w:customStyle="1" w:styleId="29-SciencePG-Text-with-Formula">
    <w:name w:val="29-SciencePG-Text-with-Formula"/>
    <w:basedOn w:val="Normal"/>
    <w:qFormat/>
    <w:rsid w:val="00D810F8"/>
    <w:pPr>
      <w:widowControl w:val="0"/>
      <w:adjustRightInd w:val="0"/>
      <w:snapToGrid w:val="0"/>
      <w:spacing w:after="0" w:line="240" w:lineRule="auto"/>
      <w:ind w:firstLineChars="100" w:firstLine="100"/>
      <w:jc w:val="both"/>
    </w:pPr>
    <w:rPr>
      <w:rFonts w:ascii="Times New Roman" w:eastAsia="Times New Roman" w:hAnsi="Times New Roman"/>
      <w:kern w:val="2"/>
      <w:sz w:val="20"/>
      <w:szCs w:val="20"/>
      <w:lang w:val="en-US" w:eastAsia="zh-CN"/>
    </w:rPr>
  </w:style>
  <w:style w:type="paragraph" w:customStyle="1" w:styleId="20-SciencePG-Text">
    <w:name w:val="20-SciencePG-Text"/>
    <w:basedOn w:val="Normal"/>
    <w:qFormat/>
    <w:rsid w:val="00531C12"/>
    <w:pPr>
      <w:widowControl w:val="0"/>
      <w:adjustRightInd w:val="0"/>
      <w:snapToGrid w:val="0"/>
      <w:spacing w:after="0" w:line="240" w:lineRule="exact"/>
      <w:ind w:firstLineChars="100" w:firstLine="100"/>
      <w:jc w:val="both"/>
    </w:pPr>
    <w:rPr>
      <w:rFonts w:ascii="Times New Roman" w:eastAsia="Times New Roman" w:hAnsi="Times New Roman"/>
      <w:kern w:val="2"/>
      <w:sz w:val="20"/>
      <w:szCs w:val="20"/>
      <w:lang w:val="en-US" w:eastAsia="zh-CN"/>
    </w:rPr>
  </w:style>
  <w:style w:type="paragraph" w:customStyle="1" w:styleId="71-SciencePG-Figure-caption-single-line-with-Formula">
    <w:name w:val="71-SciencePG-Figure-caption-single-line-with-Formula"/>
    <w:basedOn w:val="Normal"/>
    <w:qFormat/>
    <w:rsid w:val="00546B39"/>
    <w:pPr>
      <w:widowControl w:val="0"/>
      <w:adjustRightInd w:val="0"/>
      <w:snapToGrid w:val="0"/>
      <w:spacing w:before="100" w:line="240" w:lineRule="auto"/>
      <w:jc w:val="center"/>
    </w:pPr>
    <w:rPr>
      <w:rFonts w:ascii="Times New Roman" w:eastAsia="Times New Roman" w:hAnsi="Times New Roman"/>
      <w:i/>
      <w:kern w:val="2"/>
      <w:sz w:val="16"/>
      <w:szCs w:val="20"/>
      <w:lang w:val="en-US" w:eastAsia="zh-CN"/>
    </w:rPr>
  </w:style>
  <w:style w:type="table" w:styleId="LightShading-Accent3">
    <w:name w:val="Light Shading Accent 3"/>
    <w:basedOn w:val="TableNormal"/>
    <w:uiPriority w:val="60"/>
    <w:rsid w:val="00D77C66"/>
    <w:pPr>
      <w:spacing w:after="0" w:line="240" w:lineRule="auto"/>
    </w:pPr>
    <w:rPr>
      <w:color w:val="A95715" w:themeColor="accent3" w:themeShade="BF"/>
    </w:rPr>
    <w:tblPr>
      <w:tblStyleRowBandSize w:val="1"/>
      <w:tblStyleColBandSize w:val="1"/>
      <w:tblInd w:w="0" w:type="dxa"/>
      <w:tblBorders>
        <w:top w:val="single" w:sz="8" w:space="0" w:color="E2751D" w:themeColor="accent3"/>
        <w:bottom w:val="single" w:sz="8" w:space="0" w:color="E2751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2751D" w:themeColor="accent3"/>
          <w:left w:val="nil"/>
          <w:bottom w:val="single" w:sz="8" w:space="0" w:color="E2751D" w:themeColor="accent3"/>
          <w:right w:val="nil"/>
          <w:insideH w:val="nil"/>
          <w:insideV w:val="nil"/>
        </w:tcBorders>
      </w:tcPr>
    </w:tblStylePr>
    <w:tblStylePr w:type="lastRow">
      <w:pPr>
        <w:spacing w:before="0" w:after="0" w:line="240" w:lineRule="auto"/>
      </w:pPr>
      <w:rPr>
        <w:b/>
        <w:bCs/>
      </w:rPr>
      <w:tblPr/>
      <w:tcPr>
        <w:tcBorders>
          <w:top w:val="single" w:sz="8" w:space="0" w:color="E2751D" w:themeColor="accent3"/>
          <w:left w:val="nil"/>
          <w:bottom w:val="single" w:sz="8" w:space="0" w:color="E2751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CC7" w:themeFill="accent3" w:themeFillTint="3F"/>
      </w:tcPr>
    </w:tblStylePr>
    <w:tblStylePr w:type="band1Horz">
      <w:tblPr/>
      <w:tcPr>
        <w:tcBorders>
          <w:left w:val="nil"/>
          <w:right w:val="nil"/>
          <w:insideH w:val="nil"/>
          <w:insideV w:val="nil"/>
        </w:tcBorders>
        <w:shd w:val="clear" w:color="auto" w:fill="F8DCC7" w:themeFill="accent3" w:themeFillTint="3F"/>
      </w:tcPr>
    </w:tblStylePr>
  </w:style>
  <w:style w:type="table" w:styleId="MediumList2-Accent6">
    <w:name w:val="Medium List 2 Accent 6"/>
    <w:basedOn w:val="TableNormal"/>
    <w:uiPriority w:val="66"/>
    <w:rsid w:val="006945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0000" w:themeColor="accent6"/>
        <w:left w:val="single" w:sz="8" w:space="0" w:color="C00000" w:themeColor="accent6"/>
        <w:bottom w:val="single" w:sz="8" w:space="0" w:color="C00000" w:themeColor="accent6"/>
        <w:right w:val="single" w:sz="8" w:space="0" w:color="C00000"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8B378C"/>
    <w:pPr>
      <w:spacing w:after="0" w:line="240" w:lineRule="auto"/>
    </w:pPr>
    <w:tblPr>
      <w:tblStyleRowBandSize w:val="1"/>
      <w:tblStyleColBandSize w:val="1"/>
      <w:tblInd w:w="0" w:type="dxa"/>
      <w:tblBorders>
        <w:top w:val="single" w:sz="8" w:space="0" w:color="E2751D" w:themeColor="accent3"/>
        <w:left w:val="single" w:sz="8" w:space="0" w:color="E2751D" w:themeColor="accent3"/>
        <w:bottom w:val="single" w:sz="8" w:space="0" w:color="E2751D" w:themeColor="accent3"/>
        <w:right w:val="single" w:sz="8" w:space="0" w:color="E2751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2751D" w:themeFill="accent3"/>
      </w:tcPr>
    </w:tblStylePr>
    <w:tblStylePr w:type="lastRow">
      <w:pPr>
        <w:spacing w:before="0" w:after="0" w:line="240" w:lineRule="auto"/>
      </w:pPr>
      <w:rPr>
        <w:b/>
        <w:bCs/>
      </w:rPr>
      <w:tblPr/>
      <w:tcPr>
        <w:tcBorders>
          <w:top w:val="double" w:sz="6" w:space="0" w:color="E2751D" w:themeColor="accent3"/>
          <w:left w:val="single" w:sz="8" w:space="0" w:color="E2751D" w:themeColor="accent3"/>
          <w:bottom w:val="single" w:sz="8" w:space="0" w:color="E2751D" w:themeColor="accent3"/>
          <w:right w:val="single" w:sz="8" w:space="0" w:color="E2751D" w:themeColor="accent3"/>
        </w:tcBorders>
      </w:tcPr>
    </w:tblStylePr>
    <w:tblStylePr w:type="firstCol">
      <w:rPr>
        <w:b/>
        <w:bCs/>
      </w:rPr>
    </w:tblStylePr>
    <w:tblStylePr w:type="lastCol">
      <w:rPr>
        <w:b/>
        <w:bCs/>
      </w:rPr>
    </w:tblStylePr>
    <w:tblStylePr w:type="band1Vert">
      <w:tblPr/>
      <w:tcPr>
        <w:tcBorders>
          <w:top w:val="single" w:sz="8" w:space="0" w:color="E2751D" w:themeColor="accent3"/>
          <w:left w:val="single" w:sz="8" w:space="0" w:color="E2751D" w:themeColor="accent3"/>
          <w:bottom w:val="single" w:sz="8" w:space="0" w:color="E2751D" w:themeColor="accent3"/>
          <w:right w:val="single" w:sz="8" w:space="0" w:color="E2751D" w:themeColor="accent3"/>
        </w:tcBorders>
      </w:tcPr>
    </w:tblStylePr>
    <w:tblStylePr w:type="band1Horz">
      <w:tblPr/>
      <w:tcPr>
        <w:tcBorders>
          <w:top w:val="single" w:sz="8" w:space="0" w:color="E2751D" w:themeColor="accent3"/>
          <w:left w:val="single" w:sz="8" w:space="0" w:color="E2751D" w:themeColor="accent3"/>
          <w:bottom w:val="single" w:sz="8" w:space="0" w:color="E2751D" w:themeColor="accent3"/>
          <w:right w:val="single" w:sz="8" w:space="0" w:color="E2751D" w:themeColor="accent3"/>
        </w:tcBorders>
      </w:tcPr>
    </w:tblStylePr>
  </w:style>
  <w:style w:type="table" w:styleId="MediumShading2-Accent3">
    <w:name w:val="Medium Shading 2 Accent 3"/>
    <w:basedOn w:val="TableNormal"/>
    <w:uiPriority w:val="64"/>
    <w:rsid w:val="008B37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2751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2751D" w:themeFill="accent3"/>
      </w:tcPr>
    </w:tblStylePr>
    <w:tblStylePr w:type="lastCol">
      <w:rPr>
        <w:b/>
        <w:bCs/>
        <w:color w:val="FFFFFF" w:themeColor="background1"/>
      </w:rPr>
      <w:tblPr/>
      <w:tcPr>
        <w:tcBorders>
          <w:left w:val="nil"/>
          <w:right w:val="nil"/>
          <w:insideH w:val="nil"/>
          <w:insideV w:val="nil"/>
        </w:tcBorders>
        <w:shd w:val="clear" w:color="auto" w:fill="E2751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3">
    <w:name w:val="Colorful List Accent 3"/>
    <w:basedOn w:val="TableNormal"/>
    <w:uiPriority w:val="72"/>
    <w:rsid w:val="008B378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1E8" w:themeFill="accent3" w:themeFillTint="19"/>
    </w:tcPr>
    <w:tblStylePr w:type="firstRow">
      <w:rPr>
        <w:b/>
        <w:bCs/>
        <w:color w:val="FFFFFF" w:themeColor="background1"/>
      </w:rPr>
      <w:tblPr/>
      <w:tcPr>
        <w:tcBorders>
          <w:bottom w:val="single" w:sz="12" w:space="0" w:color="FFFFFF" w:themeColor="background1"/>
        </w:tcBorders>
        <w:shd w:val="clear" w:color="auto" w:fill="CC9000" w:themeFill="accent4" w:themeFillShade="CC"/>
      </w:tcPr>
    </w:tblStylePr>
    <w:tblStylePr w:type="lastRow">
      <w:rPr>
        <w:b/>
        <w:bCs/>
        <w:color w:val="CC90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CC7" w:themeFill="accent3" w:themeFillTint="3F"/>
      </w:tcPr>
    </w:tblStylePr>
    <w:tblStylePr w:type="band1Horz">
      <w:tblPr/>
      <w:tcPr>
        <w:shd w:val="clear" w:color="auto" w:fill="F9E3D1" w:themeFill="accent3" w:themeFillTint="33"/>
      </w:tcPr>
    </w:tblStylePr>
  </w:style>
  <w:style w:type="table" w:styleId="ColorfulGrid-Accent3">
    <w:name w:val="Colorful Grid Accent 3"/>
    <w:basedOn w:val="TableNormal"/>
    <w:uiPriority w:val="73"/>
    <w:rsid w:val="008B378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E3D1" w:themeFill="accent3" w:themeFillTint="33"/>
    </w:tcPr>
    <w:tblStylePr w:type="firstRow">
      <w:rPr>
        <w:b/>
        <w:bCs/>
      </w:rPr>
      <w:tblPr/>
      <w:tcPr>
        <w:shd w:val="clear" w:color="auto" w:fill="F3C7A4" w:themeFill="accent3" w:themeFillTint="66"/>
      </w:tcPr>
    </w:tblStylePr>
    <w:tblStylePr w:type="lastRow">
      <w:rPr>
        <w:b/>
        <w:bCs/>
        <w:color w:val="000000" w:themeColor="text1"/>
      </w:rPr>
      <w:tblPr/>
      <w:tcPr>
        <w:shd w:val="clear" w:color="auto" w:fill="F3C7A4" w:themeFill="accent3" w:themeFillTint="66"/>
      </w:tcPr>
    </w:tblStylePr>
    <w:tblStylePr w:type="firstCol">
      <w:rPr>
        <w:color w:val="FFFFFF" w:themeColor="background1"/>
      </w:rPr>
      <w:tblPr/>
      <w:tcPr>
        <w:shd w:val="clear" w:color="auto" w:fill="A95715" w:themeFill="accent3" w:themeFillShade="BF"/>
      </w:tcPr>
    </w:tblStylePr>
    <w:tblStylePr w:type="lastCol">
      <w:rPr>
        <w:color w:val="FFFFFF" w:themeColor="background1"/>
      </w:rPr>
      <w:tblPr/>
      <w:tcPr>
        <w:shd w:val="clear" w:color="auto" w:fill="A95715" w:themeFill="accent3" w:themeFillShade="BF"/>
      </w:tcPr>
    </w:tblStylePr>
    <w:tblStylePr w:type="band1Vert">
      <w:tblPr/>
      <w:tcPr>
        <w:shd w:val="clear" w:color="auto" w:fill="F0B98E" w:themeFill="accent3" w:themeFillTint="7F"/>
      </w:tcPr>
    </w:tblStylePr>
    <w:tblStylePr w:type="band1Horz">
      <w:tblPr/>
      <w:tcPr>
        <w:shd w:val="clear" w:color="auto" w:fill="F0B98E" w:themeFill="accent3" w:themeFillTint="7F"/>
      </w:tcPr>
    </w:tblStylePr>
  </w:style>
  <w:style w:type="table" w:styleId="ColorfulGrid-Accent6">
    <w:name w:val="Colorful Grid Accent 6"/>
    <w:basedOn w:val="TableNormal"/>
    <w:uiPriority w:val="73"/>
    <w:rsid w:val="008B378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000000"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LightShading-Accent4">
    <w:name w:val="Light Shading Accent 4"/>
    <w:basedOn w:val="TableNormal"/>
    <w:uiPriority w:val="60"/>
    <w:rsid w:val="008B378C"/>
    <w:pPr>
      <w:spacing w:after="0" w:line="240" w:lineRule="auto"/>
    </w:pPr>
    <w:rPr>
      <w:color w:val="BF8600" w:themeColor="accent4" w:themeShade="BF"/>
    </w:rPr>
    <w:tblPr>
      <w:tblStyleRowBandSize w:val="1"/>
      <w:tblStyleColBandSize w:val="1"/>
      <w:tblInd w:w="0" w:type="dxa"/>
      <w:tblBorders>
        <w:top w:val="single" w:sz="8" w:space="0" w:color="FFB400" w:themeColor="accent4"/>
        <w:bottom w:val="single" w:sz="8" w:space="0" w:color="FFB4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B400" w:themeColor="accent4"/>
          <w:left w:val="nil"/>
          <w:bottom w:val="single" w:sz="8" w:space="0" w:color="FFB400" w:themeColor="accent4"/>
          <w:right w:val="nil"/>
          <w:insideH w:val="nil"/>
          <w:insideV w:val="nil"/>
        </w:tcBorders>
      </w:tcPr>
    </w:tblStylePr>
    <w:tblStylePr w:type="lastRow">
      <w:pPr>
        <w:spacing w:before="0" w:after="0" w:line="240" w:lineRule="auto"/>
      </w:pPr>
      <w:rPr>
        <w:b/>
        <w:bCs/>
      </w:rPr>
      <w:tblPr/>
      <w:tcPr>
        <w:tcBorders>
          <w:top w:val="single" w:sz="8" w:space="0" w:color="FFB400" w:themeColor="accent4"/>
          <w:left w:val="nil"/>
          <w:bottom w:val="single" w:sz="8" w:space="0" w:color="FFB4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0" w:themeFill="accent4" w:themeFillTint="3F"/>
      </w:tcPr>
    </w:tblStylePr>
    <w:tblStylePr w:type="band1Horz">
      <w:tblPr/>
      <w:tcPr>
        <w:tcBorders>
          <w:left w:val="nil"/>
          <w:right w:val="nil"/>
          <w:insideH w:val="nil"/>
          <w:insideV w:val="nil"/>
        </w:tcBorders>
        <w:shd w:val="clear" w:color="auto" w:fill="FFECC0" w:themeFill="accent4" w:themeFillTint="3F"/>
      </w:tcPr>
    </w:tblStylePr>
  </w:style>
  <w:style w:type="table" w:styleId="LightShading-Accent6">
    <w:name w:val="Light Shading Accent 6"/>
    <w:basedOn w:val="TableNormal"/>
    <w:uiPriority w:val="60"/>
    <w:rsid w:val="008B378C"/>
    <w:pPr>
      <w:spacing w:after="0" w:line="240" w:lineRule="auto"/>
    </w:pPr>
    <w:rPr>
      <w:color w:val="8F0000" w:themeColor="accent6" w:themeShade="BF"/>
    </w:rPr>
    <w:tblPr>
      <w:tblStyleRowBandSize w:val="1"/>
      <w:tblStyleColBandSize w:val="1"/>
      <w:tblInd w:w="0" w:type="dxa"/>
      <w:tblBorders>
        <w:top w:val="single" w:sz="8" w:space="0" w:color="C00000" w:themeColor="accent6"/>
        <w:bottom w:val="single" w:sz="8" w:space="0" w:color="C0000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LightList-Accent5">
    <w:name w:val="Light List Accent 5"/>
    <w:basedOn w:val="TableNormal"/>
    <w:uiPriority w:val="61"/>
    <w:rsid w:val="008B378C"/>
    <w:pPr>
      <w:spacing w:after="0" w:line="240" w:lineRule="auto"/>
    </w:pPr>
    <w:tblPr>
      <w:tblStyleRowBandSize w:val="1"/>
      <w:tblStyleColBandSize w:val="1"/>
      <w:tblInd w:w="0" w:type="dxa"/>
      <w:tblBorders>
        <w:top w:val="single" w:sz="8" w:space="0" w:color="7EB606" w:themeColor="accent5"/>
        <w:left w:val="single" w:sz="8" w:space="0" w:color="7EB606" w:themeColor="accent5"/>
        <w:bottom w:val="single" w:sz="8" w:space="0" w:color="7EB606" w:themeColor="accent5"/>
        <w:right w:val="single" w:sz="8" w:space="0" w:color="7EB60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B606" w:themeFill="accent5"/>
      </w:tcPr>
    </w:tblStylePr>
    <w:tblStylePr w:type="lastRow">
      <w:pPr>
        <w:spacing w:before="0" w:after="0" w:line="240" w:lineRule="auto"/>
      </w:pPr>
      <w:rPr>
        <w:b/>
        <w:bCs/>
      </w:rPr>
      <w:tblPr/>
      <w:tcPr>
        <w:tcBorders>
          <w:top w:val="double" w:sz="6" w:space="0" w:color="7EB606" w:themeColor="accent5"/>
          <w:left w:val="single" w:sz="8" w:space="0" w:color="7EB606" w:themeColor="accent5"/>
          <w:bottom w:val="single" w:sz="8" w:space="0" w:color="7EB606" w:themeColor="accent5"/>
          <w:right w:val="single" w:sz="8" w:space="0" w:color="7EB606" w:themeColor="accent5"/>
        </w:tcBorders>
      </w:tcPr>
    </w:tblStylePr>
    <w:tblStylePr w:type="firstCol">
      <w:rPr>
        <w:b/>
        <w:bCs/>
      </w:rPr>
    </w:tblStylePr>
    <w:tblStylePr w:type="lastCol">
      <w:rPr>
        <w:b/>
        <w:bCs/>
      </w:rPr>
    </w:tblStylePr>
    <w:tblStylePr w:type="band1Vert">
      <w:tblPr/>
      <w:tcPr>
        <w:tcBorders>
          <w:top w:val="single" w:sz="8" w:space="0" w:color="7EB606" w:themeColor="accent5"/>
          <w:left w:val="single" w:sz="8" w:space="0" w:color="7EB606" w:themeColor="accent5"/>
          <w:bottom w:val="single" w:sz="8" w:space="0" w:color="7EB606" w:themeColor="accent5"/>
          <w:right w:val="single" w:sz="8" w:space="0" w:color="7EB606" w:themeColor="accent5"/>
        </w:tcBorders>
      </w:tcPr>
    </w:tblStylePr>
    <w:tblStylePr w:type="band1Horz">
      <w:tblPr/>
      <w:tcPr>
        <w:tcBorders>
          <w:top w:val="single" w:sz="8" w:space="0" w:color="7EB606" w:themeColor="accent5"/>
          <w:left w:val="single" w:sz="8" w:space="0" w:color="7EB606" w:themeColor="accent5"/>
          <w:bottom w:val="single" w:sz="8" w:space="0" w:color="7EB606" w:themeColor="accent5"/>
          <w:right w:val="single" w:sz="8" w:space="0" w:color="7EB606" w:themeColor="accent5"/>
        </w:tcBorders>
      </w:tcPr>
    </w:tblStylePr>
  </w:style>
  <w:style w:type="table" w:styleId="MediumShading2-Accent6">
    <w:name w:val="Medium Shading 2 Accent 6"/>
    <w:basedOn w:val="TableNormal"/>
    <w:uiPriority w:val="64"/>
    <w:rsid w:val="008B37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8B378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44A58" w:themeColor="accent2"/>
        <w:left w:val="single" w:sz="8" w:space="0" w:color="244A58" w:themeColor="accent2"/>
        <w:bottom w:val="single" w:sz="8" w:space="0" w:color="244A58" w:themeColor="accent2"/>
        <w:right w:val="single" w:sz="8" w:space="0" w:color="244A58"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244A58" w:themeColor="accent2"/>
          <w:right w:val="nil"/>
          <w:insideH w:val="nil"/>
          <w:insideV w:val="nil"/>
        </w:tcBorders>
        <w:shd w:val="clear" w:color="auto" w:fill="FFFFFF" w:themeFill="background1"/>
      </w:tcPr>
    </w:tblStylePr>
    <w:tblStylePr w:type="lastRow">
      <w:tblPr/>
      <w:tcPr>
        <w:tcBorders>
          <w:top w:val="single" w:sz="8" w:space="0" w:color="244A5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4A58" w:themeColor="accent2"/>
          <w:insideH w:val="nil"/>
          <w:insideV w:val="nil"/>
        </w:tcBorders>
        <w:shd w:val="clear" w:color="auto" w:fill="FFFFFF" w:themeFill="background1"/>
      </w:tcPr>
    </w:tblStylePr>
    <w:tblStylePr w:type="lastCol">
      <w:tblPr/>
      <w:tcPr>
        <w:tcBorders>
          <w:top w:val="nil"/>
          <w:left w:val="single" w:sz="8" w:space="0" w:color="244A5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D8E3" w:themeFill="accent2" w:themeFillTint="3F"/>
      </w:tcPr>
    </w:tblStylePr>
    <w:tblStylePr w:type="band1Horz">
      <w:tblPr/>
      <w:tcPr>
        <w:tcBorders>
          <w:top w:val="nil"/>
          <w:bottom w:val="nil"/>
          <w:insideH w:val="nil"/>
          <w:insideV w:val="nil"/>
        </w:tcBorders>
        <w:shd w:val="clear" w:color="auto" w:fill="BBD8E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8B378C"/>
    <w:pPr>
      <w:spacing w:after="0" w:line="240" w:lineRule="auto"/>
    </w:pPr>
    <w:rPr>
      <w:color w:val="000000" w:themeColor="text1"/>
    </w:rPr>
    <w:tblPr>
      <w:tblStyleRowBandSize w:val="1"/>
      <w:tblStyleColBandSize w:val="1"/>
      <w:tblInd w:w="0" w:type="dxa"/>
      <w:tblBorders>
        <w:top w:val="single" w:sz="8" w:space="0" w:color="C00000" w:themeColor="accent6"/>
        <w:bottom w:val="single" w:sz="8" w:space="0" w:color="C0000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0921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ghtShading-Accent2">
    <w:name w:val="Light Shading Accent 2"/>
    <w:basedOn w:val="TableNormal"/>
    <w:uiPriority w:val="60"/>
    <w:rsid w:val="00BF2C97"/>
    <w:pPr>
      <w:spacing w:after="0" w:line="240" w:lineRule="auto"/>
    </w:pPr>
    <w:rPr>
      <w:color w:val="1B3741" w:themeColor="accent2" w:themeShade="BF"/>
    </w:rPr>
    <w:tblPr>
      <w:tblStyleRowBandSize w:val="1"/>
      <w:tblStyleColBandSize w:val="1"/>
      <w:tblInd w:w="0" w:type="dxa"/>
      <w:tblBorders>
        <w:top w:val="single" w:sz="8" w:space="0" w:color="244A58" w:themeColor="accent2"/>
        <w:bottom w:val="single" w:sz="8" w:space="0" w:color="244A5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44A58" w:themeColor="accent2"/>
          <w:left w:val="nil"/>
          <w:bottom w:val="single" w:sz="8" w:space="0" w:color="244A58" w:themeColor="accent2"/>
          <w:right w:val="nil"/>
          <w:insideH w:val="nil"/>
          <w:insideV w:val="nil"/>
        </w:tcBorders>
      </w:tcPr>
    </w:tblStylePr>
    <w:tblStylePr w:type="lastRow">
      <w:pPr>
        <w:spacing w:before="0" w:after="0" w:line="240" w:lineRule="auto"/>
      </w:pPr>
      <w:rPr>
        <w:b/>
        <w:bCs/>
      </w:rPr>
      <w:tblPr/>
      <w:tcPr>
        <w:tcBorders>
          <w:top w:val="single" w:sz="8" w:space="0" w:color="244A58" w:themeColor="accent2"/>
          <w:left w:val="nil"/>
          <w:bottom w:val="single" w:sz="8" w:space="0" w:color="244A5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D8E3" w:themeFill="accent2" w:themeFillTint="3F"/>
      </w:tcPr>
    </w:tblStylePr>
    <w:tblStylePr w:type="band1Horz">
      <w:tblPr/>
      <w:tcPr>
        <w:tcBorders>
          <w:left w:val="nil"/>
          <w:right w:val="nil"/>
          <w:insideH w:val="nil"/>
          <w:insideV w:val="nil"/>
        </w:tcBorders>
        <w:shd w:val="clear" w:color="auto" w:fill="BBD8E3" w:themeFill="accent2" w:themeFillTint="3F"/>
      </w:tcPr>
    </w:tblStylePr>
  </w:style>
  <w:style w:type="table" w:customStyle="1" w:styleId="MediumList11">
    <w:name w:val="Medium List 11"/>
    <w:basedOn w:val="TableNormal"/>
    <w:uiPriority w:val="65"/>
    <w:rsid w:val="00BF2C9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9213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5">
    <w:name w:val="Light Shading Accent 5"/>
    <w:basedOn w:val="TableNormal"/>
    <w:uiPriority w:val="60"/>
    <w:rsid w:val="00BF2C97"/>
    <w:pPr>
      <w:spacing w:after="0" w:line="240" w:lineRule="auto"/>
    </w:pPr>
    <w:rPr>
      <w:color w:val="5D8804" w:themeColor="accent5" w:themeShade="BF"/>
    </w:rPr>
    <w:tblPr>
      <w:tblStyleRowBandSize w:val="1"/>
      <w:tblStyleColBandSize w:val="1"/>
      <w:tblInd w:w="0" w:type="dxa"/>
      <w:tblBorders>
        <w:top w:val="single" w:sz="8" w:space="0" w:color="7EB606" w:themeColor="accent5"/>
        <w:bottom w:val="single" w:sz="8" w:space="0" w:color="7EB60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B606" w:themeColor="accent5"/>
          <w:left w:val="nil"/>
          <w:bottom w:val="single" w:sz="8" w:space="0" w:color="7EB606" w:themeColor="accent5"/>
          <w:right w:val="nil"/>
          <w:insideH w:val="nil"/>
          <w:insideV w:val="nil"/>
        </w:tcBorders>
      </w:tcPr>
    </w:tblStylePr>
    <w:tblStylePr w:type="lastRow">
      <w:pPr>
        <w:spacing w:before="0" w:after="0" w:line="240" w:lineRule="auto"/>
      </w:pPr>
      <w:rPr>
        <w:b/>
        <w:bCs/>
      </w:rPr>
      <w:tblPr/>
      <w:tcPr>
        <w:tcBorders>
          <w:top w:val="single" w:sz="8" w:space="0" w:color="7EB606" w:themeColor="accent5"/>
          <w:left w:val="nil"/>
          <w:bottom w:val="single" w:sz="8" w:space="0" w:color="7EB60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CB1" w:themeFill="accent5" w:themeFillTint="3F"/>
      </w:tcPr>
    </w:tblStylePr>
    <w:tblStylePr w:type="band1Horz">
      <w:tblPr/>
      <w:tcPr>
        <w:tcBorders>
          <w:left w:val="nil"/>
          <w:right w:val="nil"/>
          <w:insideH w:val="nil"/>
          <w:insideV w:val="nil"/>
        </w:tcBorders>
        <w:shd w:val="clear" w:color="auto" w:fill="E4FCB1" w:themeFill="accent5" w:themeFillTint="3F"/>
      </w:tcPr>
    </w:tblStylePr>
  </w:style>
  <w:style w:type="table" w:customStyle="1" w:styleId="LightShading1">
    <w:name w:val="Light Shading1"/>
    <w:basedOn w:val="TableNormal"/>
    <w:uiPriority w:val="60"/>
    <w:rsid w:val="006C62E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CB1231"/>
    <w:pPr>
      <w:spacing w:after="0" w:line="240" w:lineRule="auto"/>
    </w:pPr>
    <w:rPr>
      <w:color w:val="215C77" w:themeColor="accent1" w:themeShade="BF"/>
    </w:rPr>
    <w:tblPr>
      <w:tblStyleRowBandSize w:val="1"/>
      <w:tblStyleColBandSize w:val="1"/>
      <w:tblInd w:w="0" w:type="dxa"/>
      <w:tblBorders>
        <w:top w:val="single" w:sz="8" w:space="0" w:color="2C7C9F" w:themeColor="accent1"/>
        <w:bottom w:val="single" w:sz="8" w:space="0" w:color="2C7C9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la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1EE" w:themeFill="accent1" w:themeFillTint="3F"/>
      </w:tcPr>
    </w:tblStylePr>
    <w:tblStylePr w:type="band1Horz">
      <w:tblPr/>
      <w:tcPr>
        <w:tcBorders>
          <w:left w:val="nil"/>
          <w:right w:val="nil"/>
          <w:insideH w:val="nil"/>
          <w:insideV w:val="nil"/>
        </w:tcBorders>
        <w:shd w:val="clear" w:color="auto" w:fill="C3E1EE" w:themeFill="accent1" w:themeFillTint="3F"/>
      </w:tcPr>
    </w:tblStylePr>
  </w:style>
  <w:style w:type="character" w:customStyle="1" w:styleId="ilfuvd">
    <w:name w:val="ilfuvd"/>
    <w:basedOn w:val="DefaultParagraphFont"/>
    <w:rsid w:val="00477A2A"/>
  </w:style>
  <w:style w:type="table" w:styleId="LightGrid-Accent4">
    <w:name w:val="Light Grid Accent 4"/>
    <w:basedOn w:val="TableNormal"/>
    <w:uiPriority w:val="62"/>
    <w:rsid w:val="00511CD5"/>
    <w:pPr>
      <w:spacing w:after="0" w:line="240" w:lineRule="auto"/>
    </w:pPr>
    <w:tblPr>
      <w:tblStyleRowBandSize w:val="1"/>
      <w:tblStyleColBandSize w:val="1"/>
      <w:tblInd w:w="0" w:type="dxa"/>
      <w:tblBorders>
        <w:top w:val="single" w:sz="8" w:space="0" w:color="FFB400" w:themeColor="accent4"/>
        <w:left w:val="single" w:sz="8" w:space="0" w:color="FFB400" w:themeColor="accent4"/>
        <w:bottom w:val="single" w:sz="8" w:space="0" w:color="FFB400" w:themeColor="accent4"/>
        <w:right w:val="single" w:sz="8" w:space="0" w:color="FFB400" w:themeColor="accent4"/>
        <w:insideH w:val="single" w:sz="8" w:space="0" w:color="FFB400" w:themeColor="accent4"/>
        <w:insideV w:val="single" w:sz="8" w:space="0" w:color="FFB4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B400" w:themeColor="accent4"/>
          <w:left w:val="single" w:sz="8" w:space="0" w:color="FFB400" w:themeColor="accent4"/>
          <w:bottom w:val="single" w:sz="18" w:space="0" w:color="FFB400" w:themeColor="accent4"/>
          <w:right w:val="single" w:sz="8" w:space="0" w:color="FFB400" w:themeColor="accent4"/>
          <w:insideH w:val="nil"/>
          <w:insideV w:val="single" w:sz="8" w:space="0" w:color="FFB4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400" w:themeColor="accent4"/>
          <w:left w:val="single" w:sz="8" w:space="0" w:color="FFB400" w:themeColor="accent4"/>
          <w:bottom w:val="single" w:sz="8" w:space="0" w:color="FFB400" w:themeColor="accent4"/>
          <w:right w:val="single" w:sz="8" w:space="0" w:color="FFB400" w:themeColor="accent4"/>
          <w:insideH w:val="nil"/>
          <w:insideV w:val="single" w:sz="8" w:space="0" w:color="FFB4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400" w:themeColor="accent4"/>
          <w:left w:val="single" w:sz="8" w:space="0" w:color="FFB400" w:themeColor="accent4"/>
          <w:bottom w:val="single" w:sz="8" w:space="0" w:color="FFB400" w:themeColor="accent4"/>
          <w:right w:val="single" w:sz="8" w:space="0" w:color="FFB400" w:themeColor="accent4"/>
        </w:tcBorders>
      </w:tcPr>
    </w:tblStylePr>
    <w:tblStylePr w:type="band1Vert">
      <w:tblPr/>
      <w:tcPr>
        <w:tcBorders>
          <w:top w:val="single" w:sz="8" w:space="0" w:color="FFB400" w:themeColor="accent4"/>
          <w:left w:val="single" w:sz="8" w:space="0" w:color="FFB400" w:themeColor="accent4"/>
          <w:bottom w:val="single" w:sz="8" w:space="0" w:color="FFB400" w:themeColor="accent4"/>
          <w:right w:val="single" w:sz="8" w:space="0" w:color="FFB400" w:themeColor="accent4"/>
        </w:tcBorders>
        <w:shd w:val="clear" w:color="auto" w:fill="FFECC0" w:themeFill="accent4" w:themeFillTint="3F"/>
      </w:tcPr>
    </w:tblStylePr>
    <w:tblStylePr w:type="band1Horz">
      <w:tblPr/>
      <w:tcPr>
        <w:tcBorders>
          <w:top w:val="single" w:sz="8" w:space="0" w:color="FFB400" w:themeColor="accent4"/>
          <w:left w:val="single" w:sz="8" w:space="0" w:color="FFB400" w:themeColor="accent4"/>
          <w:bottom w:val="single" w:sz="8" w:space="0" w:color="FFB400" w:themeColor="accent4"/>
          <w:right w:val="single" w:sz="8" w:space="0" w:color="FFB400" w:themeColor="accent4"/>
          <w:insideV w:val="single" w:sz="8" w:space="0" w:color="FFB400" w:themeColor="accent4"/>
        </w:tcBorders>
        <w:shd w:val="clear" w:color="auto" w:fill="FFECC0" w:themeFill="accent4" w:themeFillTint="3F"/>
      </w:tcPr>
    </w:tblStylePr>
    <w:tblStylePr w:type="band2Horz">
      <w:tblPr/>
      <w:tcPr>
        <w:tcBorders>
          <w:top w:val="single" w:sz="8" w:space="0" w:color="FFB400" w:themeColor="accent4"/>
          <w:left w:val="single" w:sz="8" w:space="0" w:color="FFB400" w:themeColor="accent4"/>
          <w:bottom w:val="single" w:sz="8" w:space="0" w:color="FFB400" w:themeColor="accent4"/>
          <w:right w:val="single" w:sz="8" w:space="0" w:color="FFB400" w:themeColor="accent4"/>
          <w:insideV w:val="single" w:sz="8" w:space="0" w:color="FFB400" w:themeColor="accent4"/>
        </w:tcBorders>
      </w:tcPr>
    </w:tblStylePr>
  </w:style>
  <w:style w:type="table" w:styleId="MediumShading2-Accent4">
    <w:name w:val="Medium Shading 2 Accent 4"/>
    <w:basedOn w:val="TableNormal"/>
    <w:uiPriority w:val="64"/>
    <w:rsid w:val="00511CD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4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400" w:themeFill="accent4"/>
      </w:tcPr>
    </w:tblStylePr>
    <w:tblStylePr w:type="lastCol">
      <w:rPr>
        <w:b/>
        <w:bCs/>
        <w:color w:val="FFFFFF" w:themeColor="background1"/>
      </w:rPr>
      <w:tblPr/>
      <w:tcPr>
        <w:tcBorders>
          <w:left w:val="nil"/>
          <w:right w:val="nil"/>
          <w:insideH w:val="nil"/>
          <w:insideV w:val="nil"/>
        </w:tcBorders>
        <w:shd w:val="clear" w:color="auto" w:fill="FFB4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9"/>
    <w:semiHidden/>
    <w:unhideWhenUsed/>
    <w:rsid w:val="0002322B"/>
  </w:style>
  <w:style w:type="paragraph" w:customStyle="1" w:styleId="iw">
    <w:name w:val="iw"/>
    <w:basedOn w:val="Normal"/>
    <w:rsid w:val="00FD0996"/>
    <w:pPr>
      <w:spacing w:before="100" w:beforeAutospacing="1" w:after="100" w:afterAutospacing="1" w:line="240" w:lineRule="auto"/>
    </w:pPr>
    <w:rPr>
      <w:rFonts w:ascii="Times" w:eastAsiaTheme="minorHAnsi" w:hAnsi="Times" w:cstheme="minorBidi"/>
      <w:sz w:val="20"/>
      <w:szCs w:val="20"/>
      <w:lang w:val="en-US"/>
    </w:rPr>
  </w:style>
  <w:style w:type="character" w:customStyle="1" w:styleId="ref-lnk">
    <w:name w:val="ref-lnk"/>
    <w:basedOn w:val="DefaultParagraphFont"/>
    <w:rsid w:val="00B01273"/>
  </w:style>
  <w:style w:type="character" w:customStyle="1" w:styleId="ref-overlay">
    <w:name w:val="ref-overlay"/>
    <w:basedOn w:val="DefaultParagraphFont"/>
    <w:rsid w:val="00B01273"/>
  </w:style>
  <w:style w:type="character" w:customStyle="1" w:styleId="nlmyear">
    <w:name w:val="nlm_year"/>
    <w:basedOn w:val="DefaultParagraphFont"/>
    <w:rsid w:val="00B01273"/>
  </w:style>
  <w:style w:type="character" w:customStyle="1" w:styleId="ref-links">
    <w:name w:val="ref-links"/>
    <w:basedOn w:val="DefaultParagraphFont"/>
    <w:rsid w:val="00B01273"/>
  </w:style>
  <w:style w:type="character" w:customStyle="1" w:styleId="xlinks-container">
    <w:name w:val="xlinks-container"/>
    <w:basedOn w:val="DefaultParagraphFont"/>
    <w:rsid w:val="00B01273"/>
  </w:style>
  <w:style w:type="character" w:customStyle="1" w:styleId="googlescholar-container">
    <w:name w:val="googlescholar-container"/>
    <w:basedOn w:val="DefaultParagraphFont"/>
    <w:rsid w:val="00B01273"/>
  </w:style>
  <w:style w:type="character" w:customStyle="1" w:styleId="hlfld-contribauthor">
    <w:name w:val="hlfld-contribauthor"/>
    <w:basedOn w:val="DefaultParagraphFont"/>
    <w:rsid w:val="00B01273"/>
  </w:style>
  <w:style w:type="character" w:customStyle="1" w:styleId="nlmgiven-names">
    <w:name w:val="nlm_given-names"/>
    <w:basedOn w:val="DefaultParagraphFont"/>
    <w:rsid w:val="00B01273"/>
  </w:style>
  <w:style w:type="character" w:customStyle="1" w:styleId="nlmedition">
    <w:name w:val="nlm_edition"/>
    <w:basedOn w:val="DefaultParagraphFont"/>
    <w:rsid w:val="00B01273"/>
  </w:style>
  <w:style w:type="character" w:customStyle="1" w:styleId="nlmpublisher-loc">
    <w:name w:val="nlm_publisher-loc"/>
    <w:basedOn w:val="DefaultParagraphFont"/>
    <w:rsid w:val="00B01273"/>
  </w:style>
  <w:style w:type="character" w:customStyle="1" w:styleId="nlmpublisher-name">
    <w:name w:val="nlm_publisher-name"/>
    <w:basedOn w:val="DefaultParagraphFont"/>
    <w:rsid w:val="00B01273"/>
  </w:style>
  <w:style w:type="character" w:customStyle="1" w:styleId="nlmarticle-title">
    <w:name w:val="nlm_article-title"/>
    <w:basedOn w:val="DefaultParagraphFont"/>
    <w:rsid w:val="00B01273"/>
  </w:style>
  <w:style w:type="character" w:customStyle="1" w:styleId="nlmfpage">
    <w:name w:val="nlm_fpage"/>
    <w:basedOn w:val="DefaultParagraphFont"/>
    <w:rsid w:val="00B01273"/>
  </w:style>
  <w:style w:type="character" w:customStyle="1" w:styleId="nlmlpage">
    <w:name w:val="nlm_lpage"/>
    <w:basedOn w:val="DefaultParagraphFont"/>
    <w:rsid w:val="00B01273"/>
  </w:style>
  <w:style w:type="character" w:customStyle="1" w:styleId="nlmpub-id">
    <w:name w:val="nlm_pub-id"/>
    <w:basedOn w:val="DefaultParagraphFont"/>
    <w:rsid w:val="00B01273"/>
  </w:style>
  <w:style w:type="character" w:customStyle="1" w:styleId="a">
    <w:name w:val="_"/>
    <w:basedOn w:val="DefaultParagraphFont"/>
    <w:rsid w:val="008B2969"/>
  </w:style>
  <w:style w:type="table" w:styleId="MediumGrid1-Accent3">
    <w:name w:val="Medium Grid 1 Accent 3"/>
    <w:basedOn w:val="TableNormal"/>
    <w:uiPriority w:val="67"/>
    <w:rsid w:val="00421D32"/>
    <w:pPr>
      <w:spacing w:after="0" w:line="240" w:lineRule="auto"/>
    </w:pPr>
    <w:tblPr>
      <w:tblStyleRowBandSize w:val="1"/>
      <w:tblStyleColBandSize w:val="1"/>
      <w:tblInd w:w="0" w:type="dxa"/>
      <w:tblBorders>
        <w:top w:val="single" w:sz="8" w:space="0" w:color="E99755" w:themeColor="accent3" w:themeTint="BF"/>
        <w:left w:val="single" w:sz="8" w:space="0" w:color="E99755" w:themeColor="accent3" w:themeTint="BF"/>
        <w:bottom w:val="single" w:sz="8" w:space="0" w:color="E99755" w:themeColor="accent3" w:themeTint="BF"/>
        <w:right w:val="single" w:sz="8" w:space="0" w:color="E99755" w:themeColor="accent3" w:themeTint="BF"/>
        <w:insideH w:val="single" w:sz="8" w:space="0" w:color="E99755" w:themeColor="accent3" w:themeTint="BF"/>
        <w:insideV w:val="single" w:sz="8" w:space="0" w:color="E99755" w:themeColor="accent3" w:themeTint="BF"/>
      </w:tblBorders>
      <w:tblCellMar>
        <w:top w:w="0" w:type="dxa"/>
        <w:left w:w="108" w:type="dxa"/>
        <w:bottom w:w="0" w:type="dxa"/>
        <w:right w:w="108" w:type="dxa"/>
      </w:tblCellMar>
    </w:tblPr>
    <w:tcPr>
      <w:shd w:val="clear" w:color="auto" w:fill="F8DCC7" w:themeFill="accent3" w:themeFillTint="3F"/>
    </w:tcPr>
    <w:tblStylePr w:type="firstRow">
      <w:rPr>
        <w:b/>
        <w:bCs/>
      </w:rPr>
    </w:tblStylePr>
    <w:tblStylePr w:type="lastRow">
      <w:rPr>
        <w:b/>
        <w:bCs/>
      </w:rPr>
      <w:tblPr/>
      <w:tcPr>
        <w:tcBorders>
          <w:top w:val="single" w:sz="18" w:space="0" w:color="E99755" w:themeColor="accent3" w:themeTint="BF"/>
        </w:tcBorders>
      </w:tcPr>
    </w:tblStylePr>
    <w:tblStylePr w:type="firstCol">
      <w:rPr>
        <w:b/>
        <w:bCs/>
      </w:rPr>
    </w:tblStylePr>
    <w:tblStylePr w:type="lastCol">
      <w:rPr>
        <w:b/>
        <w:bCs/>
      </w:rPr>
    </w:tblStylePr>
    <w:tblStylePr w:type="band1Vert">
      <w:tblPr/>
      <w:tcPr>
        <w:shd w:val="clear" w:color="auto" w:fill="F0B98E" w:themeFill="accent3" w:themeFillTint="7F"/>
      </w:tcPr>
    </w:tblStylePr>
    <w:tblStylePr w:type="band1Horz">
      <w:tblPr/>
      <w:tcPr>
        <w:shd w:val="clear" w:color="auto" w:fill="F0B98E"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853">
      <w:bodyDiv w:val="1"/>
      <w:marLeft w:val="0"/>
      <w:marRight w:val="0"/>
      <w:marTop w:val="0"/>
      <w:marBottom w:val="0"/>
      <w:divBdr>
        <w:top w:val="none" w:sz="0" w:space="0" w:color="auto"/>
        <w:left w:val="none" w:sz="0" w:space="0" w:color="auto"/>
        <w:bottom w:val="none" w:sz="0" w:space="0" w:color="auto"/>
        <w:right w:val="none" w:sz="0" w:space="0" w:color="auto"/>
      </w:divBdr>
    </w:div>
    <w:div w:id="12073484">
      <w:bodyDiv w:val="1"/>
      <w:marLeft w:val="0"/>
      <w:marRight w:val="0"/>
      <w:marTop w:val="0"/>
      <w:marBottom w:val="0"/>
      <w:divBdr>
        <w:top w:val="none" w:sz="0" w:space="0" w:color="auto"/>
        <w:left w:val="none" w:sz="0" w:space="0" w:color="auto"/>
        <w:bottom w:val="none" w:sz="0" w:space="0" w:color="auto"/>
        <w:right w:val="none" w:sz="0" w:space="0" w:color="auto"/>
      </w:divBdr>
    </w:div>
    <w:div w:id="18045449">
      <w:bodyDiv w:val="1"/>
      <w:marLeft w:val="0"/>
      <w:marRight w:val="0"/>
      <w:marTop w:val="0"/>
      <w:marBottom w:val="0"/>
      <w:divBdr>
        <w:top w:val="none" w:sz="0" w:space="0" w:color="auto"/>
        <w:left w:val="none" w:sz="0" w:space="0" w:color="auto"/>
        <w:bottom w:val="none" w:sz="0" w:space="0" w:color="auto"/>
        <w:right w:val="none" w:sz="0" w:space="0" w:color="auto"/>
      </w:divBdr>
    </w:div>
    <w:div w:id="18513878">
      <w:bodyDiv w:val="1"/>
      <w:marLeft w:val="0"/>
      <w:marRight w:val="0"/>
      <w:marTop w:val="0"/>
      <w:marBottom w:val="0"/>
      <w:divBdr>
        <w:top w:val="none" w:sz="0" w:space="0" w:color="auto"/>
        <w:left w:val="none" w:sz="0" w:space="0" w:color="auto"/>
        <w:bottom w:val="none" w:sz="0" w:space="0" w:color="auto"/>
        <w:right w:val="none" w:sz="0" w:space="0" w:color="auto"/>
      </w:divBdr>
    </w:div>
    <w:div w:id="26804348">
      <w:bodyDiv w:val="1"/>
      <w:marLeft w:val="0"/>
      <w:marRight w:val="0"/>
      <w:marTop w:val="0"/>
      <w:marBottom w:val="0"/>
      <w:divBdr>
        <w:top w:val="none" w:sz="0" w:space="0" w:color="auto"/>
        <w:left w:val="none" w:sz="0" w:space="0" w:color="auto"/>
        <w:bottom w:val="none" w:sz="0" w:space="0" w:color="auto"/>
        <w:right w:val="none" w:sz="0" w:space="0" w:color="auto"/>
      </w:divBdr>
    </w:div>
    <w:div w:id="33119470">
      <w:bodyDiv w:val="1"/>
      <w:marLeft w:val="0"/>
      <w:marRight w:val="0"/>
      <w:marTop w:val="0"/>
      <w:marBottom w:val="0"/>
      <w:divBdr>
        <w:top w:val="none" w:sz="0" w:space="0" w:color="auto"/>
        <w:left w:val="none" w:sz="0" w:space="0" w:color="auto"/>
        <w:bottom w:val="none" w:sz="0" w:space="0" w:color="auto"/>
        <w:right w:val="none" w:sz="0" w:space="0" w:color="auto"/>
      </w:divBdr>
    </w:div>
    <w:div w:id="43023212">
      <w:bodyDiv w:val="1"/>
      <w:marLeft w:val="0"/>
      <w:marRight w:val="0"/>
      <w:marTop w:val="0"/>
      <w:marBottom w:val="0"/>
      <w:divBdr>
        <w:top w:val="none" w:sz="0" w:space="0" w:color="auto"/>
        <w:left w:val="none" w:sz="0" w:space="0" w:color="auto"/>
        <w:bottom w:val="none" w:sz="0" w:space="0" w:color="auto"/>
        <w:right w:val="none" w:sz="0" w:space="0" w:color="auto"/>
      </w:divBdr>
    </w:div>
    <w:div w:id="69236165">
      <w:bodyDiv w:val="1"/>
      <w:marLeft w:val="0"/>
      <w:marRight w:val="0"/>
      <w:marTop w:val="0"/>
      <w:marBottom w:val="0"/>
      <w:divBdr>
        <w:top w:val="none" w:sz="0" w:space="0" w:color="auto"/>
        <w:left w:val="none" w:sz="0" w:space="0" w:color="auto"/>
        <w:bottom w:val="none" w:sz="0" w:space="0" w:color="auto"/>
        <w:right w:val="none" w:sz="0" w:space="0" w:color="auto"/>
      </w:divBdr>
    </w:div>
    <w:div w:id="92210800">
      <w:bodyDiv w:val="1"/>
      <w:marLeft w:val="0"/>
      <w:marRight w:val="0"/>
      <w:marTop w:val="0"/>
      <w:marBottom w:val="0"/>
      <w:divBdr>
        <w:top w:val="none" w:sz="0" w:space="0" w:color="auto"/>
        <w:left w:val="none" w:sz="0" w:space="0" w:color="auto"/>
        <w:bottom w:val="none" w:sz="0" w:space="0" w:color="auto"/>
        <w:right w:val="none" w:sz="0" w:space="0" w:color="auto"/>
      </w:divBdr>
    </w:div>
    <w:div w:id="99686378">
      <w:bodyDiv w:val="1"/>
      <w:marLeft w:val="0"/>
      <w:marRight w:val="0"/>
      <w:marTop w:val="0"/>
      <w:marBottom w:val="0"/>
      <w:divBdr>
        <w:top w:val="none" w:sz="0" w:space="0" w:color="auto"/>
        <w:left w:val="none" w:sz="0" w:space="0" w:color="auto"/>
        <w:bottom w:val="none" w:sz="0" w:space="0" w:color="auto"/>
        <w:right w:val="none" w:sz="0" w:space="0" w:color="auto"/>
      </w:divBdr>
    </w:div>
    <w:div w:id="134951897">
      <w:bodyDiv w:val="1"/>
      <w:marLeft w:val="0"/>
      <w:marRight w:val="0"/>
      <w:marTop w:val="0"/>
      <w:marBottom w:val="0"/>
      <w:divBdr>
        <w:top w:val="none" w:sz="0" w:space="0" w:color="auto"/>
        <w:left w:val="none" w:sz="0" w:space="0" w:color="auto"/>
        <w:bottom w:val="none" w:sz="0" w:space="0" w:color="auto"/>
        <w:right w:val="none" w:sz="0" w:space="0" w:color="auto"/>
      </w:divBdr>
    </w:div>
    <w:div w:id="147676899">
      <w:bodyDiv w:val="1"/>
      <w:marLeft w:val="0"/>
      <w:marRight w:val="0"/>
      <w:marTop w:val="0"/>
      <w:marBottom w:val="0"/>
      <w:divBdr>
        <w:top w:val="none" w:sz="0" w:space="0" w:color="auto"/>
        <w:left w:val="none" w:sz="0" w:space="0" w:color="auto"/>
        <w:bottom w:val="none" w:sz="0" w:space="0" w:color="auto"/>
        <w:right w:val="none" w:sz="0" w:space="0" w:color="auto"/>
      </w:divBdr>
      <w:divsChild>
        <w:div w:id="1836919234">
          <w:marLeft w:val="0"/>
          <w:marRight w:val="0"/>
          <w:marTop w:val="0"/>
          <w:marBottom w:val="0"/>
          <w:divBdr>
            <w:top w:val="none" w:sz="0" w:space="0" w:color="auto"/>
            <w:left w:val="none" w:sz="0" w:space="0" w:color="auto"/>
            <w:bottom w:val="none" w:sz="0" w:space="0" w:color="auto"/>
            <w:right w:val="none" w:sz="0" w:space="0" w:color="auto"/>
          </w:divBdr>
          <w:divsChild>
            <w:div w:id="30303325">
              <w:marLeft w:val="-281"/>
              <w:marRight w:val="-281"/>
              <w:marTop w:val="0"/>
              <w:marBottom w:val="0"/>
              <w:divBdr>
                <w:top w:val="none" w:sz="0" w:space="0" w:color="auto"/>
                <w:left w:val="none" w:sz="0" w:space="0" w:color="auto"/>
                <w:bottom w:val="none" w:sz="0" w:space="0" w:color="auto"/>
                <w:right w:val="none" w:sz="0" w:space="0" w:color="auto"/>
              </w:divBdr>
              <w:divsChild>
                <w:div w:id="542517591">
                  <w:marLeft w:val="0"/>
                  <w:marRight w:val="0"/>
                  <w:marTop w:val="0"/>
                  <w:marBottom w:val="0"/>
                  <w:divBdr>
                    <w:top w:val="none" w:sz="0" w:space="0" w:color="auto"/>
                    <w:left w:val="none" w:sz="0" w:space="0" w:color="auto"/>
                    <w:bottom w:val="none" w:sz="0" w:space="0" w:color="auto"/>
                    <w:right w:val="none" w:sz="0" w:space="0" w:color="auto"/>
                  </w:divBdr>
                  <w:divsChild>
                    <w:div w:id="11756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43293">
      <w:bodyDiv w:val="1"/>
      <w:marLeft w:val="0"/>
      <w:marRight w:val="0"/>
      <w:marTop w:val="0"/>
      <w:marBottom w:val="0"/>
      <w:divBdr>
        <w:top w:val="none" w:sz="0" w:space="0" w:color="auto"/>
        <w:left w:val="none" w:sz="0" w:space="0" w:color="auto"/>
        <w:bottom w:val="none" w:sz="0" w:space="0" w:color="auto"/>
        <w:right w:val="none" w:sz="0" w:space="0" w:color="auto"/>
      </w:divBdr>
    </w:div>
    <w:div w:id="164974577">
      <w:bodyDiv w:val="1"/>
      <w:marLeft w:val="0"/>
      <w:marRight w:val="0"/>
      <w:marTop w:val="0"/>
      <w:marBottom w:val="0"/>
      <w:divBdr>
        <w:top w:val="none" w:sz="0" w:space="0" w:color="auto"/>
        <w:left w:val="none" w:sz="0" w:space="0" w:color="auto"/>
        <w:bottom w:val="none" w:sz="0" w:space="0" w:color="auto"/>
        <w:right w:val="none" w:sz="0" w:space="0" w:color="auto"/>
      </w:divBdr>
    </w:div>
    <w:div w:id="172258232">
      <w:bodyDiv w:val="1"/>
      <w:marLeft w:val="0"/>
      <w:marRight w:val="0"/>
      <w:marTop w:val="0"/>
      <w:marBottom w:val="0"/>
      <w:divBdr>
        <w:top w:val="none" w:sz="0" w:space="0" w:color="auto"/>
        <w:left w:val="none" w:sz="0" w:space="0" w:color="auto"/>
        <w:bottom w:val="none" w:sz="0" w:space="0" w:color="auto"/>
        <w:right w:val="none" w:sz="0" w:space="0" w:color="auto"/>
      </w:divBdr>
    </w:div>
    <w:div w:id="193539917">
      <w:bodyDiv w:val="1"/>
      <w:marLeft w:val="0"/>
      <w:marRight w:val="0"/>
      <w:marTop w:val="0"/>
      <w:marBottom w:val="0"/>
      <w:divBdr>
        <w:top w:val="none" w:sz="0" w:space="0" w:color="auto"/>
        <w:left w:val="none" w:sz="0" w:space="0" w:color="auto"/>
        <w:bottom w:val="none" w:sz="0" w:space="0" w:color="auto"/>
        <w:right w:val="none" w:sz="0" w:space="0" w:color="auto"/>
      </w:divBdr>
    </w:div>
    <w:div w:id="211894192">
      <w:bodyDiv w:val="1"/>
      <w:marLeft w:val="0"/>
      <w:marRight w:val="0"/>
      <w:marTop w:val="0"/>
      <w:marBottom w:val="0"/>
      <w:divBdr>
        <w:top w:val="none" w:sz="0" w:space="0" w:color="auto"/>
        <w:left w:val="none" w:sz="0" w:space="0" w:color="auto"/>
        <w:bottom w:val="none" w:sz="0" w:space="0" w:color="auto"/>
        <w:right w:val="none" w:sz="0" w:space="0" w:color="auto"/>
      </w:divBdr>
    </w:div>
    <w:div w:id="244456386">
      <w:bodyDiv w:val="1"/>
      <w:marLeft w:val="0"/>
      <w:marRight w:val="0"/>
      <w:marTop w:val="0"/>
      <w:marBottom w:val="0"/>
      <w:divBdr>
        <w:top w:val="none" w:sz="0" w:space="0" w:color="auto"/>
        <w:left w:val="none" w:sz="0" w:space="0" w:color="auto"/>
        <w:bottom w:val="none" w:sz="0" w:space="0" w:color="auto"/>
        <w:right w:val="none" w:sz="0" w:space="0" w:color="auto"/>
      </w:divBdr>
    </w:div>
    <w:div w:id="273288061">
      <w:bodyDiv w:val="1"/>
      <w:marLeft w:val="0"/>
      <w:marRight w:val="0"/>
      <w:marTop w:val="0"/>
      <w:marBottom w:val="0"/>
      <w:divBdr>
        <w:top w:val="none" w:sz="0" w:space="0" w:color="auto"/>
        <w:left w:val="none" w:sz="0" w:space="0" w:color="auto"/>
        <w:bottom w:val="none" w:sz="0" w:space="0" w:color="auto"/>
        <w:right w:val="none" w:sz="0" w:space="0" w:color="auto"/>
      </w:divBdr>
    </w:div>
    <w:div w:id="279577937">
      <w:bodyDiv w:val="1"/>
      <w:marLeft w:val="0"/>
      <w:marRight w:val="0"/>
      <w:marTop w:val="0"/>
      <w:marBottom w:val="0"/>
      <w:divBdr>
        <w:top w:val="none" w:sz="0" w:space="0" w:color="auto"/>
        <w:left w:val="none" w:sz="0" w:space="0" w:color="auto"/>
        <w:bottom w:val="none" w:sz="0" w:space="0" w:color="auto"/>
        <w:right w:val="none" w:sz="0" w:space="0" w:color="auto"/>
      </w:divBdr>
    </w:div>
    <w:div w:id="302736518">
      <w:bodyDiv w:val="1"/>
      <w:marLeft w:val="0"/>
      <w:marRight w:val="0"/>
      <w:marTop w:val="0"/>
      <w:marBottom w:val="0"/>
      <w:divBdr>
        <w:top w:val="none" w:sz="0" w:space="0" w:color="auto"/>
        <w:left w:val="none" w:sz="0" w:space="0" w:color="auto"/>
        <w:bottom w:val="none" w:sz="0" w:space="0" w:color="auto"/>
        <w:right w:val="none" w:sz="0" w:space="0" w:color="auto"/>
      </w:divBdr>
    </w:div>
    <w:div w:id="346716941">
      <w:bodyDiv w:val="1"/>
      <w:marLeft w:val="0"/>
      <w:marRight w:val="0"/>
      <w:marTop w:val="0"/>
      <w:marBottom w:val="0"/>
      <w:divBdr>
        <w:top w:val="none" w:sz="0" w:space="0" w:color="auto"/>
        <w:left w:val="none" w:sz="0" w:space="0" w:color="auto"/>
        <w:bottom w:val="none" w:sz="0" w:space="0" w:color="auto"/>
        <w:right w:val="none" w:sz="0" w:space="0" w:color="auto"/>
      </w:divBdr>
    </w:div>
    <w:div w:id="353727769">
      <w:bodyDiv w:val="1"/>
      <w:marLeft w:val="0"/>
      <w:marRight w:val="0"/>
      <w:marTop w:val="0"/>
      <w:marBottom w:val="0"/>
      <w:divBdr>
        <w:top w:val="none" w:sz="0" w:space="0" w:color="auto"/>
        <w:left w:val="none" w:sz="0" w:space="0" w:color="auto"/>
        <w:bottom w:val="none" w:sz="0" w:space="0" w:color="auto"/>
        <w:right w:val="none" w:sz="0" w:space="0" w:color="auto"/>
      </w:divBdr>
      <w:divsChild>
        <w:div w:id="40443234">
          <w:marLeft w:val="0"/>
          <w:marRight w:val="0"/>
          <w:marTop w:val="0"/>
          <w:marBottom w:val="0"/>
          <w:divBdr>
            <w:top w:val="none" w:sz="0" w:space="0" w:color="auto"/>
            <w:left w:val="none" w:sz="0" w:space="0" w:color="auto"/>
            <w:bottom w:val="none" w:sz="0" w:space="0" w:color="auto"/>
            <w:right w:val="none" w:sz="0" w:space="0" w:color="auto"/>
          </w:divBdr>
        </w:div>
        <w:div w:id="185213838">
          <w:marLeft w:val="0"/>
          <w:marRight w:val="0"/>
          <w:marTop w:val="0"/>
          <w:marBottom w:val="0"/>
          <w:divBdr>
            <w:top w:val="none" w:sz="0" w:space="0" w:color="auto"/>
            <w:left w:val="none" w:sz="0" w:space="0" w:color="auto"/>
            <w:bottom w:val="none" w:sz="0" w:space="0" w:color="auto"/>
            <w:right w:val="none" w:sz="0" w:space="0" w:color="auto"/>
          </w:divBdr>
        </w:div>
        <w:div w:id="539708621">
          <w:marLeft w:val="0"/>
          <w:marRight w:val="0"/>
          <w:marTop w:val="0"/>
          <w:marBottom w:val="0"/>
          <w:divBdr>
            <w:top w:val="none" w:sz="0" w:space="0" w:color="auto"/>
            <w:left w:val="none" w:sz="0" w:space="0" w:color="auto"/>
            <w:bottom w:val="none" w:sz="0" w:space="0" w:color="auto"/>
            <w:right w:val="none" w:sz="0" w:space="0" w:color="auto"/>
          </w:divBdr>
        </w:div>
        <w:div w:id="800078808">
          <w:marLeft w:val="0"/>
          <w:marRight w:val="0"/>
          <w:marTop w:val="0"/>
          <w:marBottom w:val="0"/>
          <w:divBdr>
            <w:top w:val="none" w:sz="0" w:space="0" w:color="auto"/>
            <w:left w:val="none" w:sz="0" w:space="0" w:color="auto"/>
            <w:bottom w:val="none" w:sz="0" w:space="0" w:color="auto"/>
            <w:right w:val="none" w:sz="0" w:space="0" w:color="auto"/>
          </w:divBdr>
        </w:div>
        <w:div w:id="1215312527">
          <w:marLeft w:val="0"/>
          <w:marRight w:val="0"/>
          <w:marTop w:val="0"/>
          <w:marBottom w:val="0"/>
          <w:divBdr>
            <w:top w:val="none" w:sz="0" w:space="0" w:color="auto"/>
            <w:left w:val="none" w:sz="0" w:space="0" w:color="auto"/>
            <w:bottom w:val="none" w:sz="0" w:space="0" w:color="auto"/>
            <w:right w:val="none" w:sz="0" w:space="0" w:color="auto"/>
          </w:divBdr>
        </w:div>
        <w:div w:id="1544908241">
          <w:marLeft w:val="0"/>
          <w:marRight w:val="0"/>
          <w:marTop w:val="0"/>
          <w:marBottom w:val="0"/>
          <w:divBdr>
            <w:top w:val="none" w:sz="0" w:space="0" w:color="auto"/>
            <w:left w:val="none" w:sz="0" w:space="0" w:color="auto"/>
            <w:bottom w:val="none" w:sz="0" w:space="0" w:color="auto"/>
            <w:right w:val="none" w:sz="0" w:space="0" w:color="auto"/>
          </w:divBdr>
        </w:div>
        <w:div w:id="1556500978">
          <w:marLeft w:val="0"/>
          <w:marRight w:val="0"/>
          <w:marTop w:val="0"/>
          <w:marBottom w:val="0"/>
          <w:divBdr>
            <w:top w:val="none" w:sz="0" w:space="0" w:color="auto"/>
            <w:left w:val="none" w:sz="0" w:space="0" w:color="auto"/>
            <w:bottom w:val="none" w:sz="0" w:space="0" w:color="auto"/>
            <w:right w:val="none" w:sz="0" w:space="0" w:color="auto"/>
          </w:divBdr>
        </w:div>
        <w:div w:id="1620380768">
          <w:marLeft w:val="0"/>
          <w:marRight w:val="0"/>
          <w:marTop w:val="0"/>
          <w:marBottom w:val="0"/>
          <w:divBdr>
            <w:top w:val="none" w:sz="0" w:space="0" w:color="auto"/>
            <w:left w:val="none" w:sz="0" w:space="0" w:color="auto"/>
            <w:bottom w:val="none" w:sz="0" w:space="0" w:color="auto"/>
            <w:right w:val="none" w:sz="0" w:space="0" w:color="auto"/>
          </w:divBdr>
        </w:div>
        <w:div w:id="1786732488">
          <w:marLeft w:val="0"/>
          <w:marRight w:val="0"/>
          <w:marTop w:val="0"/>
          <w:marBottom w:val="0"/>
          <w:divBdr>
            <w:top w:val="none" w:sz="0" w:space="0" w:color="auto"/>
            <w:left w:val="none" w:sz="0" w:space="0" w:color="auto"/>
            <w:bottom w:val="none" w:sz="0" w:space="0" w:color="auto"/>
            <w:right w:val="none" w:sz="0" w:space="0" w:color="auto"/>
          </w:divBdr>
        </w:div>
      </w:divsChild>
    </w:div>
    <w:div w:id="359166013">
      <w:bodyDiv w:val="1"/>
      <w:marLeft w:val="0"/>
      <w:marRight w:val="0"/>
      <w:marTop w:val="0"/>
      <w:marBottom w:val="0"/>
      <w:divBdr>
        <w:top w:val="none" w:sz="0" w:space="0" w:color="auto"/>
        <w:left w:val="none" w:sz="0" w:space="0" w:color="auto"/>
        <w:bottom w:val="none" w:sz="0" w:space="0" w:color="auto"/>
        <w:right w:val="none" w:sz="0" w:space="0" w:color="auto"/>
      </w:divBdr>
    </w:div>
    <w:div w:id="365720528">
      <w:bodyDiv w:val="1"/>
      <w:marLeft w:val="0"/>
      <w:marRight w:val="0"/>
      <w:marTop w:val="0"/>
      <w:marBottom w:val="0"/>
      <w:divBdr>
        <w:top w:val="none" w:sz="0" w:space="0" w:color="auto"/>
        <w:left w:val="none" w:sz="0" w:space="0" w:color="auto"/>
        <w:bottom w:val="none" w:sz="0" w:space="0" w:color="auto"/>
        <w:right w:val="none" w:sz="0" w:space="0" w:color="auto"/>
      </w:divBdr>
    </w:div>
    <w:div w:id="383914328">
      <w:bodyDiv w:val="1"/>
      <w:marLeft w:val="0"/>
      <w:marRight w:val="0"/>
      <w:marTop w:val="0"/>
      <w:marBottom w:val="0"/>
      <w:divBdr>
        <w:top w:val="none" w:sz="0" w:space="0" w:color="auto"/>
        <w:left w:val="none" w:sz="0" w:space="0" w:color="auto"/>
        <w:bottom w:val="none" w:sz="0" w:space="0" w:color="auto"/>
        <w:right w:val="none" w:sz="0" w:space="0" w:color="auto"/>
      </w:divBdr>
    </w:div>
    <w:div w:id="408767138">
      <w:bodyDiv w:val="1"/>
      <w:marLeft w:val="0"/>
      <w:marRight w:val="0"/>
      <w:marTop w:val="0"/>
      <w:marBottom w:val="0"/>
      <w:divBdr>
        <w:top w:val="none" w:sz="0" w:space="0" w:color="auto"/>
        <w:left w:val="none" w:sz="0" w:space="0" w:color="auto"/>
        <w:bottom w:val="none" w:sz="0" w:space="0" w:color="auto"/>
        <w:right w:val="none" w:sz="0" w:space="0" w:color="auto"/>
      </w:divBdr>
    </w:div>
    <w:div w:id="422998831">
      <w:bodyDiv w:val="1"/>
      <w:marLeft w:val="0"/>
      <w:marRight w:val="0"/>
      <w:marTop w:val="0"/>
      <w:marBottom w:val="0"/>
      <w:divBdr>
        <w:top w:val="none" w:sz="0" w:space="0" w:color="auto"/>
        <w:left w:val="none" w:sz="0" w:space="0" w:color="auto"/>
        <w:bottom w:val="none" w:sz="0" w:space="0" w:color="auto"/>
        <w:right w:val="none" w:sz="0" w:space="0" w:color="auto"/>
      </w:divBdr>
    </w:div>
    <w:div w:id="427388764">
      <w:bodyDiv w:val="1"/>
      <w:marLeft w:val="0"/>
      <w:marRight w:val="0"/>
      <w:marTop w:val="0"/>
      <w:marBottom w:val="0"/>
      <w:divBdr>
        <w:top w:val="none" w:sz="0" w:space="0" w:color="auto"/>
        <w:left w:val="none" w:sz="0" w:space="0" w:color="auto"/>
        <w:bottom w:val="none" w:sz="0" w:space="0" w:color="auto"/>
        <w:right w:val="none" w:sz="0" w:space="0" w:color="auto"/>
      </w:divBdr>
      <w:divsChild>
        <w:div w:id="836186136">
          <w:marLeft w:val="0"/>
          <w:marRight w:val="0"/>
          <w:marTop w:val="0"/>
          <w:marBottom w:val="0"/>
          <w:divBdr>
            <w:top w:val="none" w:sz="0" w:space="0" w:color="auto"/>
            <w:left w:val="none" w:sz="0" w:space="0" w:color="auto"/>
            <w:bottom w:val="none" w:sz="0" w:space="0" w:color="auto"/>
            <w:right w:val="none" w:sz="0" w:space="0" w:color="auto"/>
          </w:divBdr>
        </w:div>
      </w:divsChild>
    </w:div>
    <w:div w:id="437916294">
      <w:bodyDiv w:val="1"/>
      <w:marLeft w:val="0"/>
      <w:marRight w:val="0"/>
      <w:marTop w:val="0"/>
      <w:marBottom w:val="0"/>
      <w:divBdr>
        <w:top w:val="none" w:sz="0" w:space="0" w:color="auto"/>
        <w:left w:val="none" w:sz="0" w:space="0" w:color="auto"/>
        <w:bottom w:val="none" w:sz="0" w:space="0" w:color="auto"/>
        <w:right w:val="none" w:sz="0" w:space="0" w:color="auto"/>
      </w:divBdr>
    </w:div>
    <w:div w:id="454326767">
      <w:bodyDiv w:val="1"/>
      <w:marLeft w:val="0"/>
      <w:marRight w:val="0"/>
      <w:marTop w:val="0"/>
      <w:marBottom w:val="0"/>
      <w:divBdr>
        <w:top w:val="none" w:sz="0" w:space="0" w:color="auto"/>
        <w:left w:val="none" w:sz="0" w:space="0" w:color="auto"/>
        <w:bottom w:val="none" w:sz="0" w:space="0" w:color="auto"/>
        <w:right w:val="none" w:sz="0" w:space="0" w:color="auto"/>
      </w:divBdr>
    </w:div>
    <w:div w:id="477234502">
      <w:bodyDiv w:val="1"/>
      <w:marLeft w:val="0"/>
      <w:marRight w:val="0"/>
      <w:marTop w:val="0"/>
      <w:marBottom w:val="0"/>
      <w:divBdr>
        <w:top w:val="none" w:sz="0" w:space="0" w:color="auto"/>
        <w:left w:val="none" w:sz="0" w:space="0" w:color="auto"/>
        <w:bottom w:val="none" w:sz="0" w:space="0" w:color="auto"/>
        <w:right w:val="none" w:sz="0" w:space="0" w:color="auto"/>
      </w:divBdr>
    </w:div>
    <w:div w:id="493497676">
      <w:bodyDiv w:val="1"/>
      <w:marLeft w:val="0"/>
      <w:marRight w:val="0"/>
      <w:marTop w:val="0"/>
      <w:marBottom w:val="0"/>
      <w:divBdr>
        <w:top w:val="none" w:sz="0" w:space="0" w:color="auto"/>
        <w:left w:val="none" w:sz="0" w:space="0" w:color="auto"/>
        <w:bottom w:val="none" w:sz="0" w:space="0" w:color="auto"/>
        <w:right w:val="none" w:sz="0" w:space="0" w:color="auto"/>
      </w:divBdr>
      <w:divsChild>
        <w:div w:id="1227303766">
          <w:marLeft w:val="0"/>
          <w:marRight w:val="0"/>
          <w:marTop w:val="0"/>
          <w:marBottom w:val="0"/>
          <w:divBdr>
            <w:top w:val="none" w:sz="0" w:space="0" w:color="auto"/>
            <w:left w:val="none" w:sz="0" w:space="0" w:color="auto"/>
            <w:bottom w:val="none" w:sz="0" w:space="0" w:color="auto"/>
            <w:right w:val="none" w:sz="0" w:space="0" w:color="auto"/>
          </w:divBdr>
        </w:div>
      </w:divsChild>
    </w:div>
    <w:div w:id="495071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327">
          <w:marLeft w:val="0"/>
          <w:marRight w:val="0"/>
          <w:marTop w:val="0"/>
          <w:marBottom w:val="0"/>
          <w:divBdr>
            <w:top w:val="none" w:sz="0" w:space="0" w:color="auto"/>
            <w:left w:val="none" w:sz="0" w:space="0" w:color="auto"/>
            <w:bottom w:val="none" w:sz="0" w:space="0" w:color="auto"/>
            <w:right w:val="none" w:sz="0" w:space="0" w:color="auto"/>
          </w:divBdr>
        </w:div>
        <w:div w:id="288977856">
          <w:marLeft w:val="0"/>
          <w:marRight w:val="0"/>
          <w:marTop w:val="0"/>
          <w:marBottom w:val="0"/>
          <w:divBdr>
            <w:top w:val="none" w:sz="0" w:space="0" w:color="auto"/>
            <w:left w:val="none" w:sz="0" w:space="0" w:color="auto"/>
            <w:bottom w:val="none" w:sz="0" w:space="0" w:color="auto"/>
            <w:right w:val="none" w:sz="0" w:space="0" w:color="auto"/>
          </w:divBdr>
        </w:div>
        <w:div w:id="1037701223">
          <w:marLeft w:val="0"/>
          <w:marRight w:val="0"/>
          <w:marTop w:val="0"/>
          <w:marBottom w:val="0"/>
          <w:divBdr>
            <w:top w:val="none" w:sz="0" w:space="0" w:color="auto"/>
            <w:left w:val="none" w:sz="0" w:space="0" w:color="auto"/>
            <w:bottom w:val="none" w:sz="0" w:space="0" w:color="auto"/>
            <w:right w:val="none" w:sz="0" w:space="0" w:color="auto"/>
          </w:divBdr>
        </w:div>
        <w:div w:id="1049652499">
          <w:marLeft w:val="0"/>
          <w:marRight w:val="0"/>
          <w:marTop w:val="0"/>
          <w:marBottom w:val="0"/>
          <w:divBdr>
            <w:top w:val="none" w:sz="0" w:space="0" w:color="auto"/>
            <w:left w:val="none" w:sz="0" w:space="0" w:color="auto"/>
            <w:bottom w:val="none" w:sz="0" w:space="0" w:color="auto"/>
            <w:right w:val="none" w:sz="0" w:space="0" w:color="auto"/>
          </w:divBdr>
        </w:div>
        <w:div w:id="1198079461">
          <w:marLeft w:val="0"/>
          <w:marRight w:val="0"/>
          <w:marTop w:val="0"/>
          <w:marBottom w:val="0"/>
          <w:divBdr>
            <w:top w:val="none" w:sz="0" w:space="0" w:color="auto"/>
            <w:left w:val="none" w:sz="0" w:space="0" w:color="auto"/>
            <w:bottom w:val="none" w:sz="0" w:space="0" w:color="auto"/>
            <w:right w:val="none" w:sz="0" w:space="0" w:color="auto"/>
          </w:divBdr>
        </w:div>
      </w:divsChild>
    </w:div>
    <w:div w:id="498888551">
      <w:bodyDiv w:val="1"/>
      <w:marLeft w:val="0"/>
      <w:marRight w:val="0"/>
      <w:marTop w:val="0"/>
      <w:marBottom w:val="0"/>
      <w:divBdr>
        <w:top w:val="none" w:sz="0" w:space="0" w:color="auto"/>
        <w:left w:val="none" w:sz="0" w:space="0" w:color="auto"/>
        <w:bottom w:val="none" w:sz="0" w:space="0" w:color="auto"/>
        <w:right w:val="none" w:sz="0" w:space="0" w:color="auto"/>
      </w:divBdr>
    </w:div>
    <w:div w:id="505635593">
      <w:bodyDiv w:val="1"/>
      <w:marLeft w:val="0"/>
      <w:marRight w:val="0"/>
      <w:marTop w:val="0"/>
      <w:marBottom w:val="0"/>
      <w:divBdr>
        <w:top w:val="none" w:sz="0" w:space="0" w:color="auto"/>
        <w:left w:val="none" w:sz="0" w:space="0" w:color="auto"/>
        <w:bottom w:val="none" w:sz="0" w:space="0" w:color="auto"/>
        <w:right w:val="none" w:sz="0" w:space="0" w:color="auto"/>
      </w:divBdr>
    </w:div>
    <w:div w:id="520436941">
      <w:bodyDiv w:val="1"/>
      <w:marLeft w:val="0"/>
      <w:marRight w:val="0"/>
      <w:marTop w:val="0"/>
      <w:marBottom w:val="0"/>
      <w:divBdr>
        <w:top w:val="none" w:sz="0" w:space="0" w:color="auto"/>
        <w:left w:val="none" w:sz="0" w:space="0" w:color="auto"/>
        <w:bottom w:val="none" w:sz="0" w:space="0" w:color="auto"/>
        <w:right w:val="none" w:sz="0" w:space="0" w:color="auto"/>
      </w:divBdr>
    </w:div>
    <w:div w:id="533154851">
      <w:bodyDiv w:val="1"/>
      <w:marLeft w:val="0"/>
      <w:marRight w:val="0"/>
      <w:marTop w:val="0"/>
      <w:marBottom w:val="0"/>
      <w:divBdr>
        <w:top w:val="none" w:sz="0" w:space="0" w:color="auto"/>
        <w:left w:val="none" w:sz="0" w:space="0" w:color="auto"/>
        <w:bottom w:val="none" w:sz="0" w:space="0" w:color="auto"/>
        <w:right w:val="none" w:sz="0" w:space="0" w:color="auto"/>
      </w:divBdr>
    </w:div>
    <w:div w:id="540283795">
      <w:bodyDiv w:val="1"/>
      <w:marLeft w:val="0"/>
      <w:marRight w:val="0"/>
      <w:marTop w:val="0"/>
      <w:marBottom w:val="0"/>
      <w:divBdr>
        <w:top w:val="none" w:sz="0" w:space="0" w:color="auto"/>
        <w:left w:val="none" w:sz="0" w:space="0" w:color="auto"/>
        <w:bottom w:val="none" w:sz="0" w:space="0" w:color="auto"/>
        <w:right w:val="none" w:sz="0" w:space="0" w:color="auto"/>
      </w:divBdr>
    </w:div>
    <w:div w:id="554632072">
      <w:bodyDiv w:val="1"/>
      <w:marLeft w:val="0"/>
      <w:marRight w:val="0"/>
      <w:marTop w:val="0"/>
      <w:marBottom w:val="0"/>
      <w:divBdr>
        <w:top w:val="none" w:sz="0" w:space="0" w:color="auto"/>
        <w:left w:val="none" w:sz="0" w:space="0" w:color="auto"/>
        <w:bottom w:val="none" w:sz="0" w:space="0" w:color="auto"/>
        <w:right w:val="none" w:sz="0" w:space="0" w:color="auto"/>
      </w:divBdr>
    </w:div>
    <w:div w:id="554894544">
      <w:bodyDiv w:val="1"/>
      <w:marLeft w:val="0"/>
      <w:marRight w:val="0"/>
      <w:marTop w:val="0"/>
      <w:marBottom w:val="0"/>
      <w:divBdr>
        <w:top w:val="none" w:sz="0" w:space="0" w:color="auto"/>
        <w:left w:val="none" w:sz="0" w:space="0" w:color="auto"/>
        <w:bottom w:val="none" w:sz="0" w:space="0" w:color="auto"/>
        <w:right w:val="none" w:sz="0" w:space="0" w:color="auto"/>
      </w:divBdr>
    </w:div>
    <w:div w:id="558977231">
      <w:bodyDiv w:val="1"/>
      <w:marLeft w:val="0"/>
      <w:marRight w:val="0"/>
      <w:marTop w:val="0"/>
      <w:marBottom w:val="0"/>
      <w:divBdr>
        <w:top w:val="none" w:sz="0" w:space="0" w:color="auto"/>
        <w:left w:val="none" w:sz="0" w:space="0" w:color="auto"/>
        <w:bottom w:val="none" w:sz="0" w:space="0" w:color="auto"/>
        <w:right w:val="none" w:sz="0" w:space="0" w:color="auto"/>
      </w:divBdr>
      <w:divsChild>
        <w:div w:id="17319780">
          <w:marLeft w:val="0"/>
          <w:marRight w:val="0"/>
          <w:marTop w:val="0"/>
          <w:marBottom w:val="0"/>
          <w:divBdr>
            <w:top w:val="none" w:sz="0" w:space="0" w:color="auto"/>
            <w:left w:val="none" w:sz="0" w:space="0" w:color="auto"/>
            <w:bottom w:val="none" w:sz="0" w:space="0" w:color="auto"/>
            <w:right w:val="none" w:sz="0" w:space="0" w:color="auto"/>
          </w:divBdr>
        </w:div>
        <w:div w:id="28068678">
          <w:marLeft w:val="0"/>
          <w:marRight w:val="0"/>
          <w:marTop w:val="0"/>
          <w:marBottom w:val="0"/>
          <w:divBdr>
            <w:top w:val="none" w:sz="0" w:space="0" w:color="auto"/>
            <w:left w:val="none" w:sz="0" w:space="0" w:color="auto"/>
            <w:bottom w:val="none" w:sz="0" w:space="0" w:color="auto"/>
            <w:right w:val="none" w:sz="0" w:space="0" w:color="auto"/>
          </w:divBdr>
        </w:div>
        <w:div w:id="59787661">
          <w:marLeft w:val="0"/>
          <w:marRight w:val="0"/>
          <w:marTop w:val="0"/>
          <w:marBottom w:val="0"/>
          <w:divBdr>
            <w:top w:val="none" w:sz="0" w:space="0" w:color="auto"/>
            <w:left w:val="none" w:sz="0" w:space="0" w:color="auto"/>
            <w:bottom w:val="none" w:sz="0" w:space="0" w:color="auto"/>
            <w:right w:val="none" w:sz="0" w:space="0" w:color="auto"/>
          </w:divBdr>
        </w:div>
        <w:div w:id="78987916">
          <w:marLeft w:val="0"/>
          <w:marRight w:val="0"/>
          <w:marTop w:val="0"/>
          <w:marBottom w:val="0"/>
          <w:divBdr>
            <w:top w:val="none" w:sz="0" w:space="0" w:color="auto"/>
            <w:left w:val="none" w:sz="0" w:space="0" w:color="auto"/>
            <w:bottom w:val="none" w:sz="0" w:space="0" w:color="auto"/>
            <w:right w:val="none" w:sz="0" w:space="0" w:color="auto"/>
          </w:divBdr>
        </w:div>
        <w:div w:id="85855371">
          <w:marLeft w:val="0"/>
          <w:marRight w:val="0"/>
          <w:marTop w:val="0"/>
          <w:marBottom w:val="0"/>
          <w:divBdr>
            <w:top w:val="none" w:sz="0" w:space="0" w:color="auto"/>
            <w:left w:val="none" w:sz="0" w:space="0" w:color="auto"/>
            <w:bottom w:val="none" w:sz="0" w:space="0" w:color="auto"/>
            <w:right w:val="none" w:sz="0" w:space="0" w:color="auto"/>
          </w:divBdr>
        </w:div>
        <w:div w:id="111755201">
          <w:marLeft w:val="0"/>
          <w:marRight w:val="0"/>
          <w:marTop w:val="0"/>
          <w:marBottom w:val="0"/>
          <w:divBdr>
            <w:top w:val="none" w:sz="0" w:space="0" w:color="auto"/>
            <w:left w:val="none" w:sz="0" w:space="0" w:color="auto"/>
            <w:bottom w:val="none" w:sz="0" w:space="0" w:color="auto"/>
            <w:right w:val="none" w:sz="0" w:space="0" w:color="auto"/>
          </w:divBdr>
        </w:div>
        <w:div w:id="172033723">
          <w:marLeft w:val="0"/>
          <w:marRight w:val="0"/>
          <w:marTop w:val="0"/>
          <w:marBottom w:val="0"/>
          <w:divBdr>
            <w:top w:val="none" w:sz="0" w:space="0" w:color="auto"/>
            <w:left w:val="none" w:sz="0" w:space="0" w:color="auto"/>
            <w:bottom w:val="none" w:sz="0" w:space="0" w:color="auto"/>
            <w:right w:val="none" w:sz="0" w:space="0" w:color="auto"/>
          </w:divBdr>
        </w:div>
        <w:div w:id="188028430">
          <w:marLeft w:val="0"/>
          <w:marRight w:val="0"/>
          <w:marTop w:val="0"/>
          <w:marBottom w:val="0"/>
          <w:divBdr>
            <w:top w:val="none" w:sz="0" w:space="0" w:color="auto"/>
            <w:left w:val="none" w:sz="0" w:space="0" w:color="auto"/>
            <w:bottom w:val="none" w:sz="0" w:space="0" w:color="auto"/>
            <w:right w:val="none" w:sz="0" w:space="0" w:color="auto"/>
          </w:divBdr>
        </w:div>
        <w:div w:id="207958691">
          <w:marLeft w:val="0"/>
          <w:marRight w:val="0"/>
          <w:marTop w:val="0"/>
          <w:marBottom w:val="0"/>
          <w:divBdr>
            <w:top w:val="none" w:sz="0" w:space="0" w:color="auto"/>
            <w:left w:val="none" w:sz="0" w:space="0" w:color="auto"/>
            <w:bottom w:val="none" w:sz="0" w:space="0" w:color="auto"/>
            <w:right w:val="none" w:sz="0" w:space="0" w:color="auto"/>
          </w:divBdr>
        </w:div>
        <w:div w:id="257294803">
          <w:marLeft w:val="0"/>
          <w:marRight w:val="0"/>
          <w:marTop w:val="0"/>
          <w:marBottom w:val="0"/>
          <w:divBdr>
            <w:top w:val="none" w:sz="0" w:space="0" w:color="auto"/>
            <w:left w:val="none" w:sz="0" w:space="0" w:color="auto"/>
            <w:bottom w:val="none" w:sz="0" w:space="0" w:color="auto"/>
            <w:right w:val="none" w:sz="0" w:space="0" w:color="auto"/>
          </w:divBdr>
        </w:div>
        <w:div w:id="294338315">
          <w:marLeft w:val="0"/>
          <w:marRight w:val="0"/>
          <w:marTop w:val="0"/>
          <w:marBottom w:val="0"/>
          <w:divBdr>
            <w:top w:val="none" w:sz="0" w:space="0" w:color="auto"/>
            <w:left w:val="none" w:sz="0" w:space="0" w:color="auto"/>
            <w:bottom w:val="none" w:sz="0" w:space="0" w:color="auto"/>
            <w:right w:val="none" w:sz="0" w:space="0" w:color="auto"/>
          </w:divBdr>
        </w:div>
        <w:div w:id="307706638">
          <w:marLeft w:val="0"/>
          <w:marRight w:val="0"/>
          <w:marTop w:val="0"/>
          <w:marBottom w:val="0"/>
          <w:divBdr>
            <w:top w:val="none" w:sz="0" w:space="0" w:color="auto"/>
            <w:left w:val="none" w:sz="0" w:space="0" w:color="auto"/>
            <w:bottom w:val="none" w:sz="0" w:space="0" w:color="auto"/>
            <w:right w:val="none" w:sz="0" w:space="0" w:color="auto"/>
          </w:divBdr>
        </w:div>
        <w:div w:id="344207651">
          <w:marLeft w:val="0"/>
          <w:marRight w:val="0"/>
          <w:marTop w:val="0"/>
          <w:marBottom w:val="0"/>
          <w:divBdr>
            <w:top w:val="none" w:sz="0" w:space="0" w:color="auto"/>
            <w:left w:val="none" w:sz="0" w:space="0" w:color="auto"/>
            <w:bottom w:val="none" w:sz="0" w:space="0" w:color="auto"/>
            <w:right w:val="none" w:sz="0" w:space="0" w:color="auto"/>
          </w:divBdr>
        </w:div>
        <w:div w:id="375201490">
          <w:marLeft w:val="0"/>
          <w:marRight w:val="0"/>
          <w:marTop w:val="0"/>
          <w:marBottom w:val="0"/>
          <w:divBdr>
            <w:top w:val="none" w:sz="0" w:space="0" w:color="auto"/>
            <w:left w:val="none" w:sz="0" w:space="0" w:color="auto"/>
            <w:bottom w:val="none" w:sz="0" w:space="0" w:color="auto"/>
            <w:right w:val="none" w:sz="0" w:space="0" w:color="auto"/>
          </w:divBdr>
        </w:div>
        <w:div w:id="435830500">
          <w:marLeft w:val="0"/>
          <w:marRight w:val="0"/>
          <w:marTop w:val="0"/>
          <w:marBottom w:val="0"/>
          <w:divBdr>
            <w:top w:val="none" w:sz="0" w:space="0" w:color="auto"/>
            <w:left w:val="none" w:sz="0" w:space="0" w:color="auto"/>
            <w:bottom w:val="none" w:sz="0" w:space="0" w:color="auto"/>
            <w:right w:val="none" w:sz="0" w:space="0" w:color="auto"/>
          </w:divBdr>
        </w:div>
        <w:div w:id="453135284">
          <w:marLeft w:val="0"/>
          <w:marRight w:val="0"/>
          <w:marTop w:val="0"/>
          <w:marBottom w:val="0"/>
          <w:divBdr>
            <w:top w:val="none" w:sz="0" w:space="0" w:color="auto"/>
            <w:left w:val="none" w:sz="0" w:space="0" w:color="auto"/>
            <w:bottom w:val="none" w:sz="0" w:space="0" w:color="auto"/>
            <w:right w:val="none" w:sz="0" w:space="0" w:color="auto"/>
          </w:divBdr>
        </w:div>
        <w:div w:id="475487612">
          <w:marLeft w:val="0"/>
          <w:marRight w:val="0"/>
          <w:marTop w:val="0"/>
          <w:marBottom w:val="0"/>
          <w:divBdr>
            <w:top w:val="none" w:sz="0" w:space="0" w:color="auto"/>
            <w:left w:val="none" w:sz="0" w:space="0" w:color="auto"/>
            <w:bottom w:val="none" w:sz="0" w:space="0" w:color="auto"/>
            <w:right w:val="none" w:sz="0" w:space="0" w:color="auto"/>
          </w:divBdr>
        </w:div>
        <w:div w:id="505558000">
          <w:marLeft w:val="0"/>
          <w:marRight w:val="0"/>
          <w:marTop w:val="0"/>
          <w:marBottom w:val="0"/>
          <w:divBdr>
            <w:top w:val="none" w:sz="0" w:space="0" w:color="auto"/>
            <w:left w:val="none" w:sz="0" w:space="0" w:color="auto"/>
            <w:bottom w:val="none" w:sz="0" w:space="0" w:color="auto"/>
            <w:right w:val="none" w:sz="0" w:space="0" w:color="auto"/>
          </w:divBdr>
        </w:div>
        <w:div w:id="551581277">
          <w:marLeft w:val="0"/>
          <w:marRight w:val="0"/>
          <w:marTop w:val="0"/>
          <w:marBottom w:val="0"/>
          <w:divBdr>
            <w:top w:val="none" w:sz="0" w:space="0" w:color="auto"/>
            <w:left w:val="none" w:sz="0" w:space="0" w:color="auto"/>
            <w:bottom w:val="none" w:sz="0" w:space="0" w:color="auto"/>
            <w:right w:val="none" w:sz="0" w:space="0" w:color="auto"/>
          </w:divBdr>
        </w:div>
        <w:div w:id="600842294">
          <w:marLeft w:val="0"/>
          <w:marRight w:val="0"/>
          <w:marTop w:val="0"/>
          <w:marBottom w:val="0"/>
          <w:divBdr>
            <w:top w:val="none" w:sz="0" w:space="0" w:color="auto"/>
            <w:left w:val="none" w:sz="0" w:space="0" w:color="auto"/>
            <w:bottom w:val="none" w:sz="0" w:space="0" w:color="auto"/>
            <w:right w:val="none" w:sz="0" w:space="0" w:color="auto"/>
          </w:divBdr>
        </w:div>
        <w:div w:id="621494503">
          <w:marLeft w:val="0"/>
          <w:marRight w:val="0"/>
          <w:marTop w:val="0"/>
          <w:marBottom w:val="0"/>
          <w:divBdr>
            <w:top w:val="none" w:sz="0" w:space="0" w:color="auto"/>
            <w:left w:val="none" w:sz="0" w:space="0" w:color="auto"/>
            <w:bottom w:val="none" w:sz="0" w:space="0" w:color="auto"/>
            <w:right w:val="none" w:sz="0" w:space="0" w:color="auto"/>
          </w:divBdr>
        </w:div>
        <w:div w:id="660890485">
          <w:marLeft w:val="0"/>
          <w:marRight w:val="0"/>
          <w:marTop w:val="0"/>
          <w:marBottom w:val="0"/>
          <w:divBdr>
            <w:top w:val="none" w:sz="0" w:space="0" w:color="auto"/>
            <w:left w:val="none" w:sz="0" w:space="0" w:color="auto"/>
            <w:bottom w:val="none" w:sz="0" w:space="0" w:color="auto"/>
            <w:right w:val="none" w:sz="0" w:space="0" w:color="auto"/>
          </w:divBdr>
        </w:div>
        <w:div w:id="666592576">
          <w:marLeft w:val="0"/>
          <w:marRight w:val="0"/>
          <w:marTop w:val="0"/>
          <w:marBottom w:val="0"/>
          <w:divBdr>
            <w:top w:val="none" w:sz="0" w:space="0" w:color="auto"/>
            <w:left w:val="none" w:sz="0" w:space="0" w:color="auto"/>
            <w:bottom w:val="none" w:sz="0" w:space="0" w:color="auto"/>
            <w:right w:val="none" w:sz="0" w:space="0" w:color="auto"/>
          </w:divBdr>
        </w:div>
        <w:div w:id="685207442">
          <w:marLeft w:val="0"/>
          <w:marRight w:val="0"/>
          <w:marTop w:val="0"/>
          <w:marBottom w:val="0"/>
          <w:divBdr>
            <w:top w:val="none" w:sz="0" w:space="0" w:color="auto"/>
            <w:left w:val="none" w:sz="0" w:space="0" w:color="auto"/>
            <w:bottom w:val="none" w:sz="0" w:space="0" w:color="auto"/>
            <w:right w:val="none" w:sz="0" w:space="0" w:color="auto"/>
          </w:divBdr>
        </w:div>
        <w:div w:id="690454365">
          <w:marLeft w:val="0"/>
          <w:marRight w:val="0"/>
          <w:marTop w:val="0"/>
          <w:marBottom w:val="0"/>
          <w:divBdr>
            <w:top w:val="none" w:sz="0" w:space="0" w:color="auto"/>
            <w:left w:val="none" w:sz="0" w:space="0" w:color="auto"/>
            <w:bottom w:val="none" w:sz="0" w:space="0" w:color="auto"/>
            <w:right w:val="none" w:sz="0" w:space="0" w:color="auto"/>
          </w:divBdr>
        </w:div>
        <w:div w:id="691877454">
          <w:marLeft w:val="0"/>
          <w:marRight w:val="0"/>
          <w:marTop w:val="0"/>
          <w:marBottom w:val="0"/>
          <w:divBdr>
            <w:top w:val="none" w:sz="0" w:space="0" w:color="auto"/>
            <w:left w:val="none" w:sz="0" w:space="0" w:color="auto"/>
            <w:bottom w:val="none" w:sz="0" w:space="0" w:color="auto"/>
            <w:right w:val="none" w:sz="0" w:space="0" w:color="auto"/>
          </w:divBdr>
        </w:div>
        <w:div w:id="698168205">
          <w:marLeft w:val="0"/>
          <w:marRight w:val="0"/>
          <w:marTop w:val="0"/>
          <w:marBottom w:val="0"/>
          <w:divBdr>
            <w:top w:val="none" w:sz="0" w:space="0" w:color="auto"/>
            <w:left w:val="none" w:sz="0" w:space="0" w:color="auto"/>
            <w:bottom w:val="none" w:sz="0" w:space="0" w:color="auto"/>
            <w:right w:val="none" w:sz="0" w:space="0" w:color="auto"/>
          </w:divBdr>
        </w:div>
        <w:div w:id="737440234">
          <w:marLeft w:val="0"/>
          <w:marRight w:val="0"/>
          <w:marTop w:val="0"/>
          <w:marBottom w:val="0"/>
          <w:divBdr>
            <w:top w:val="none" w:sz="0" w:space="0" w:color="auto"/>
            <w:left w:val="none" w:sz="0" w:space="0" w:color="auto"/>
            <w:bottom w:val="none" w:sz="0" w:space="0" w:color="auto"/>
            <w:right w:val="none" w:sz="0" w:space="0" w:color="auto"/>
          </w:divBdr>
        </w:div>
        <w:div w:id="786508240">
          <w:marLeft w:val="0"/>
          <w:marRight w:val="0"/>
          <w:marTop w:val="0"/>
          <w:marBottom w:val="0"/>
          <w:divBdr>
            <w:top w:val="none" w:sz="0" w:space="0" w:color="auto"/>
            <w:left w:val="none" w:sz="0" w:space="0" w:color="auto"/>
            <w:bottom w:val="none" w:sz="0" w:space="0" w:color="auto"/>
            <w:right w:val="none" w:sz="0" w:space="0" w:color="auto"/>
          </w:divBdr>
        </w:div>
        <w:div w:id="819153103">
          <w:marLeft w:val="0"/>
          <w:marRight w:val="0"/>
          <w:marTop w:val="0"/>
          <w:marBottom w:val="0"/>
          <w:divBdr>
            <w:top w:val="none" w:sz="0" w:space="0" w:color="auto"/>
            <w:left w:val="none" w:sz="0" w:space="0" w:color="auto"/>
            <w:bottom w:val="none" w:sz="0" w:space="0" w:color="auto"/>
            <w:right w:val="none" w:sz="0" w:space="0" w:color="auto"/>
          </w:divBdr>
        </w:div>
        <w:div w:id="820387216">
          <w:marLeft w:val="0"/>
          <w:marRight w:val="0"/>
          <w:marTop w:val="0"/>
          <w:marBottom w:val="0"/>
          <w:divBdr>
            <w:top w:val="none" w:sz="0" w:space="0" w:color="auto"/>
            <w:left w:val="none" w:sz="0" w:space="0" w:color="auto"/>
            <w:bottom w:val="none" w:sz="0" w:space="0" w:color="auto"/>
            <w:right w:val="none" w:sz="0" w:space="0" w:color="auto"/>
          </w:divBdr>
        </w:div>
        <w:div w:id="835611805">
          <w:marLeft w:val="0"/>
          <w:marRight w:val="0"/>
          <w:marTop w:val="0"/>
          <w:marBottom w:val="0"/>
          <w:divBdr>
            <w:top w:val="none" w:sz="0" w:space="0" w:color="auto"/>
            <w:left w:val="none" w:sz="0" w:space="0" w:color="auto"/>
            <w:bottom w:val="none" w:sz="0" w:space="0" w:color="auto"/>
            <w:right w:val="none" w:sz="0" w:space="0" w:color="auto"/>
          </w:divBdr>
        </w:div>
        <w:div w:id="849830570">
          <w:marLeft w:val="0"/>
          <w:marRight w:val="0"/>
          <w:marTop w:val="0"/>
          <w:marBottom w:val="0"/>
          <w:divBdr>
            <w:top w:val="none" w:sz="0" w:space="0" w:color="auto"/>
            <w:left w:val="none" w:sz="0" w:space="0" w:color="auto"/>
            <w:bottom w:val="none" w:sz="0" w:space="0" w:color="auto"/>
            <w:right w:val="none" w:sz="0" w:space="0" w:color="auto"/>
          </w:divBdr>
        </w:div>
        <w:div w:id="856113691">
          <w:marLeft w:val="0"/>
          <w:marRight w:val="0"/>
          <w:marTop w:val="0"/>
          <w:marBottom w:val="0"/>
          <w:divBdr>
            <w:top w:val="none" w:sz="0" w:space="0" w:color="auto"/>
            <w:left w:val="none" w:sz="0" w:space="0" w:color="auto"/>
            <w:bottom w:val="none" w:sz="0" w:space="0" w:color="auto"/>
            <w:right w:val="none" w:sz="0" w:space="0" w:color="auto"/>
          </w:divBdr>
        </w:div>
        <w:div w:id="856698916">
          <w:marLeft w:val="0"/>
          <w:marRight w:val="0"/>
          <w:marTop w:val="0"/>
          <w:marBottom w:val="0"/>
          <w:divBdr>
            <w:top w:val="none" w:sz="0" w:space="0" w:color="auto"/>
            <w:left w:val="none" w:sz="0" w:space="0" w:color="auto"/>
            <w:bottom w:val="none" w:sz="0" w:space="0" w:color="auto"/>
            <w:right w:val="none" w:sz="0" w:space="0" w:color="auto"/>
          </w:divBdr>
        </w:div>
        <w:div w:id="889536965">
          <w:marLeft w:val="0"/>
          <w:marRight w:val="0"/>
          <w:marTop w:val="0"/>
          <w:marBottom w:val="0"/>
          <w:divBdr>
            <w:top w:val="none" w:sz="0" w:space="0" w:color="auto"/>
            <w:left w:val="none" w:sz="0" w:space="0" w:color="auto"/>
            <w:bottom w:val="none" w:sz="0" w:space="0" w:color="auto"/>
            <w:right w:val="none" w:sz="0" w:space="0" w:color="auto"/>
          </w:divBdr>
        </w:div>
        <w:div w:id="910044375">
          <w:marLeft w:val="0"/>
          <w:marRight w:val="0"/>
          <w:marTop w:val="0"/>
          <w:marBottom w:val="0"/>
          <w:divBdr>
            <w:top w:val="none" w:sz="0" w:space="0" w:color="auto"/>
            <w:left w:val="none" w:sz="0" w:space="0" w:color="auto"/>
            <w:bottom w:val="none" w:sz="0" w:space="0" w:color="auto"/>
            <w:right w:val="none" w:sz="0" w:space="0" w:color="auto"/>
          </w:divBdr>
        </w:div>
        <w:div w:id="981958482">
          <w:marLeft w:val="0"/>
          <w:marRight w:val="0"/>
          <w:marTop w:val="0"/>
          <w:marBottom w:val="0"/>
          <w:divBdr>
            <w:top w:val="none" w:sz="0" w:space="0" w:color="auto"/>
            <w:left w:val="none" w:sz="0" w:space="0" w:color="auto"/>
            <w:bottom w:val="none" w:sz="0" w:space="0" w:color="auto"/>
            <w:right w:val="none" w:sz="0" w:space="0" w:color="auto"/>
          </w:divBdr>
        </w:div>
        <w:div w:id="1001542919">
          <w:marLeft w:val="0"/>
          <w:marRight w:val="0"/>
          <w:marTop w:val="0"/>
          <w:marBottom w:val="0"/>
          <w:divBdr>
            <w:top w:val="none" w:sz="0" w:space="0" w:color="auto"/>
            <w:left w:val="none" w:sz="0" w:space="0" w:color="auto"/>
            <w:bottom w:val="none" w:sz="0" w:space="0" w:color="auto"/>
            <w:right w:val="none" w:sz="0" w:space="0" w:color="auto"/>
          </w:divBdr>
        </w:div>
        <w:div w:id="1002582639">
          <w:marLeft w:val="0"/>
          <w:marRight w:val="0"/>
          <w:marTop w:val="0"/>
          <w:marBottom w:val="0"/>
          <w:divBdr>
            <w:top w:val="none" w:sz="0" w:space="0" w:color="auto"/>
            <w:left w:val="none" w:sz="0" w:space="0" w:color="auto"/>
            <w:bottom w:val="none" w:sz="0" w:space="0" w:color="auto"/>
            <w:right w:val="none" w:sz="0" w:space="0" w:color="auto"/>
          </w:divBdr>
        </w:div>
        <w:div w:id="1003896539">
          <w:marLeft w:val="0"/>
          <w:marRight w:val="0"/>
          <w:marTop w:val="0"/>
          <w:marBottom w:val="0"/>
          <w:divBdr>
            <w:top w:val="none" w:sz="0" w:space="0" w:color="auto"/>
            <w:left w:val="none" w:sz="0" w:space="0" w:color="auto"/>
            <w:bottom w:val="none" w:sz="0" w:space="0" w:color="auto"/>
            <w:right w:val="none" w:sz="0" w:space="0" w:color="auto"/>
          </w:divBdr>
        </w:div>
        <w:div w:id="1017460585">
          <w:marLeft w:val="0"/>
          <w:marRight w:val="0"/>
          <w:marTop w:val="0"/>
          <w:marBottom w:val="0"/>
          <w:divBdr>
            <w:top w:val="none" w:sz="0" w:space="0" w:color="auto"/>
            <w:left w:val="none" w:sz="0" w:space="0" w:color="auto"/>
            <w:bottom w:val="none" w:sz="0" w:space="0" w:color="auto"/>
            <w:right w:val="none" w:sz="0" w:space="0" w:color="auto"/>
          </w:divBdr>
        </w:div>
        <w:div w:id="1019350456">
          <w:marLeft w:val="0"/>
          <w:marRight w:val="0"/>
          <w:marTop w:val="0"/>
          <w:marBottom w:val="0"/>
          <w:divBdr>
            <w:top w:val="none" w:sz="0" w:space="0" w:color="auto"/>
            <w:left w:val="none" w:sz="0" w:space="0" w:color="auto"/>
            <w:bottom w:val="none" w:sz="0" w:space="0" w:color="auto"/>
            <w:right w:val="none" w:sz="0" w:space="0" w:color="auto"/>
          </w:divBdr>
        </w:div>
        <w:div w:id="1041518753">
          <w:marLeft w:val="0"/>
          <w:marRight w:val="0"/>
          <w:marTop w:val="0"/>
          <w:marBottom w:val="0"/>
          <w:divBdr>
            <w:top w:val="none" w:sz="0" w:space="0" w:color="auto"/>
            <w:left w:val="none" w:sz="0" w:space="0" w:color="auto"/>
            <w:bottom w:val="none" w:sz="0" w:space="0" w:color="auto"/>
            <w:right w:val="none" w:sz="0" w:space="0" w:color="auto"/>
          </w:divBdr>
        </w:div>
        <w:div w:id="1049957421">
          <w:marLeft w:val="0"/>
          <w:marRight w:val="0"/>
          <w:marTop w:val="0"/>
          <w:marBottom w:val="0"/>
          <w:divBdr>
            <w:top w:val="none" w:sz="0" w:space="0" w:color="auto"/>
            <w:left w:val="none" w:sz="0" w:space="0" w:color="auto"/>
            <w:bottom w:val="none" w:sz="0" w:space="0" w:color="auto"/>
            <w:right w:val="none" w:sz="0" w:space="0" w:color="auto"/>
          </w:divBdr>
        </w:div>
        <w:div w:id="1097943187">
          <w:marLeft w:val="0"/>
          <w:marRight w:val="0"/>
          <w:marTop w:val="0"/>
          <w:marBottom w:val="0"/>
          <w:divBdr>
            <w:top w:val="none" w:sz="0" w:space="0" w:color="auto"/>
            <w:left w:val="none" w:sz="0" w:space="0" w:color="auto"/>
            <w:bottom w:val="none" w:sz="0" w:space="0" w:color="auto"/>
            <w:right w:val="none" w:sz="0" w:space="0" w:color="auto"/>
          </w:divBdr>
        </w:div>
        <w:div w:id="1133905478">
          <w:marLeft w:val="0"/>
          <w:marRight w:val="0"/>
          <w:marTop w:val="0"/>
          <w:marBottom w:val="0"/>
          <w:divBdr>
            <w:top w:val="none" w:sz="0" w:space="0" w:color="auto"/>
            <w:left w:val="none" w:sz="0" w:space="0" w:color="auto"/>
            <w:bottom w:val="none" w:sz="0" w:space="0" w:color="auto"/>
            <w:right w:val="none" w:sz="0" w:space="0" w:color="auto"/>
          </w:divBdr>
        </w:div>
        <w:div w:id="1148130607">
          <w:marLeft w:val="0"/>
          <w:marRight w:val="0"/>
          <w:marTop w:val="0"/>
          <w:marBottom w:val="0"/>
          <w:divBdr>
            <w:top w:val="none" w:sz="0" w:space="0" w:color="auto"/>
            <w:left w:val="none" w:sz="0" w:space="0" w:color="auto"/>
            <w:bottom w:val="none" w:sz="0" w:space="0" w:color="auto"/>
            <w:right w:val="none" w:sz="0" w:space="0" w:color="auto"/>
          </w:divBdr>
        </w:div>
        <w:div w:id="1158038489">
          <w:marLeft w:val="0"/>
          <w:marRight w:val="0"/>
          <w:marTop w:val="0"/>
          <w:marBottom w:val="0"/>
          <w:divBdr>
            <w:top w:val="none" w:sz="0" w:space="0" w:color="auto"/>
            <w:left w:val="none" w:sz="0" w:space="0" w:color="auto"/>
            <w:bottom w:val="none" w:sz="0" w:space="0" w:color="auto"/>
            <w:right w:val="none" w:sz="0" w:space="0" w:color="auto"/>
          </w:divBdr>
        </w:div>
        <w:div w:id="1237744067">
          <w:marLeft w:val="0"/>
          <w:marRight w:val="0"/>
          <w:marTop w:val="0"/>
          <w:marBottom w:val="0"/>
          <w:divBdr>
            <w:top w:val="none" w:sz="0" w:space="0" w:color="auto"/>
            <w:left w:val="none" w:sz="0" w:space="0" w:color="auto"/>
            <w:bottom w:val="none" w:sz="0" w:space="0" w:color="auto"/>
            <w:right w:val="none" w:sz="0" w:space="0" w:color="auto"/>
          </w:divBdr>
        </w:div>
        <w:div w:id="1245528819">
          <w:marLeft w:val="0"/>
          <w:marRight w:val="0"/>
          <w:marTop w:val="0"/>
          <w:marBottom w:val="0"/>
          <w:divBdr>
            <w:top w:val="none" w:sz="0" w:space="0" w:color="auto"/>
            <w:left w:val="none" w:sz="0" w:space="0" w:color="auto"/>
            <w:bottom w:val="none" w:sz="0" w:space="0" w:color="auto"/>
            <w:right w:val="none" w:sz="0" w:space="0" w:color="auto"/>
          </w:divBdr>
        </w:div>
        <w:div w:id="1253978464">
          <w:marLeft w:val="0"/>
          <w:marRight w:val="0"/>
          <w:marTop w:val="0"/>
          <w:marBottom w:val="0"/>
          <w:divBdr>
            <w:top w:val="none" w:sz="0" w:space="0" w:color="auto"/>
            <w:left w:val="none" w:sz="0" w:space="0" w:color="auto"/>
            <w:bottom w:val="none" w:sz="0" w:space="0" w:color="auto"/>
            <w:right w:val="none" w:sz="0" w:space="0" w:color="auto"/>
          </w:divBdr>
        </w:div>
        <w:div w:id="1270551879">
          <w:marLeft w:val="0"/>
          <w:marRight w:val="0"/>
          <w:marTop w:val="0"/>
          <w:marBottom w:val="0"/>
          <w:divBdr>
            <w:top w:val="none" w:sz="0" w:space="0" w:color="auto"/>
            <w:left w:val="none" w:sz="0" w:space="0" w:color="auto"/>
            <w:bottom w:val="none" w:sz="0" w:space="0" w:color="auto"/>
            <w:right w:val="none" w:sz="0" w:space="0" w:color="auto"/>
          </w:divBdr>
        </w:div>
        <w:div w:id="1278834183">
          <w:marLeft w:val="0"/>
          <w:marRight w:val="0"/>
          <w:marTop w:val="0"/>
          <w:marBottom w:val="0"/>
          <w:divBdr>
            <w:top w:val="none" w:sz="0" w:space="0" w:color="auto"/>
            <w:left w:val="none" w:sz="0" w:space="0" w:color="auto"/>
            <w:bottom w:val="none" w:sz="0" w:space="0" w:color="auto"/>
            <w:right w:val="none" w:sz="0" w:space="0" w:color="auto"/>
          </w:divBdr>
        </w:div>
        <w:div w:id="1320695047">
          <w:marLeft w:val="0"/>
          <w:marRight w:val="0"/>
          <w:marTop w:val="0"/>
          <w:marBottom w:val="0"/>
          <w:divBdr>
            <w:top w:val="none" w:sz="0" w:space="0" w:color="auto"/>
            <w:left w:val="none" w:sz="0" w:space="0" w:color="auto"/>
            <w:bottom w:val="none" w:sz="0" w:space="0" w:color="auto"/>
            <w:right w:val="none" w:sz="0" w:space="0" w:color="auto"/>
          </w:divBdr>
        </w:div>
        <w:div w:id="1328366541">
          <w:marLeft w:val="0"/>
          <w:marRight w:val="0"/>
          <w:marTop w:val="0"/>
          <w:marBottom w:val="0"/>
          <w:divBdr>
            <w:top w:val="none" w:sz="0" w:space="0" w:color="auto"/>
            <w:left w:val="none" w:sz="0" w:space="0" w:color="auto"/>
            <w:bottom w:val="none" w:sz="0" w:space="0" w:color="auto"/>
            <w:right w:val="none" w:sz="0" w:space="0" w:color="auto"/>
          </w:divBdr>
        </w:div>
        <w:div w:id="1330212215">
          <w:marLeft w:val="0"/>
          <w:marRight w:val="0"/>
          <w:marTop w:val="0"/>
          <w:marBottom w:val="0"/>
          <w:divBdr>
            <w:top w:val="none" w:sz="0" w:space="0" w:color="auto"/>
            <w:left w:val="none" w:sz="0" w:space="0" w:color="auto"/>
            <w:bottom w:val="none" w:sz="0" w:space="0" w:color="auto"/>
            <w:right w:val="none" w:sz="0" w:space="0" w:color="auto"/>
          </w:divBdr>
        </w:div>
        <w:div w:id="1338121735">
          <w:marLeft w:val="0"/>
          <w:marRight w:val="0"/>
          <w:marTop w:val="0"/>
          <w:marBottom w:val="0"/>
          <w:divBdr>
            <w:top w:val="none" w:sz="0" w:space="0" w:color="auto"/>
            <w:left w:val="none" w:sz="0" w:space="0" w:color="auto"/>
            <w:bottom w:val="none" w:sz="0" w:space="0" w:color="auto"/>
            <w:right w:val="none" w:sz="0" w:space="0" w:color="auto"/>
          </w:divBdr>
        </w:div>
        <w:div w:id="1339384761">
          <w:marLeft w:val="0"/>
          <w:marRight w:val="0"/>
          <w:marTop w:val="0"/>
          <w:marBottom w:val="0"/>
          <w:divBdr>
            <w:top w:val="none" w:sz="0" w:space="0" w:color="auto"/>
            <w:left w:val="none" w:sz="0" w:space="0" w:color="auto"/>
            <w:bottom w:val="none" w:sz="0" w:space="0" w:color="auto"/>
            <w:right w:val="none" w:sz="0" w:space="0" w:color="auto"/>
          </w:divBdr>
        </w:div>
        <w:div w:id="1349527218">
          <w:marLeft w:val="0"/>
          <w:marRight w:val="0"/>
          <w:marTop w:val="0"/>
          <w:marBottom w:val="0"/>
          <w:divBdr>
            <w:top w:val="none" w:sz="0" w:space="0" w:color="auto"/>
            <w:left w:val="none" w:sz="0" w:space="0" w:color="auto"/>
            <w:bottom w:val="none" w:sz="0" w:space="0" w:color="auto"/>
            <w:right w:val="none" w:sz="0" w:space="0" w:color="auto"/>
          </w:divBdr>
        </w:div>
        <w:div w:id="1363361583">
          <w:marLeft w:val="0"/>
          <w:marRight w:val="0"/>
          <w:marTop w:val="0"/>
          <w:marBottom w:val="0"/>
          <w:divBdr>
            <w:top w:val="none" w:sz="0" w:space="0" w:color="auto"/>
            <w:left w:val="none" w:sz="0" w:space="0" w:color="auto"/>
            <w:bottom w:val="none" w:sz="0" w:space="0" w:color="auto"/>
            <w:right w:val="none" w:sz="0" w:space="0" w:color="auto"/>
          </w:divBdr>
        </w:div>
        <w:div w:id="1381203505">
          <w:marLeft w:val="0"/>
          <w:marRight w:val="0"/>
          <w:marTop w:val="0"/>
          <w:marBottom w:val="0"/>
          <w:divBdr>
            <w:top w:val="none" w:sz="0" w:space="0" w:color="auto"/>
            <w:left w:val="none" w:sz="0" w:space="0" w:color="auto"/>
            <w:bottom w:val="none" w:sz="0" w:space="0" w:color="auto"/>
            <w:right w:val="none" w:sz="0" w:space="0" w:color="auto"/>
          </w:divBdr>
        </w:div>
        <w:div w:id="1399865681">
          <w:marLeft w:val="0"/>
          <w:marRight w:val="0"/>
          <w:marTop w:val="0"/>
          <w:marBottom w:val="0"/>
          <w:divBdr>
            <w:top w:val="none" w:sz="0" w:space="0" w:color="auto"/>
            <w:left w:val="none" w:sz="0" w:space="0" w:color="auto"/>
            <w:bottom w:val="none" w:sz="0" w:space="0" w:color="auto"/>
            <w:right w:val="none" w:sz="0" w:space="0" w:color="auto"/>
          </w:divBdr>
        </w:div>
        <w:div w:id="1405182513">
          <w:marLeft w:val="0"/>
          <w:marRight w:val="0"/>
          <w:marTop w:val="0"/>
          <w:marBottom w:val="0"/>
          <w:divBdr>
            <w:top w:val="none" w:sz="0" w:space="0" w:color="auto"/>
            <w:left w:val="none" w:sz="0" w:space="0" w:color="auto"/>
            <w:bottom w:val="none" w:sz="0" w:space="0" w:color="auto"/>
            <w:right w:val="none" w:sz="0" w:space="0" w:color="auto"/>
          </w:divBdr>
        </w:div>
        <w:div w:id="1405840141">
          <w:marLeft w:val="0"/>
          <w:marRight w:val="0"/>
          <w:marTop w:val="0"/>
          <w:marBottom w:val="0"/>
          <w:divBdr>
            <w:top w:val="none" w:sz="0" w:space="0" w:color="auto"/>
            <w:left w:val="none" w:sz="0" w:space="0" w:color="auto"/>
            <w:bottom w:val="none" w:sz="0" w:space="0" w:color="auto"/>
            <w:right w:val="none" w:sz="0" w:space="0" w:color="auto"/>
          </w:divBdr>
        </w:div>
        <w:div w:id="1424688887">
          <w:marLeft w:val="0"/>
          <w:marRight w:val="0"/>
          <w:marTop w:val="0"/>
          <w:marBottom w:val="0"/>
          <w:divBdr>
            <w:top w:val="none" w:sz="0" w:space="0" w:color="auto"/>
            <w:left w:val="none" w:sz="0" w:space="0" w:color="auto"/>
            <w:bottom w:val="none" w:sz="0" w:space="0" w:color="auto"/>
            <w:right w:val="none" w:sz="0" w:space="0" w:color="auto"/>
          </w:divBdr>
        </w:div>
        <w:div w:id="1444492233">
          <w:marLeft w:val="0"/>
          <w:marRight w:val="0"/>
          <w:marTop w:val="0"/>
          <w:marBottom w:val="0"/>
          <w:divBdr>
            <w:top w:val="none" w:sz="0" w:space="0" w:color="auto"/>
            <w:left w:val="none" w:sz="0" w:space="0" w:color="auto"/>
            <w:bottom w:val="none" w:sz="0" w:space="0" w:color="auto"/>
            <w:right w:val="none" w:sz="0" w:space="0" w:color="auto"/>
          </w:divBdr>
        </w:div>
        <w:div w:id="1478691949">
          <w:marLeft w:val="0"/>
          <w:marRight w:val="0"/>
          <w:marTop w:val="0"/>
          <w:marBottom w:val="0"/>
          <w:divBdr>
            <w:top w:val="none" w:sz="0" w:space="0" w:color="auto"/>
            <w:left w:val="none" w:sz="0" w:space="0" w:color="auto"/>
            <w:bottom w:val="none" w:sz="0" w:space="0" w:color="auto"/>
            <w:right w:val="none" w:sz="0" w:space="0" w:color="auto"/>
          </w:divBdr>
        </w:div>
        <w:div w:id="1498616573">
          <w:marLeft w:val="0"/>
          <w:marRight w:val="0"/>
          <w:marTop w:val="0"/>
          <w:marBottom w:val="0"/>
          <w:divBdr>
            <w:top w:val="none" w:sz="0" w:space="0" w:color="auto"/>
            <w:left w:val="none" w:sz="0" w:space="0" w:color="auto"/>
            <w:bottom w:val="none" w:sz="0" w:space="0" w:color="auto"/>
            <w:right w:val="none" w:sz="0" w:space="0" w:color="auto"/>
          </w:divBdr>
        </w:div>
        <w:div w:id="1499275183">
          <w:marLeft w:val="0"/>
          <w:marRight w:val="0"/>
          <w:marTop w:val="0"/>
          <w:marBottom w:val="0"/>
          <w:divBdr>
            <w:top w:val="none" w:sz="0" w:space="0" w:color="auto"/>
            <w:left w:val="none" w:sz="0" w:space="0" w:color="auto"/>
            <w:bottom w:val="none" w:sz="0" w:space="0" w:color="auto"/>
            <w:right w:val="none" w:sz="0" w:space="0" w:color="auto"/>
          </w:divBdr>
        </w:div>
        <w:div w:id="1522039618">
          <w:marLeft w:val="0"/>
          <w:marRight w:val="0"/>
          <w:marTop w:val="0"/>
          <w:marBottom w:val="0"/>
          <w:divBdr>
            <w:top w:val="none" w:sz="0" w:space="0" w:color="auto"/>
            <w:left w:val="none" w:sz="0" w:space="0" w:color="auto"/>
            <w:bottom w:val="none" w:sz="0" w:space="0" w:color="auto"/>
            <w:right w:val="none" w:sz="0" w:space="0" w:color="auto"/>
          </w:divBdr>
        </w:div>
        <w:div w:id="1522627921">
          <w:marLeft w:val="0"/>
          <w:marRight w:val="0"/>
          <w:marTop w:val="0"/>
          <w:marBottom w:val="0"/>
          <w:divBdr>
            <w:top w:val="none" w:sz="0" w:space="0" w:color="auto"/>
            <w:left w:val="none" w:sz="0" w:space="0" w:color="auto"/>
            <w:bottom w:val="none" w:sz="0" w:space="0" w:color="auto"/>
            <w:right w:val="none" w:sz="0" w:space="0" w:color="auto"/>
          </w:divBdr>
        </w:div>
        <w:div w:id="1529248591">
          <w:marLeft w:val="0"/>
          <w:marRight w:val="0"/>
          <w:marTop w:val="0"/>
          <w:marBottom w:val="0"/>
          <w:divBdr>
            <w:top w:val="none" w:sz="0" w:space="0" w:color="auto"/>
            <w:left w:val="none" w:sz="0" w:space="0" w:color="auto"/>
            <w:bottom w:val="none" w:sz="0" w:space="0" w:color="auto"/>
            <w:right w:val="none" w:sz="0" w:space="0" w:color="auto"/>
          </w:divBdr>
        </w:div>
        <w:div w:id="1538813839">
          <w:marLeft w:val="0"/>
          <w:marRight w:val="0"/>
          <w:marTop w:val="0"/>
          <w:marBottom w:val="0"/>
          <w:divBdr>
            <w:top w:val="none" w:sz="0" w:space="0" w:color="auto"/>
            <w:left w:val="none" w:sz="0" w:space="0" w:color="auto"/>
            <w:bottom w:val="none" w:sz="0" w:space="0" w:color="auto"/>
            <w:right w:val="none" w:sz="0" w:space="0" w:color="auto"/>
          </w:divBdr>
        </w:div>
        <w:div w:id="1545754749">
          <w:marLeft w:val="0"/>
          <w:marRight w:val="0"/>
          <w:marTop w:val="0"/>
          <w:marBottom w:val="0"/>
          <w:divBdr>
            <w:top w:val="none" w:sz="0" w:space="0" w:color="auto"/>
            <w:left w:val="none" w:sz="0" w:space="0" w:color="auto"/>
            <w:bottom w:val="none" w:sz="0" w:space="0" w:color="auto"/>
            <w:right w:val="none" w:sz="0" w:space="0" w:color="auto"/>
          </w:divBdr>
        </w:div>
        <w:div w:id="1556238616">
          <w:marLeft w:val="0"/>
          <w:marRight w:val="0"/>
          <w:marTop w:val="0"/>
          <w:marBottom w:val="0"/>
          <w:divBdr>
            <w:top w:val="none" w:sz="0" w:space="0" w:color="auto"/>
            <w:left w:val="none" w:sz="0" w:space="0" w:color="auto"/>
            <w:bottom w:val="none" w:sz="0" w:space="0" w:color="auto"/>
            <w:right w:val="none" w:sz="0" w:space="0" w:color="auto"/>
          </w:divBdr>
        </w:div>
        <w:div w:id="1562330018">
          <w:marLeft w:val="0"/>
          <w:marRight w:val="0"/>
          <w:marTop w:val="0"/>
          <w:marBottom w:val="0"/>
          <w:divBdr>
            <w:top w:val="none" w:sz="0" w:space="0" w:color="auto"/>
            <w:left w:val="none" w:sz="0" w:space="0" w:color="auto"/>
            <w:bottom w:val="none" w:sz="0" w:space="0" w:color="auto"/>
            <w:right w:val="none" w:sz="0" w:space="0" w:color="auto"/>
          </w:divBdr>
        </w:div>
        <w:div w:id="1714382879">
          <w:marLeft w:val="0"/>
          <w:marRight w:val="0"/>
          <w:marTop w:val="0"/>
          <w:marBottom w:val="0"/>
          <w:divBdr>
            <w:top w:val="none" w:sz="0" w:space="0" w:color="auto"/>
            <w:left w:val="none" w:sz="0" w:space="0" w:color="auto"/>
            <w:bottom w:val="none" w:sz="0" w:space="0" w:color="auto"/>
            <w:right w:val="none" w:sz="0" w:space="0" w:color="auto"/>
          </w:divBdr>
        </w:div>
        <w:div w:id="1731223832">
          <w:marLeft w:val="0"/>
          <w:marRight w:val="0"/>
          <w:marTop w:val="0"/>
          <w:marBottom w:val="0"/>
          <w:divBdr>
            <w:top w:val="none" w:sz="0" w:space="0" w:color="auto"/>
            <w:left w:val="none" w:sz="0" w:space="0" w:color="auto"/>
            <w:bottom w:val="none" w:sz="0" w:space="0" w:color="auto"/>
            <w:right w:val="none" w:sz="0" w:space="0" w:color="auto"/>
          </w:divBdr>
        </w:div>
        <w:div w:id="1759596439">
          <w:marLeft w:val="0"/>
          <w:marRight w:val="0"/>
          <w:marTop w:val="0"/>
          <w:marBottom w:val="0"/>
          <w:divBdr>
            <w:top w:val="none" w:sz="0" w:space="0" w:color="auto"/>
            <w:left w:val="none" w:sz="0" w:space="0" w:color="auto"/>
            <w:bottom w:val="none" w:sz="0" w:space="0" w:color="auto"/>
            <w:right w:val="none" w:sz="0" w:space="0" w:color="auto"/>
          </w:divBdr>
        </w:div>
        <w:div w:id="1763259641">
          <w:marLeft w:val="0"/>
          <w:marRight w:val="0"/>
          <w:marTop w:val="0"/>
          <w:marBottom w:val="0"/>
          <w:divBdr>
            <w:top w:val="none" w:sz="0" w:space="0" w:color="auto"/>
            <w:left w:val="none" w:sz="0" w:space="0" w:color="auto"/>
            <w:bottom w:val="none" w:sz="0" w:space="0" w:color="auto"/>
            <w:right w:val="none" w:sz="0" w:space="0" w:color="auto"/>
          </w:divBdr>
        </w:div>
        <w:div w:id="1814563644">
          <w:marLeft w:val="0"/>
          <w:marRight w:val="0"/>
          <w:marTop w:val="0"/>
          <w:marBottom w:val="0"/>
          <w:divBdr>
            <w:top w:val="none" w:sz="0" w:space="0" w:color="auto"/>
            <w:left w:val="none" w:sz="0" w:space="0" w:color="auto"/>
            <w:bottom w:val="none" w:sz="0" w:space="0" w:color="auto"/>
            <w:right w:val="none" w:sz="0" w:space="0" w:color="auto"/>
          </w:divBdr>
        </w:div>
        <w:div w:id="1818835505">
          <w:marLeft w:val="0"/>
          <w:marRight w:val="0"/>
          <w:marTop w:val="0"/>
          <w:marBottom w:val="0"/>
          <w:divBdr>
            <w:top w:val="none" w:sz="0" w:space="0" w:color="auto"/>
            <w:left w:val="none" w:sz="0" w:space="0" w:color="auto"/>
            <w:bottom w:val="none" w:sz="0" w:space="0" w:color="auto"/>
            <w:right w:val="none" w:sz="0" w:space="0" w:color="auto"/>
          </w:divBdr>
        </w:div>
        <w:div w:id="1823615298">
          <w:marLeft w:val="0"/>
          <w:marRight w:val="0"/>
          <w:marTop w:val="0"/>
          <w:marBottom w:val="0"/>
          <w:divBdr>
            <w:top w:val="none" w:sz="0" w:space="0" w:color="auto"/>
            <w:left w:val="none" w:sz="0" w:space="0" w:color="auto"/>
            <w:bottom w:val="none" w:sz="0" w:space="0" w:color="auto"/>
            <w:right w:val="none" w:sz="0" w:space="0" w:color="auto"/>
          </w:divBdr>
        </w:div>
        <w:div w:id="1829010195">
          <w:marLeft w:val="0"/>
          <w:marRight w:val="0"/>
          <w:marTop w:val="0"/>
          <w:marBottom w:val="0"/>
          <w:divBdr>
            <w:top w:val="none" w:sz="0" w:space="0" w:color="auto"/>
            <w:left w:val="none" w:sz="0" w:space="0" w:color="auto"/>
            <w:bottom w:val="none" w:sz="0" w:space="0" w:color="auto"/>
            <w:right w:val="none" w:sz="0" w:space="0" w:color="auto"/>
          </w:divBdr>
        </w:div>
        <w:div w:id="1869488124">
          <w:marLeft w:val="0"/>
          <w:marRight w:val="0"/>
          <w:marTop w:val="0"/>
          <w:marBottom w:val="0"/>
          <w:divBdr>
            <w:top w:val="none" w:sz="0" w:space="0" w:color="auto"/>
            <w:left w:val="none" w:sz="0" w:space="0" w:color="auto"/>
            <w:bottom w:val="none" w:sz="0" w:space="0" w:color="auto"/>
            <w:right w:val="none" w:sz="0" w:space="0" w:color="auto"/>
          </w:divBdr>
        </w:div>
        <w:div w:id="1876962095">
          <w:marLeft w:val="0"/>
          <w:marRight w:val="0"/>
          <w:marTop w:val="0"/>
          <w:marBottom w:val="0"/>
          <w:divBdr>
            <w:top w:val="none" w:sz="0" w:space="0" w:color="auto"/>
            <w:left w:val="none" w:sz="0" w:space="0" w:color="auto"/>
            <w:bottom w:val="none" w:sz="0" w:space="0" w:color="auto"/>
            <w:right w:val="none" w:sz="0" w:space="0" w:color="auto"/>
          </w:divBdr>
        </w:div>
        <w:div w:id="1882663793">
          <w:marLeft w:val="0"/>
          <w:marRight w:val="0"/>
          <w:marTop w:val="0"/>
          <w:marBottom w:val="0"/>
          <w:divBdr>
            <w:top w:val="none" w:sz="0" w:space="0" w:color="auto"/>
            <w:left w:val="none" w:sz="0" w:space="0" w:color="auto"/>
            <w:bottom w:val="none" w:sz="0" w:space="0" w:color="auto"/>
            <w:right w:val="none" w:sz="0" w:space="0" w:color="auto"/>
          </w:divBdr>
        </w:div>
        <w:div w:id="1906867601">
          <w:marLeft w:val="0"/>
          <w:marRight w:val="0"/>
          <w:marTop w:val="0"/>
          <w:marBottom w:val="0"/>
          <w:divBdr>
            <w:top w:val="none" w:sz="0" w:space="0" w:color="auto"/>
            <w:left w:val="none" w:sz="0" w:space="0" w:color="auto"/>
            <w:bottom w:val="none" w:sz="0" w:space="0" w:color="auto"/>
            <w:right w:val="none" w:sz="0" w:space="0" w:color="auto"/>
          </w:divBdr>
        </w:div>
        <w:div w:id="1922131044">
          <w:marLeft w:val="0"/>
          <w:marRight w:val="0"/>
          <w:marTop w:val="0"/>
          <w:marBottom w:val="0"/>
          <w:divBdr>
            <w:top w:val="none" w:sz="0" w:space="0" w:color="auto"/>
            <w:left w:val="none" w:sz="0" w:space="0" w:color="auto"/>
            <w:bottom w:val="none" w:sz="0" w:space="0" w:color="auto"/>
            <w:right w:val="none" w:sz="0" w:space="0" w:color="auto"/>
          </w:divBdr>
        </w:div>
        <w:div w:id="1947762400">
          <w:marLeft w:val="0"/>
          <w:marRight w:val="0"/>
          <w:marTop w:val="0"/>
          <w:marBottom w:val="0"/>
          <w:divBdr>
            <w:top w:val="none" w:sz="0" w:space="0" w:color="auto"/>
            <w:left w:val="none" w:sz="0" w:space="0" w:color="auto"/>
            <w:bottom w:val="none" w:sz="0" w:space="0" w:color="auto"/>
            <w:right w:val="none" w:sz="0" w:space="0" w:color="auto"/>
          </w:divBdr>
        </w:div>
        <w:div w:id="1949119613">
          <w:marLeft w:val="0"/>
          <w:marRight w:val="0"/>
          <w:marTop w:val="0"/>
          <w:marBottom w:val="0"/>
          <w:divBdr>
            <w:top w:val="none" w:sz="0" w:space="0" w:color="auto"/>
            <w:left w:val="none" w:sz="0" w:space="0" w:color="auto"/>
            <w:bottom w:val="none" w:sz="0" w:space="0" w:color="auto"/>
            <w:right w:val="none" w:sz="0" w:space="0" w:color="auto"/>
          </w:divBdr>
        </w:div>
        <w:div w:id="1966235174">
          <w:marLeft w:val="0"/>
          <w:marRight w:val="0"/>
          <w:marTop w:val="0"/>
          <w:marBottom w:val="0"/>
          <w:divBdr>
            <w:top w:val="none" w:sz="0" w:space="0" w:color="auto"/>
            <w:left w:val="none" w:sz="0" w:space="0" w:color="auto"/>
            <w:bottom w:val="none" w:sz="0" w:space="0" w:color="auto"/>
            <w:right w:val="none" w:sz="0" w:space="0" w:color="auto"/>
          </w:divBdr>
        </w:div>
        <w:div w:id="2012441216">
          <w:marLeft w:val="0"/>
          <w:marRight w:val="0"/>
          <w:marTop w:val="0"/>
          <w:marBottom w:val="0"/>
          <w:divBdr>
            <w:top w:val="none" w:sz="0" w:space="0" w:color="auto"/>
            <w:left w:val="none" w:sz="0" w:space="0" w:color="auto"/>
            <w:bottom w:val="none" w:sz="0" w:space="0" w:color="auto"/>
            <w:right w:val="none" w:sz="0" w:space="0" w:color="auto"/>
          </w:divBdr>
        </w:div>
        <w:div w:id="2013144727">
          <w:marLeft w:val="0"/>
          <w:marRight w:val="0"/>
          <w:marTop w:val="0"/>
          <w:marBottom w:val="0"/>
          <w:divBdr>
            <w:top w:val="none" w:sz="0" w:space="0" w:color="auto"/>
            <w:left w:val="none" w:sz="0" w:space="0" w:color="auto"/>
            <w:bottom w:val="none" w:sz="0" w:space="0" w:color="auto"/>
            <w:right w:val="none" w:sz="0" w:space="0" w:color="auto"/>
          </w:divBdr>
        </w:div>
        <w:div w:id="2013216115">
          <w:marLeft w:val="0"/>
          <w:marRight w:val="0"/>
          <w:marTop w:val="0"/>
          <w:marBottom w:val="0"/>
          <w:divBdr>
            <w:top w:val="none" w:sz="0" w:space="0" w:color="auto"/>
            <w:left w:val="none" w:sz="0" w:space="0" w:color="auto"/>
            <w:bottom w:val="none" w:sz="0" w:space="0" w:color="auto"/>
            <w:right w:val="none" w:sz="0" w:space="0" w:color="auto"/>
          </w:divBdr>
        </w:div>
        <w:div w:id="2017072382">
          <w:marLeft w:val="0"/>
          <w:marRight w:val="0"/>
          <w:marTop w:val="0"/>
          <w:marBottom w:val="0"/>
          <w:divBdr>
            <w:top w:val="none" w:sz="0" w:space="0" w:color="auto"/>
            <w:left w:val="none" w:sz="0" w:space="0" w:color="auto"/>
            <w:bottom w:val="none" w:sz="0" w:space="0" w:color="auto"/>
            <w:right w:val="none" w:sz="0" w:space="0" w:color="auto"/>
          </w:divBdr>
        </w:div>
        <w:div w:id="2024504608">
          <w:marLeft w:val="0"/>
          <w:marRight w:val="0"/>
          <w:marTop w:val="0"/>
          <w:marBottom w:val="0"/>
          <w:divBdr>
            <w:top w:val="none" w:sz="0" w:space="0" w:color="auto"/>
            <w:left w:val="none" w:sz="0" w:space="0" w:color="auto"/>
            <w:bottom w:val="none" w:sz="0" w:space="0" w:color="auto"/>
            <w:right w:val="none" w:sz="0" w:space="0" w:color="auto"/>
          </w:divBdr>
        </w:div>
        <w:div w:id="2031031397">
          <w:marLeft w:val="0"/>
          <w:marRight w:val="0"/>
          <w:marTop w:val="0"/>
          <w:marBottom w:val="0"/>
          <w:divBdr>
            <w:top w:val="none" w:sz="0" w:space="0" w:color="auto"/>
            <w:left w:val="none" w:sz="0" w:space="0" w:color="auto"/>
            <w:bottom w:val="none" w:sz="0" w:space="0" w:color="auto"/>
            <w:right w:val="none" w:sz="0" w:space="0" w:color="auto"/>
          </w:divBdr>
        </w:div>
        <w:div w:id="2076931462">
          <w:marLeft w:val="0"/>
          <w:marRight w:val="0"/>
          <w:marTop w:val="0"/>
          <w:marBottom w:val="0"/>
          <w:divBdr>
            <w:top w:val="none" w:sz="0" w:space="0" w:color="auto"/>
            <w:left w:val="none" w:sz="0" w:space="0" w:color="auto"/>
            <w:bottom w:val="none" w:sz="0" w:space="0" w:color="auto"/>
            <w:right w:val="none" w:sz="0" w:space="0" w:color="auto"/>
          </w:divBdr>
        </w:div>
        <w:div w:id="2104379437">
          <w:marLeft w:val="0"/>
          <w:marRight w:val="0"/>
          <w:marTop w:val="0"/>
          <w:marBottom w:val="0"/>
          <w:divBdr>
            <w:top w:val="none" w:sz="0" w:space="0" w:color="auto"/>
            <w:left w:val="none" w:sz="0" w:space="0" w:color="auto"/>
            <w:bottom w:val="none" w:sz="0" w:space="0" w:color="auto"/>
            <w:right w:val="none" w:sz="0" w:space="0" w:color="auto"/>
          </w:divBdr>
        </w:div>
        <w:div w:id="2111855757">
          <w:marLeft w:val="0"/>
          <w:marRight w:val="0"/>
          <w:marTop w:val="0"/>
          <w:marBottom w:val="0"/>
          <w:divBdr>
            <w:top w:val="none" w:sz="0" w:space="0" w:color="auto"/>
            <w:left w:val="none" w:sz="0" w:space="0" w:color="auto"/>
            <w:bottom w:val="none" w:sz="0" w:space="0" w:color="auto"/>
            <w:right w:val="none" w:sz="0" w:space="0" w:color="auto"/>
          </w:divBdr>
        </w:div>
        <w:div w:id="2130278336">
          <w:marLeft w:val="0"/>
          <w:marRight w:val="0"/>
          <w:marTop w:val="0"/>
          <w:marBottom w:val="0"/>
          <w:divBdr>
            <w:top w:val="none" w:sz="0" w:space="0" w:color="auto"/>
            <w:left w:val="none" w:sz="0" w:space="0" w:color="auto"/>
            <w:bottom w:val="none" w:sz="0" w:space="0" w:color="auto"/>
            <w:right w:val="none" w:sz="0" w:space="0" w:color="auto"/>
          </w:divBdr>
        </w:div>
      </w:divsChild>
    </w:div>
    <w:div w:id="559100285">
      <w:bodyDiv w:val="1"/>
      <w:marLeft w:val="0"/>
      <w:marRight w:val="0"/>
      <w:marTop w:val="0"/>
      <w:marBottom w:val="0"/>
      <w:divBdr>
        <w:top w:val="none" w:sz="0" w:space="0" w:color="auto"/>
        <w:left w:val="none" w:sz="0" w:space="0" w:color="auto"/>
        <w:bottom w:val="none" w:sz="0" w:space="0" w:color="auto"/>
        <w:right w:val="none" w:sz="0" w:space="0" w:color="auto"/>
      </w:divBdr>
    </w:div>
    <w:div w:id="569192731">
      <w:bodyDiv w:val="1"/>
      <w:marLeft w:val="0"/>
      <w:marRight w:val="0"/>
      <w:marTop w:val="0"/>
      <w:marBottom w:val="0"/>
      <w:divBdr>
        <w:top w:val="none" w:sz="0" w:space="0" w:color="auto"/>
        <w:left w:val="none" w:sz="0" w:space="0" w:color="auto"/>
        <w:bottom w:val="none" w:sz="0" w:space="0" w:color="auto"/>
        <w:right w:val="none" w:sz="0" w:space="0" w:color="auto"/>
      </w:divBdr>
    </w:div>
    <w:div w:id="572617398">
      <w:bodyDiv w:val="1"/>
      <w:marLeft w:val="0"/>
      <w:marRight w:val="0"/>
      <w:marTop w:val="0"/>
      <w:marBottom w:val="0"/>
      <w:divBdr>
        <w:top w:val="none" w:sz="0" w:space="0" w:color="auto"/>
        <w:left w:val="none" w:sz="0" w:space="0" w:color="auto"/>
        <w:bottom w:val="none" w:sz="0" w:space="0" w:color="auto"/>
        <w:right w:val="none" w:sz="0" w:space="0" w:color="auto"/>
      </w:divBdr>
    </w:div>
    <w:div w:id="583995210">
      <w:bodyDiv w:val="1"/>
      <w:marLeft w:val="0"/>
      <w:marRight w:val="0"/>
      <w:marTop w:val="0"/>
      <w:marBottom w:val="0"/>
      <w:divBdr>
        <w:top w:val="none" w:sz="0" w:space="0" w:color="auto"/>
        <w:left w:val="none" w:sz="0" w:space="0" w:color="auto"/>
        <w:bottom w:val="none" w:sz="0" w:space="0" w:color="auto"/>
        <w:right w:val="none" w:sz="0" w:space="0" w:color="auto"/>
      </w:divBdr>
    </w:div>
    <w:div w:id="631256258">
      <w:bodyDiv w:val="1"/>
      <w:marLeft w:val="0"/>
      <w:marRight w:val="0"/>
      <w:marTop w:val="0"/>
      <w:marBottom w:val="0"/>
      <w:divBdr>
        <w:top w:val="none" w:sz="0" w:space="0" w:color="auto"/>
        <w:left w:val="none" w:sz="0" w:space="0" w:color="auto"/>
        <w:bottom w:val="none" w:sz="0" w:space="0" w:color="auto"/>
        <w:right w:val="none" w:sz="0" w:space="0" w:color="auto"/>
      </w:divBdr>
    </w:div>
    <w:div w:id="672104354">
      <w:bodyDiv w:val="1"/>
      <w:marLeft w:val="0"/>
      <w:marRight w:val="0"/>
      <w:marTop w:val="0"/>
      <w:marBottom w:val="0"/>
      <w:divBdr>
        <w:top w:val="none" w:sz="0" w:space="0" w:color="auto"/>
        <w:left w:val="none" w:sz="0" w:space="0" w:color="auto"/>
        <w:bottom w:val="none" w:sz="0" w:space="0" w:color="auto"/>
        <w:right w:val="none" w:sz="0" w:space="0" w:color="auto"/>
      </w:divBdr>
    </w:div>
    <w:div w:id="717780465">
      <w:bodyDiv w:val="1"/>
      <w:marLeft w:val="0"/>
      <w:marRight w:val="0"/>
      <w:marTop w:val="0"/>
      <w:marBottom w:val="0"/>
      <w:divBdr>
        <w:top w:val="none" w:sz="0" w:space="0" w:color="auto"/>
        <w:left w:val="none" w:sz="0" w:space="0" w:color="auto"/>
        <w:bottom w:val="none" w:sz="0" w:space="0" w:color="auto"/>
        <w:right w:val="none" w:sz="0" w:space="0" w:color="auto"/>
      </w:divBdr>
      <w:divsChild>
        <w:div w:id="346293445">
          <w:marLeft w:val="0"/>
          <w:marRight w:val="0"/>
          <w:marTop w:val="0"/>
          <w:marBottom w:val="0"/>
          <w:divBdr>
            <w:top w:val="none" w:sz="0" w:space="0" w:color="auto"/>
            <w:left w:val="none" w:sz="0" w:space="0" w:color="auto"/>
            <w:bottom w:val="none" w:sz="0" w:space="0" w:color="auto"/>
            <w:right w:val="none" w:sz="0" w:space="0" w:color="auto"/>
          </w:divBdr>
        </w:div>
        <w:div w:id="885946411">
          <w:marLeft w:val="0"/>
          <w:marRight w:val="0"/>
          <w:marTop w:val="0"/>
          <w:marBottom w:val="0"/>
          <w:divBdr>
            <w:top w:val="none" w:sz="0" w:space="0" w:color="auto"/>
            <w:left w:val="none" w:sz="0" w:space="0" w:color="auto"/>
            <w:bottom w:val="none" w:sz="0" w:space="0" w:color="auto"/>
            <w:right w:val="none" w:sz="0" w:space="0" w:color="auto"/>
          </w:divBdr>
        </w:div>
        <w:div w:id="942999824">
          <w:marLeft w:val="0"/>
          <w:marRight w:val="0"/>
          <w:marTop w:val="0"/>
          <w:marBottom w:val="0"/>
          <w:divBdr>
            <w:top w:val="none" w:sz="0" w:space="0" w:color="auto"/>
            <w:left w:val="none" w:sz="0" w:space="0" w:color="auto"/>
            <w:bottom w:val="none" w:sz="0" w:space="0" w:color="auto"/>
            <w:right w:val="none" w:sz="0" w:space="0" w:color="auto"/>
          </w:divBdr>
        </w:div>
        <w:div w:id="1217357263">
          <w:marLeft w:val="0"/>
          <w:marRight w:val="0"/>
          <w:marTop w:val="0"/>
          <w:marBottom w:val="0"/>
          <w:divBdr>
            <w:top w:val="none" w:sz="0" w:space="0" w:color="auto"/>
            <w:left w:val="none" w:sz="0" w:space="0" w:color="auto"/>
            <w:bottom w:val="none" w:sz="0" w:space="0" w:color="auto"/>
            <w:right w:val="none" w:sz="0" w:space="0" w:color="auto"/>
          </w:divBdr>
        </w:div>
        <w:div w:id="1696616640">
          <w:marLeft w:val="0"/>
          <w:marRight w:val="0"/>
          <w:marTop w:val="0"/>
          <w:marBottom w:val="0"/>
          <w:divBdr>
            <w:top w:val="none" w:sz="0" w:space="0" w:color="auto"/>
            <w:left w:val="none" w:sz="0" w:space="0" w:color="auto"/>
            <w:bottom w:val="none" w:sz="0" w:space="0" w:color="auto"/>
            <w:right w:val="none" w:sz="0" w:space="0" w:color="auto"/>
          </w:divBdr>
        </w:div>
        <w:div w:id="2040738841">
          <w:marLeft w:val="0"/>
          <w:marRight w:val="0"/>
          <w:marTop w:val="0"/>
          <w:marBottom w:val="0"/>
          <w:divBdr>
            <w:top w:val="none" w:sz="0" w:space="0" w:color="auto"/>
            <w:left w:val="none" w:sz="0" w:space="0" w:color="auto"/>
            <w:bottom w:val="none" w:sz="0" w:space="0" w:color="auto"/>
            <w:right w:val="none" w:sz="0" w:space="0" w:color="auto"/>
          </w:divBdr>
        </w:div>
        <w:div w:id="2089232337">
          <w:marLeft w:val="0"/>
          <w:marRight w:val="0"/>
          <w:marTop w:val="0"/>
          <w:marBottom w:val="0"/>
          <w:divBdr>
            <w:top w:val="none" w:sz="0" w:space="0" w:color="auto"/>
            <w:left w:val="none" w:sz="0" w:space="0" w:color="auto"/>
            <w:bottom w:val="none" w:sz="0" w:space="0" w:color="auto"/>
            <w:right w:val="none" w:sz="0" w:space="0" w:color="auto"/>
          </w:divBdr>
        </w:div>
      </w:divsChild>
    </w:div>
    <w:div w:id="727337697">
      <w:bodyDiv w:val="1"/>
      <w:marLeft w:val="0"/>
      <w:marRight w:val="0"/>
      <w:marTop w:val="0"/>
      <w:marBottom w:val="0"/>
      <w:divBdr>
        <w:top w:val="none" w:sz="0" w:space="0" w:color="auto"/>
        <w:left w:val="none" w:sz="0" w:space="0" w:color="auto"/>
        <w:bottom w:val="none" w:sz="0" w:space="0" w:color="auto"/>
        <w:right w:val="none" w:sz="0" w:space="0" w:color="auto"/>
      </w:divBdr>
      <w:divsChild>
        <w:div w:id="52705255">
          <w:marLeft w:val="0"/>
          <w:marRight w:val="0"/>
          <w:marTop w:val="0"/>
          <w:marBottom w:val="0"/>
          <w:divBdr>
            <w:top w:val="none" w:sz="0" w:space="0" w:color="auto"/>
            <w:left w:val="none" w:sz="0" w:space="0" w:color="auto"/>
            <w:bottom w:val="none" w:sz="0" w:space="0" w:color="auto"/>
            <w:right w:val="none" w:sz="0" w:space="0" w:color="auto"/>
          </w:divBdr>
        </w:div>
        <w:div w:id="207227838">
          <w:marLeft w:val="0"/>
          <w:marRight w:val="0"/>
          <w:marTop w:val="0"/>
          <w:marBottom w:val="0"/>
          <w:divBdr>
            <w:top w:val="none" w:sz="0" w:space="0" w:color="auto"/>
            <w:left w:val="none" w:sz="0" w:space="0" w:color="auto"/>
            <w:bottom w:val="none" w:sz="0" w:space="0" w:color="auto"/>
            <w:right w:val="none" w:sz="0" w:space="0" w:color="auto"/>
          </w:divBdr>
        </w:div>
        <w:div w:id="396562436">
          <w:marLeft w:val="0"/>
          <w:marRight w:val="0"/>
          <w:marTop w:val="0"/>
          <w:marBottom w:val="0"/>
          <w:divBdr>
            <w:top w:val="none" w:sz="0" w:space="0" w:color="auto"/>
            <w:left w:val="none" w:sz="0" w:space="0" w:color="auto"/>
            <w:bottom w:val="none" w:sz="0" w:space="0" w:color="auto"/>
            <w:right w:val="none" w:sz="0" w:space="0" w:color="auto"/>
          </w:divBdr>
        </w:div>
        <w:div w:id="466166152">
          <w:marLeft w:val="0"/>
          <w:marRight w:val="0"/>
          <w:marTop w:val="0"/>
          <w:marBottom w:val="0"/>
          <w:divBdr>
            <w:top w:val="none" w:sz="0" w:space="0" w:color="auto"/>
            <w:left w:val="none" w:sz="0" w:space="0" w:color="auto"/>
            <w:bottom w:val="none" w:sz="0" w:space="0" w:color="auto"/>
            <w:right w:val="none" w:sz="0" w:space="0" w:color="auto"/>
          </w:divBdr>
        </w:div>
        <w:div w:id="755319215">
          <w:marLeft w:val="0"/>
          <w:marRight w:val="0"/>
          <w:marTop w:val="0"/>
          <w:marBottom w:val="0"/>
          <w:divBdr>
            <w:top w:val="none" w:sz="0" w:space="0" w:color="auto"/>
            <w:left w:val="none" w:sz="0" w:space="0" w:color="auto"/>
            <w:bottom w:val="none" w:sz="0" w:space="0" w:color="auto"/>
            <w:right w:val="none" w:sz="0" w:space="0" w:color="auto"/>
          </w:divBdr>
        </w:div>
        <w:div w:id="816729772">
          <w:marLeft w:val="0"/>
          <w:marRight w:val="0"/>
          <w:marTop w:val="0"/>
          <w:marBottom w:val="0"/>
          <w:divBdr>
            <w:top w:val="none" w:sz="0" w:space="0" w:color="auto"/>
            <w:left w:val="none" w:sz="0" w:space="0" w:color="auto"/>
            <w:bottom w:val="none" w:sz="0" w:space="0" w:color="auto"/>
            <w:right w:val="none" w:sz="0" w:space="0" w:color="auto"/>
          </w:divBdr>
        </w:div>
        <w:div w:id="871306499">
          <w:marLeft w:val="0"/>
          <w:marRight w:val="0"/>
          <w:marTop w:val="0"/>
          <w:marBottom w:val="0"/>
          <w:divBdr>
            <w:top w:val="none" w:sz="0" w:space="0" w:color="auto"/>
            <w:left w:val="none" w:sz="0" w:space="0" w:color="auto"/>
            <w:bottom w:val="none" w:sz="0" w:space="0" w:color="auto"/>
            <w:right w:val="none" w:sz="0" w:space="0" w:color="auto"/>
          </w:divBdr>
        </w:div>
        <w:div w:id="1574043915">
          <w:marLeft w:val="0"/>
          <w:marRight w:val="0"/>
          <w:marTop w:val="0"/>
          <w:marBottom w:val="0"/>
          <w:divBdr>
            <w:top w:val="none" w:sz="0" w:space="0" w:color="auto"/>
            <w:left w:val="none" w:sz="0" w:space="0" w:color="auto"/>
            <w:bottom w:val="none" w:sz="0" w:space="0" w:color="auto"/>
            <w:right w:val="none" w:sz="0" w:space="0" w:color="auto"/>
          </w:divBdr>
        </w:div>
        <w:div w:id="1628127027">
          <w:marLeft w:val="0"/>
          <w:marRight w:val="0"/>
          <w:marTop w:val="0"/>
          <w:marBottom w:val="0"/>
          <w:divBdr>
            <w:top w:val="none" w:sz="0" w:space="0" w:color="auto"/>
            <w:left w:val="none" w:sz="0" w:space="0" w:color="auto"/>
            <w:bottom w:val="none" w:sz="0" w:space="0" w:color="auto"/>
            <w:right w:val="none" w:sz="0" w:space="0" w:color="auto"/>
          </w:divBdr>
        </w:div>
        <w:div w:id="1893149013">
          <w:marLeft w:val="0"/>
          <w:marRight w:val="0"/>
          <w:marTop w:val="0"/>
          <w:marBottom w:val="0"/>
          <w:divBdr>
            <w:top w:val="none" w:sz="0" w:space="0" w:color="auto"/>
            <w:left w:val="none" w:sz="0" w:space="0" w:color="auto"/>
            <w:bottom w:val="none" w:sz="0" w:space="0" w:color="auto"/>
            <w:right w:val="none" w:sz="0" w:space="0" w:color="auto"/>
          </w:divBdr>
        </w:div>
        <w:div w:id="2085758971">
          <w:marLeft w:val="0"/>
          <w:marRight w:val="0"/>
          <w:marTop w:val="0"/>
          <w:marBottom w:val="0"/>
          <w:divBdr>
            <w:top w:val="none" w:sz="0" w:space="0" w:color="auto"/>
            <w:left w:val="none" w:sz="0" w:space="0" w:color="auto"/>
            <w:bottom w:val="none" w:sz="0" w:space="0" w:color="auto"/>
            <w:right w:val="none" w:sz="0" w:space="0" w:color="auto"/>
          </w:divBdr>
        </w:div>
        <w:div w:id="2113042647">
          <w:marLeft w:val="0"/>
          <w:marRight w:val="0"/>
          <w:marTop w:val="0"/>
          <w:marBottom w:val="0"/>
          <w:divBdr>
            <w:top w:val="none" w:sz="0" w:space="0" w:color="auto"/>
            <w:left w:val="none" w:sz="0" w:space="0" w:color="auto"/>
            <w:bottom w:val="none" w:sz="0" w:space="0" w:color="auto"/>
            <w:right w:val="none" w:sz="0" w:space="0" w:color="auto"/>
          </w:divBdr>
        </w:div>
      </w:divsChild>
    </w:div>
    <w:div w:id="733115530">
      <w:bodyDiv w:val="1"/>
      <w:marLeft w:val="0"/>
      <w:marRight w:val="0"/>
      <w:marTop w:val="0"/>
      <w:marBottom w:val="0"/>
      <w:divBdr>
        <w:top w:val="none" w:sz="0" w:space="0" w:color="auto"/>
        <w:left w:val="none" w:sz="0" w:space="0" w:color="auto"/>
        <w:bottom w:val="none" w:sz="0" w:space="0" w:color="auto"/>
        <w:right w:val="none" w:sz="0" w:space="0" w:color="auto"/>
      </w:divBdr>
    </w:div>
    <w:div w:id="739602013">
      <w:bodyDiv w:val="1"/>
      <w:marLeft w:val="0"/>
      <w:marRight w:val="0"/>
      <w:marTop w:val="0"/>
      <w:marBottom w:val="0"/>
      <w:divBdr>
        <w:top w:val="none" w:sz="0" w:space="0" w:color="auto"/>
        <w:left w:val="none" w:sz="0" w:space="0" w:color="auto"/>
        <w:bottom w:val="none" w:sz="0" w:space="0" w:color="auto"/>
        <w:right w:val="none" w:sz="0" w:space="0" w:color="auto"/>
      </w:divBdr>
    </w:div>
    <w:div w:id="747918931">
      <w:bodyDiv w:val="1"/>
      <w:marLeft w:val="0"/>
      <w:marRight w:val="0"/>
      <w:marTop w:val="0"/>
      <w:marBottom w:val="0"/>
      <w:divBdr>
        <w:top w:val="none" w:sz="0" w:space="0" w:color="auto"/>
        <w:left w:val="none" w:sz="0" w:space="0" w:color="auto"/>
        <w:bottom w:val="none" w:sz="0" w:space="0" w:color="auto"/>
        <w:right w:val="none" w:sz="0" w:space="0" w:color="auto"/>
      </w:divBdr>
    </w:div>
    <w:div w:id="753360166">
      <w:bodyDiv w:val="1"/>
      <w:marLeft w:val="0"/>
      <w:marRight w:val="0"/>
      <w:marTop w:val="0"/>
      <w:marBottom w:val="0"/>
      <w:divBdr>
        <w:top w:val="none" w:sz="0" w:space="0" w:color="auto"/>
        <w:left w:val="none" w:sz="0" w:space="0" w:color="auto"/>
        <w:bottom w:val="none" w:sz="0" w:space="0" w:color="auto"/>
        <w:right w:val="none" w:sz="0" w:space="0" w:color="auto"/>
      </w:divBdr>
    </w:div>
    <w:div w:id="770122664">
      <w:bodyDiv w:val="1"/>
      <w:marLeft w:val="0"/>
      <w:marRight w:val="0"/>
      <w:marTop w:val="0"/>
      <w:marBottom w:val="0"/>
      <w:divBdr>
        <w:top w:val="none" w:sz="0" w:space="0" w:color="auto"/>
        <w:left w:val="none" w:sz="0" w:space="0" w:color="auto"/>
        <w:bottom w:val="none" w:sz="0" w:space="0" w:color="auto"/>
        <w:right w:val="none" w:sz="0" w:space="0" w:color="auto"/>
      </w:divBdr>
    </w:div>
    <w:div w:id="781723417">
      <w:bodyDiv w:val="1"/>
      <w:marLeft w:val="0"/>
      <w:marRight w:val="0"/>
      <w:marTop w:val="0"/>
      <w:marBottom w:val="0"/>
      <w:divBdr>
        <w:top w:val="none" w:sz="0" w:space="0" w:color="auto"/>
        <w:left w:val="none" w:sz="0" w:space="0" w:color="auto"/>
        <w:bottom w:val="none" w:sz="0" w:space="0" w:color="auto"/>
        <w:right w:val="none" w:sz="0" w:space="0" w:color="auto"/>
      </w:divBdr>
    </w:div>
    <w:div w:id="797996148">
      <w:bodyDiv w:val="1"/>
      <w:marLeft w:val="0"/>
      <w:marRight w:val="0"/>
      <w:marTop w:val="0"/>
      <w:marBottom w:val="0"/>
      <w:divBdr>
        <w:top w:val="none" w:sz="0" w:space="0" w:color="auto"/>
        <w:left w:val="none" w:sz="0" w:space="0" w:color="auto"/>
        <w:bottom w:val="none" w:sz="0" w:space="0" w:color="auto"/>
        <w:right w:val="none" w:sz="0" w:space="0" w:color="auto"/>
      </w:divBdr>
    </w:div>
    <w:div w:id="804467879">
      <w:bodyDiv w:val="1"/>
      <w:marLeft w:val="0"/>
      <w:marRight w:val="0"/>
      <w:marTop w:val="0"/>
      <w:marBottom w:val="0"/>
      <w:divBdr>
        <w:top w:val="none" w:sz="0" w:space="0" w:color="auto"/>
        <w:left w:val="none" w:sz="0" w:space="0" w:color="auto"/>
        <w:bottom w:val="none" w:sz="0" w:space="0" w:color="auto"/>
        <w:right w:val="none" w:sz="0" w:space="0" w:color="auto"/>
      </w:divBdr>
      <w:divsChild>
        <w:div w:id="2127691780">
          <w:marLeft w:val="0"/>
          <w:marRight w:val="0"/>
          <w:marTop w:val="100"/>
          <w:marBottom w:val="100"/>
          <w:divBdr>
            <w:top w:val="none" w:sz="0" w:space="0" w:color="auto"/>
            <w:left w:val="none" w:sz="0" w:space="0" w:color="auto"/>
            <w:bottom w:val="none" w:sz="0" w:space="0" w:color="auto"/>
            <w:right w:val="none" w:sz="0" w:space="0" w:color="auto"/>
          </w:divBdr>
          <w:divsChild>
            <w:div w:id="1258716002">
              <w:marLeft w:val="0"/>
              <w:marRight w:val="0"/>
              <w:marTop w:val="0"/>
              <w:marBottom w:val="0"/>
              <w:divBdr>
                <w:top w:val="none" w:sz="0" w:space="0" w:color="auto"/>
                <w:left w:val="none" w:sz="0" w:space="0" w:color="auto"/>
                <w:bottom w:val="none" w:sz="0" w:space="0" w:color="auto"/>
                <w:right w:val="none" w:sz="0" w:space="0" w:color="auto"/>
              </w:divBdr>
              <w:divsChild>
                <w:div w:id="13854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12528">
      <w:bodyDiv w:val="1"/>
      <w:marLeft w:val="0"/>
      <w:marRight w:val="0"/>
      <w:marTop w:val="0"/>
      <w:marBottom w:val="0"/>
      <w:divBdr>
        <w:top w:val="none" w:sz="0" w:space="0" w:color="auto"/>
        <w:left w:val="none" w:sz="0" w:space="0" w:color="auto"/>
        <w:bottom w:val="none" w:sz="0" w:space="0" w:color="auto"/>
        <w:right w:val="none" w:sz="0" w:space="0" w:color="auto"/>
      </w:divBdr>
    </w:div>
    <w:div w:id="823470017">
      <w:bodyDiv w:val="1"/>
      <w:marLeft w:val="0"/>
      <w:marRight w:val="0"/>
      <w:marTop w:val="0"/>
      <w:marBottom w:val="0"/>
      <w:divBdr>
        <w:top w:val="none" w:sz="0" w:space="0" w:color="auto"/>
        <w:left w:val="none" w:sz="0" w:space="0" w:color="auto"/>
        <w:bottom w:val="none" w:sz="0" w:space="0" w:color="auto"/>
        <w:right w:val="none" w:sz="0" w:space="0" w:color="auto"/>
      </w:divBdr>
    </w:div>
    <w:div w:id="827670784">
      <w:bodyDiv w:val="1"/>
      <w:marLeft w:val="0"/>
      <w:marRight w:val="0"/>
      <w:marTop w:val="0"/>
      <w:marBottom w:val="0"/>
      <w:divBdr>
        <w:top w:val="none" w:sz="0" w:space="0" w:color="auto"/>
        <w:left w:val="none" w:sz="0" w:space="0" w:color="auto"/>
        <w:bottom w:val="none" w:sz="0" w:space="0" w:color="auto"/>
        <w:right w:val="none" w:sz="0" w:space="0" w:color="auto"/>
      </w:divBdr>
    </w:div>
    <w:div w:id="838891362">
      <w:bodyDiv w:val="1"/>
      <w:marLeft w:val="0"/>
      <w:marRight w:val="0"/>
      <w:marTop w:val="0"/>
      <w:marBottom w:val="0"/>
      <w:divBdr>
        <w:top w:val="none" w:sz="0" w:space="0" w:color="auto"/>
        <w:left w:val="none" w:sz="0" w:space="0" w:color="auto"/>
        <w:bottom w:val="none" w:sz="0" w:space="0" w:color="auto"/>
        <w:right w:val="none" w:sz="0" w:space="0" w:color="auto"/>
      </w:divBdr>
    </w:div>
    <w:div w:id="856308076">
      <w:bodyDiv w:val="1"/>
      <w:marLeft w:val="0"/>
      <w:marRight w:val="0"/>
      <w:marTop w:val="0"/>
      <w:marBottom w:val="0"/>
      <w:divBdr>
        <w:top w:val="none" w:sz="0" w:space="0" w:color="auto"/>
        <w:left w:val="none" w:sz="0" w:space="0" w:color="auto"/>
        <w:bottom w:val="none" w:sz="0" w:space="0" w:color="auto"/>
        <w:right w:val="none" w:sz="0" w:space="0" w:color="auto"/>
      </w:divBdr>
    </w:div>
    <w:div w:id="856576219">
      <w:bodyDiv w:val="1"/>
      <w:marLeft w:val="0"/>
      <w:marRight w:val="0"/>
      <w:marTop w:val="0"/>
      <w:marBottom w:val="0"/>
      <w:divBdr>
        <w:top w:val="none" w:sz="0" w:space="0" w:color="auto"/>
        <w:left w:val="none" w:sz="0" w:space="0" w:color="auto"/>
        <w:bottom w:val="none" w:sz="0" w:space="0" w:color="auto"/>
        <w:right w:val="none" w:sz="0" w:space="0" w:color="auto"/>
      </w:divBdr>
    </w:div>
    <w:div w:id="871770580">
      <w:bodyDiv w:val="1"/>
      <w:marLeft w:val="0"/>
      <w:marRight w:val="0"/>
      <w:marTop w:val="0"/>
      <w:marBottom w:val="0"/>
      <w:divBdr>
        <w:top w:val="none" w:sz="0" w:space="0" w:color="auto"/>
        <w:left w:val="none" w:sz="0" w:space="0" w:color="auto"/>
        <w:bottom w:val="none" w:sz="0" w:space="0" w:color="auto"/>
        <w:right w:val="none" w:sz="0" w:space="0" w:color="auto"/>
      </w:divBdr>
    </w:div>
    <w:div w:id="884103341">
      <w:bodyDiv w:val="1"/>
      <w:marLeft w:val="0"/>
      <w:marRight w:val="0"/>
      <w:marTop w:val="0"/>
      <w:marBottom w:val="0"/>
      <w:divBdr>
        <w:top w:val="none" w:sz="0" w:space="0" w:color="auto"/>
        <w:left w:val="none" w:sz="0" w:space="0" w:color="auto"/>
        <w:bottom w:val="none" w:sz="0" w:space="0" w:color="auto"/>
        <w:right w:val="none" w:sz="0" w:space="0" w:color="auto"/>
      </w:divBdr>
    </w:div>
    <w:div w:id="899250266">
      <w:bodyDiv w:val="1"/>
      <w:marLeft w:val="0"/>
      <w:marRight w:val="0"/>
      <w:marTop w:val="0"/>
      <w:marBottom w:val="0"/>
      <w:divBdr>
        <w:top w:val="none" w:sz="0" w:space="0" w:color="auto"/>
        <w:left w:val="none" w:sz="0" w:space="0" w:color="auto"/>
        <w:bottom w:val="none" w:sz="0" w:space="0" w:color="auto"/>
        <w:right w:val="none" w:sz="0" w:space="0" w:color="auto"/>
      </w:divBdr>
      <w:divsChild>
        <w:div w:id="1392194802">
          <w:marLeft w:val="0"/>
          <w:marRight w:val="0"/>
          <w:marTop w:val="0"/>
          <w:marBottom w:val="0"/>
          <w:divBdr>
            <w:top w:val="none" w:sz="0" w:space="0" w:color="auto"/>
            <w:left w:val="none" w:sz="0" w:space="0" w:color="auto"/>
            <w:bottom w:val="none" w:sz="0" w:space="0" w:color="auto"/>
            <w:right w:val="none" w:sz="0" w:space="0" w:color="auto"/>
          </w:divBdr>
          <w:divsChild>
            <w:div w:id="1009524894">
              <w:marLeft w:val="0"/>
              <w:marRight w:val="0"/>
              <w:marTop w:val="0"/>
              <w:marBottom w:val="0"/>
              <w:divBdr>
                <w:top w:val="none" w:sz="0" w:space="0" w:color="auto"/>
                <w:left w:val="none" w:sz="0" w:space="0" w:color="auto"/>
                <w:bottom w:val="none" w:sz="0" w:space="0" w:color="auto"/>
                <w:right w:val="none" w:sz="0" w:space="0" w:color="auto"/>
              </w:divBdr>
              <w:divsChild>
                <w:div w:id="1922835260">
                  <w:marLeft w:val="0"/>
                  <w:marRight w:val="0"/>
                  <w:marTop w:val="0"/>
                  <w:marBottom w:val="0"/>
                  <w:divBdr>
                    <w:top w:val="none" w:sz="0" w:space="0" w:color="auto"/>
                    <w:left w:val="none" w:sz="0" w:space="0" w:color="auto"/>
                    <w:bottom w:val="none" w:sz="0" w:space="0" w:color="auto"/>
                    <w:right w:val="none" w:sz="0" w:space="0" w:color="auto"/>
                  </w:divBdr>
                  <w:divsChild>
                    <w:div w:id="213459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79689">
      <w:bodyDiv w:val="1"/>
      <w:marLeft w:val="0"/>
      <w:marRight w:val="0"/>
      <w:marTop w:val="0"/>
      <w:marBottom w:val="0"/>
      <w:divBdr>
        <w:top w:val="none" w:sz="0" w:space="0" w:color="auto"/>
        <w:left w:val="none" w:sz="0" w:space="0" w:color="auto"/>
        <w:bottom w:val="none" w:sz="0" w:space="0" w:color="auto"/>
        <w:right w:val="none" w:sz="0" w:space="0" w:color="auto"/>
      </w:divBdr>
    </w:div>
    <w:div w:id="920912608">
      <w:bodyDiv w:val="1"/>
      <w:marLeft w:val="0"/>
      <w:marRight w:val="0"/>
      <w:marTop w:val="0"/>
      <w:marBottom w:val="0"/>
      <w:divBdr>
        <w:top w:val="none" w:sz="0" w:space="0" w:color="auto"/>
        <w:left w:val="none" w:sz="0" w:space="0" w:color="auto"/>
        <w:bottom w:val="none" w:sz="0" w:space="0" w:color="auto"/>
        <w:right w:val="none" w:sz="0" w:space="0" w:color="auto"/>
      </w:divBdr>
    </w:div>
    <w:div w:id="927351027">
      <w:bodyDiv w:val="1"/>
      <w:marLeft w:val="0"/>
      <w:marRight w:val="0"/>
      <w:marTop w:val="0"/>
      <w:marBottom w:val="0"/>
      <w:divBdr>
        <w:top w:val="none" w:sz="0" w:space="0" w:color="auto"/>
        <w:left w:val="none" w:sz="0" w:space="0" w:color="auto"/>
        <w:bottom w:val="none" w:sz="0" w:space="0" w:color="auto"/>
        <w:right w:val="none" w:sz="0" w:space="0" w:color="auto"/>
      </w:divBdr>
    </w:div>
    <w:div w:id="938484169">
      <w:bodyDiv w:val="1"/>
      <w:marLeft w:val="0"/>
      <w:marRight w:val="0"/>
      <w:marTop w:val="0"/>
      <w:marBottom w:val="0"/>
      <w:divBdr>
        <w:top w:val="none" w:sz="0" w:space="0" w:color="auto"/>
        <w:left w:val="none" w:sz="0" w:space="0" w:color="auto"/>
        <w:bottom w:val="none" w:sz="0" w:space="0" w:color="auto"/>
        <w:right w:val="none" w:sz="0" w:space="0" w:color="auto"/>
      </w:divBdr>
      <w:divsChild>
        <w:div w:id="1264338937">
          <w:marLeft w:val="0"/>
          <w:marRight w:val="0"/>
          <w:marTop w:val="0"/>
          <w:marBottom w:val="0"/>
          <w:divBdr>
            <w:top w:val="none" w:sz="0" w:space="0" w:color="auto"/>
            <w:left w:val="none" w:sz="0" w:space="0" w:color="auto"/>
            <w:bottom w:val="none" w:sz="0" w:space="0" w:color="auto"/>
            <w:right w:val="none" w:sz="0" w:space="0" w:color="auto"/>
          </w:divBdr>
          <w:divsChild>
            <w:div w:id="11147451">
              <w:marLeft w:val="0"/>
              <w:marRight w:val="0"/>
              <w:marTop w:val="0"/>
              <w:marBottom w:val="0"/>
              <w:divBdr>
                <w:top w:val="none" w:sz="0" w:space="0" w:color="auto"/>
                <w:left w:val="none" w:sz="0" w:space="0" w:color="auto"/>
                <w:bottom w:val="none" w:sz="0" w:space="0" w:color="auto"/>
                <w:right w:val="none" w:sz="0" w:space="0" w:color="auto"/>
              </w:divBdr>
              <w:divsChild>
                <w:div w:id="1854413432">
                  <w:marLeft w:val="0"/>
                  <w:marRight w:val="0"/>
                  <w:marTop w:val="0"/>
                  <w:marBottom w:val="0"/>
                  <w:divBdr>
                    <w:top w:val="none" w:sz="0" w:space="0" w:color="auto"/>
                    <w:left w:val="none" w:sz="0" w:space="0" w:color="auto"/>
                    <w:bottom w:val="none" w:sz="0" w:space="0" w:color="auto"/>
                    <w:right w:val="none" w:sz="0" w:space="0" w:color="auto"/>
                  </w:divBdr>
                  <w:divsChild>
                    <w:div w:id="469713507">
                      <w:marLeft w:val="0"/>
                      <w:marRight w:val="0"/>
                      <w:marTop w:val="0"/>
                      <w:marBottom w:val="0"/>
                      <w:divBdr>
                        <w:top w:val="none" w:sz="0" w:space="0" w:color="auto"/>
                        <w:left w:val="none" w:sz="0" w:space="0" w:color="auto"/>
                        <w:bottom w:val="none" w:sz="0" w:space="0" w:color="auto"/>
                        <w:right w:val="none" w:sz="0" w:space="0" w:color="auto"/>
                      </w:divBdr>
                      <w:divsChild>
                        <w:div w:id="1678843189">
                          <w:marLeft w:val="0"/>
                          <w:marRight w:val="0"/>
                          <w:marTop w:val="0"/>
                          <w:marBottom w:val="494"/>
                          <w:divBdr>
                            <w:top w:val="none" w:sz="0" w:space="0" w:color="auto"/>
                            <w:left w:val="none" w:sz="0" w:space="0" w:color="auto"/>
                            <w:bottom w:val="none" w:sz="0" w:space="0" w:color="auto"/>
                            <w:right w:val="none" w:sz="0" w:space="0" w:color="auto"/>
                          </w:divBdr>
                          <w:divsChild>
                            <w:div w:id="20961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0797">
      <w:bodyDiv w:val="1"/>
      <w:marLeft w:val="0"/>
      <w:marRight w:val="0"/>
      <w:marTop w:val="0"/>
      <w:marBottom w:val="0"/>
      <w:divBdr>
        <w:top w:val="none" w:sz="0" w:space="0" w:color="auto"/>
        <w:left w:val="none" w:sz="0" w:space="0" w:color="auto"/>
        <w:bottom w:val="none" w:sz="0" w:space="0" w:color="auto"/>
        <w:right w:val="none" w:sz="0" w:space="0" w:color="auto"/>
      </w:divBdr>
    </w:div>
    <w:div w:id="964121702">
      <w:bodyDiv w:val="1"/>
      <w:marLeft w:val="0"/>
      <w:marRight w:val="0"/>
      <w:marTop w:val="0"/>
      <w:marBottom w:val="0"/>
      <w:divBdr>
        <w:top w:val="none" w:sz="0" w:space="0" w:color="auto"/>
        <w:left w:val="none" w:sz="0" w:space="0" w:color="auto"/>
        <w:bottom w:val="none" w:sz="0" w:space="0" w:color="auto"/>
        <w:right w:val="none" w:sz="0" w:space="0" w:color="auto"/>
      </w:divBdr>
    </w:div>
    <w:div w:id="988748114">
      <w:bodyDiv w:val="1"/>
      <w:marLeft w:val="0"/>
      <w:marRight w:val="0"/>
      <w:marTop w:val="0"/>
      <w:marBottom w:val="0"/>
      <w:divBdr>
        <w:top w:val="none" w:sz="0" w:space="0" w:color="auto"/>
        <w:left w:val="none" w:sz="0" w:space="0" w:color="auto"/>
        <w:bottom w:val="none" w:sz="0" w:space="0" w:color="auto"/>
        <w:right w:val="none" w:sz="0" w:space="0" w:color="auto"/>
      </w:divBdr>
    </w:div>
    <w:div w:id="989939105">
      <w:bodyDiv w:val="1"/>
      <w:marLeft w:val="0"/>
      <w:marRight w:val="0"/>
      <w:marTop w:val="0"/>
      <w:marBottom w:val="0"/>
      <w:divBdr>
        <w:top w:val="none" w:sz="0" w:space="0" w:color="auto"/>
        <w:left w:val="none" w:sz="0" w:space="0" w:color="auto"/>
        <w:bottom w:val="none" w:sz="0" w:space="0" w:color="auto"/>
        <w:right w:val="none" w:sz="0" w:space="0" w:color="auto"/>
      </w:divBdr>
    </w:div>
    <w:div w:id="999697490">
      <w:bodyDiv w:val="1"/>
      <w:marLeft w:val="0"/>
      <w:marRight w:val="0"/>
      <w:marTop w:val="0"/>
      <w:marBottom w:val="0"/>
      <w:divBdr>
        <w:top w:val="none" w:sz="0" w:space="0" w:color="auto"/>
        <w:left w:val="none" w:sz="0" w:space="0" w:color="auto"/>
        <w:bottom w:val="none" w:sz="0" w:space="0" w:color="auto"/>
        <w:right w:val="none" w:sz="0" w:space="0" w:color="auto"/>
      </w:divBdr>
    </w:div>
    <w:div w:id="1007830738">
      <w:bodyDiv w:val="1"/>
      <w:marLeft w:val="0"/>
      <w:marRight w:val="0"/>
      <w:marTop w:val="0"/>
      <w:marBottom w:val="0"/>
      <w:divBdr>
        <w:top w:val="none" w:sz="0" w:space="0" w:color="auto"/>
        <w:left w:val="none" w:sz="0" w:space="0" w:color="auto"/>
        <w:bottom w:val="none" w:sz="0" w:space="0" w:color="auto"/>
        <w:right w:val="none" w:sz="0" w:space="0" w:color="auto"/>
      </w:divBdr>
    </w:div>
    <w:div w:id="1020424735">
      <w:bodyDiv w:val="1"/>
      <w:marLeft w:val="0"/>
      <w:marRight w:val="0"/>
      <w:marTop w:val="0"/>
      <w:marBottom w:val="0"/>
      <w:divBdr>
        <w:top w:val="none" w:sz="0" w:space="0" w:color="auto"/>
        <w:left w:val="none" w:sz="0" w:space="0" w:color="auto"/>
        <w:bottom w:val="none" w:sz="0" w:space="0" w:color="auto"/>
        <w:right w:val="none" w:sz="0" w:space="0" w:color="auto"/>
      </w:divBdr>
    </w:div>
    <w:div w:id="1029648157">
      <w:bodyDiv w:val="1"/>
      <w:marLeft w:val="0"/>
      <w:marRight w:val="0"/>
      <w:marTop w:val="0"/>
      <w:marBottom w:val="0"/>
      <w:divBdr>
        <w:top w:val="none" w:sz="0" w:space="0" w:color="auto"/>
        <w:left w:val="none" w:sz="0" w:space="0" w:color="auto"/>
        <w:bottom w:val="none" w:sz="0" w:space="0" w:color="auto"/>
        <w:right w:val="none" w:sz="0" w:space="0" w:color="auto"/>
      </w:divBdr>
    </w:div>
    <w:div w:id="1044065789">
      <w:bodyDiv w:val="1"/>
      <w:marLeft w:val="0"/>
      <w:marRight w:val="0"/>
      <w:marTop w:val="0"/>
      <w:marBottom w:val="0"/>
      <w:divBdr>
        <w:top w:val="none" w:sz="0" w:space="0" w:color="auto"/>
        <w:left w:val="none" w:sz="0" w:space="0" w:color="auto"/>
        <w:bottom w:val="none" w:sz="0" w:space="0" w:color="auto"/>
        <w:right w:val="none" w:sz="0" w:space="0" w:color="auto"/>
      </w:divBdr>
    </w:div>
    <w:div w:id="1055928577">
      <w:bodyDiv w:val="1"/>
      <w:marLeft w:val="0"/>
      <w:marRight w:val="0"/>
      <w:marTop w:val="0"/>
      <w:marBottom w:val="0"/>
      <w:divBdr>
        <w:top w:val="none" w:sz="0" w:space="0" w:color="auto"/>
        <w:left w:val="none" w:sz="0" w:space="0" w:color="auto"/>
        <w:bottom w:val="none" w:sz="0" w:space="0" w:color="auto"/>
        <w:right w:val="none" w:sz="0" w:space="0" w:color="auto"/>
      </w:divBdr>
      <w:divsChild>
        <w:div w:id="113600072">
          <w:marLeft w:val="0"/>
          <w:marRight w:val="0"/>
          <w:marTop w:val="0"/>
          <w:marBottom w:val="0"/>
          <w:divBdr>
            <w:top w:val="none" w:sz="0" w:space="0" w:color="auto"/>
            <w:left w:val="none" w:sz="0" w:space="0" w:color="auto"/>
            <w:bottom w:val="none" w:sz="0" w:space="0" w:color="auto"/>
            <w:right w:val="none" w:sz="0" w:space="0" w:color="auto"/>
          </w:divBdr>
        </w:div>
        <w:div w:id="302926947">
          <w:marLeft w:val="0"/>
          <w:marRight w:val="0"/>
          <w:marTop w:val="0"/>
          <w:marBottom w:val="0"/>
          <w:divBdr>
            <w:top w:val="none" w:sz="0" w:space="0" w:color="auto"/>
            <w:left w:val="none" w:sz="0" w:space="0" w:color="auto"/>
            <w:bottom w:val="none" w:sz="0" w:space="0" w:color="auto"/>
            <w:right w:val="none" w:sz="0" w:space="0" w:color="auto"/>
          </w:divBdr>
        </w:div>
        <w:div w:id="398211792">
          <w:marLeft w:val="0"/>
          <w:marRight w:val="0"/>
          <w:marTop w:val="0"/>
          <w:marBottom w:val="0"/>
          <w:divBdr>
            <w:top w:val="none" w:sz="0" w:space="0" w:color="auto"/>
            <w:left w:val="none" w:sz="0" w:space="0" w:color="auto"/>
            <w:bottom w:val="none" w:sz="0" w:space="0" w:color="auto"/>
            <w:right w:val="none" w:sz="0" w:space="0" w:color="auto"/>
          </w:divBdr>
        </w:div>
        <w:div w:id="449976930">
          <w:marLeft w:val="0"/>
          <w:marRight w:val="0"/>
          <w:marTop w:val="0"/>
          <w:marBottom w:val="0"/>
          <w:divBdr>
            <w:top w:val="none" w:sz="0" w:space="0" w:color="auto"/>
            <w:left w:val="none" w:sz="0" w:space="0" w:color="auto"/>
            <w:bottom w:val="none" w:sz="0" w:space="0" w:color="auto"/>
            <w:right w:val="none" w:sz="0" w:space="0" w:color="auto"/>
          </w:divBdr>
        </w:div>
        <w:div w:id="559438813">
          <w:marLeft w:val="0"/>
          <w:marRight w:val="0"/>
          <w:marTop w:val="0"/>
          <w:marBottom w:val="0"/>
          <w:divBdr>
            <w:top w:val="none" w:sz="0" w:space="0" w:color="auto"/>
            <w:left w:val="none" w:sz="0" w:space="0" w:color="auto"/>
            <w:bottom w:val="none" w:sz="0" w:space="0" w:color="auto"/>
            <w:right w:val="none" w:sz="0" w:space="0" w:color="auto"/>
          </w:divBdr>
        </w:div>
        <w:div w:id="690569798">
          <w:marLeft w:val="0"/>
          <w:marRight w:val="0"/>
          <w:marTop w:val="0"/>
          <w:marBottom w:val="0"/>
          <w:divBdr>
            <w:top w:val="none" w:sz="0" w:space="0" w:color="auto"/>
            <w:left w:val="none" w:sz="0" w:space="0" w:color="auto"/>
            <w:bottom w:val="none" w:sz="0" w:space="0" w:color="auto"/>
            <w:right w:val="none" w:sz="0" w:space="0" w:color="auto"/>
          </w:divBdr>
        </w:div>
        <w:div w:id="792746392">
          <w:marLeft w:val="0"/>
          <w:marRight w:val="0"/>
          <w:marTop w:val="0"/>
          <w:marBottom w:val="0"/>
          <w:divBdr>
            <w:top w:val="none" w:sz="0" w:space="0" w:color="auto"/>
            <w:left w:val="none" w:sz="0" w:space="0" w:color="auto"/>
            <w:bottom w:val="none" w:sz="0" w:space="0" w:color="auto"/>
            <w:right w:val="none" w:sz="0" w:space="0" w:color="auto"/>
          </w:divBdr>
        </w:div>
        <w:div w:id="808742735">
          <w:marLeft w:val="0"/>
          <w:marRight w:val="0"/>
          <w:marTop w:val="0"/>
          <w:marBottom w:val="0"/>
          <w:divBdr>
            <w:top w:val="none" w:sz="0" w:space="0" w:color="auto"/>
            <w:left w:val="none" w:sz="0" w:space="0" w:color="auto"/>
            <w:bottom w:val="none" w:sz="0" w:space="0" w:color="auto"/>
            <w:right w:val="none" w:sz="0" w:space="0" w:color="auto"/>
          </w:divBdr>
        </w:div>
        <w:div w:id="1056201416">
          <w:marLeft w:val="0"/>
          <w:marRight w:val="0"/>
          <w:marTop w:val="0"/>
          <w:marBottom w:val="0"/>
          <w:divBdr>
            <w:top w:val="none" w:sz="0" w:space="0" w:color="auto"/>
            <w:left w:val="none" w:sz="0" w:space="0" w:color="auto"/>
            <w:bottom w:val="none" w:sz="0" w:space="0" w:color="auto"/>
            <w:right w:val="none" w:sz="0" w:space="0" w:color="auto"/>
          </w:divBdr>
        </w:div>
        <w:div w:id="1131052642">
          <w:marLeft w:val="0"/>
          <w:marRight w:val="0"/>
          <w:marTop w:val="0"/>
          <w:marBottom w:val="0"/>
          <w:divBdr>
            <w:top w:val="none" w:sz="0" w:space="0" w:color="auto"/>
            <w:left w:val="none" w:sz="0" w:space="0" w:color="auto"/>
            <w:bottom w:val="none" w:sz="0" w:space="0" w:color="auto"/>
            <w:right w:val="none" w:sz="0" w:space="0" w:color="auto"/>
          </w:divBdr>
        </w:div>
        <w:div w:id="1159082202">
          <w:marLeft w:val="0"/>
          <w:marRight w:val="0"/>
          <w:marTop w:val="0"/>
          <w:marBottom w:val="0"/>
          <w:divBdr>
            <w:top w:val="none" w:sz="0" w:space="0" w:color="auto"/>
            <w:left w:val="none" w:sz="0" w:space="0" w:color="auto"/>
            <w:bottom w:val="none" w:sz="0" w:space="0" w:color="auto"/>
            <w:right w:val="none" w:sz="0" w:space="0" w:color="auto"/>
          </w:divBdr>
        </w:div>
        <w:div w:id="1226336589">
          <w:marLeft w:val="0"/>
          <w:marRight w:val="0"/>
          <w:marTop w:val="0"/>
          <w:marBottom w:val="0"/>
          <w:divBdr>
            <w:top w:val="none" w:sz="0" w:space="0" w:color="auto"/>
            <w:left w:val="none" w:sz="0" w:space="0" w:color="auto"/>
            <w:bottom w:val="none" w:sz="0" w:space="0" w:color="auto"/>
            <w:right w:val="none" w:sz="0" w:space="0" w:color="auto"/>
          </w:divBdr>
        </w:div>
        <w:div w:id="1263150430">
          <w:marLeft w:val="0"/>
          <w:marRight w:val="0"/>
          <w:marTop w:val="0"/>
          <w:marBottom w:val="0"/>
          <w:divBdr>
            <w:top w:val="none" w:sz="0" w:space="0" w:color="auto"/>
            <w:left w:val="none" w:sz="0" w:space="0" w:color="auto"/>
            <w:bottom w:val="none" w:sz="0" w:space="0" w:color="auto"/>
            <w:right w:val="none" w:sz="0" w:space="0" w:color="auto"/>
          </w:divBdr>
        </w:div>
        <w:div w:id="1349521465">
          <w:marLeft w:val="0"/>
          <w:marRight w:val="0"/>
          <w:marTop w:val="0"/>
          <w:marBottom w:val="0"/>
          <w:divBdr>
            <w:top w:val="none" w:sz="0" w:space="0" w:color="auto"/>
            <w:left w:val="none" w:sz="0" w:space="0" w:color="auto"/>
            <w:bottom w:val="none" w:sz="0" w:space="0" w:color="auto"/>
            <w:right w:val="none" w:sz="0" w:space="0" w:color="auto"/>
          </w:divBdr>
        </w:div>
        <w:div w:id="1459254982">
          <w:marLeft w:val="0"/>
          <w:marRight w:val="0"/>
          <w:marTop w:val="0"/>
          <w:marBottom w:val="0"/>
          <w:divBdr>
            <w:top w:val="none" w:sz="0" w:space="0" w:color="auto"/>
            <w:left w:val="none" w:sz="0" w:space="0" w:color="auto"/>
            <w:bottom w:val="none" w:sz="0" w:space="0" w:color="auto"/>
            <w:right w:val="none" w:sz="0" w:space="0" w:color="auto"/>
          </w:divBdr>
        </w:div>
        <w:div w:id="1462915760">
          <w:marLeft w:val="0"/>
          <w:marRight w:val="0"/>
          <w:marTop w:val="0"/>
          <w:marBottom w:val="0"/>
          <w:divBdr>
            <w:top w:val="none" w:sz="0" w:space="0" w:color="auto"/>
            <w:left w:val="none" w:sz="0" w:space="0" w:color="auto"/>
            <w:bottom w:val="none" w:sz="0" w:space="0" w:color="auto"/>
            <w:right w:val="none" w:sz="0" w:space="0" w:color="auto"/>
          </w:divBdr>
        </w:div>
        <w:div w:id="1469203135">
          <w:marLeft w:val="0"/>
          <w:marRight w:val="0"/>
          <w:marTop w:val="0"/>
          <w:marBottom w:val="0"/>
          <w:divBdr>
            <w:top w:val="none" w:sz="0" w:space="0" w:color="auto"/>
            <w:left w:val="none" w:sz="0" w:space="0" w:color="auto"/>
            <w:bottom w:val="none" w:sz="0" w:space="0" w:color="auto"/>
            <w:right w:val="none" w:sz="0" w:space="0" w:color="auto"/>
          </w:divBdr>
        </w:div>
        <w:div w:id="1545219188">
          <w:marLeft w:val="0"/>
          <w:marRight w:val="0"/>
          <w:marTop w:val="0"/>
          <w:marBottom w:val="0"/>
          <w:divBdr>
            <w:top w:val="none" w:sz="0" w:space="0" w:color="auto"/>
            <w:left w:val="none" w:sz="0" w:space="0" w:color="auto"/>
            <w:bottom w:val="none" w:sz="0" w:space="0" w:color="auto"/>
            <w:right w:val="none" w:sz="0" w:space="0" w:color="auto"/>
          </w:divBdr>
        </w:div>
        <w:div w:id="1579631269">
          <w:marLeft w:val="0"/>
          <w:marRight w:val="0"/>
          <w:marTop w:val="0"/>
          <w:marBottom w:val="0"/>
          <w:divBdr>
            <w:top w:val="none" w:sz="0" w:space="0" w:color="auto"/>
            <w:left w:val="none" w:sz="0" w:space="0" w:color="auto"/>
            <w:bottom w:val="none" w:sz="0" w:space="0" w:color="auto"/>
            <w:right w:val="none" w:sz="0" w:space="0" w:color="auto"/>
          </w:divBdr>
        </w:div>
        <w:div w:id="1756708319">
          <w:marLeft w:val="0"/>
          <w:marRight w:val="0"/>
          <w:marTop w:val="0"/>
          <w:marBottom w:val="0"/>
          <w:divBdr>
            <w:top w:val="none" w:sz="0" w:space="0" w:color="auto"/>
            <w:left w:val="none" w:sz="0" w:space="0" w:color="auto"/>
            <w:bottom w:val="none" w:sz="0" w:space="0" w:color="auto"/>
            <w:right w:val="none" w:sz="0" w:space="0" w:color="auto"/>
          </w:divBdr>
        </w:div>
        <w:div w:id="1905218472">
          <w:marLeft w:val="0"/>
          <w:marRight w:val="0"/>
          <w:marTop w:val="0"/>
          <w:marBottom w:val="0"/>
          <w:divBdr>
            <w:top w:val="none" w:sz="0" w:space="0" w:color="auto"/>
            <w:left w:val="none" w:sz="0" w:space="0" w:color="auto"/>
            <w:bottom w:val="none" w:sz="0" w:space="0" w:color="auto"/>
            <w:right w:val="none" w:sz="0" w:space="0" w:color="auto"/>
          </w:divBdr>
        </w:div>
        <w:div w:id="1920014428">
          <w:marLeft w:val="0"/>
          <w:marRight w:val="0"/>
          <w:marTop w:val="0"/>
          <w:marBottom w:val="0"/>
          <w:divBdr>
            <w:top w:val="none" w:sz="0" w:space="0" w:color="auto"/>
            <w:left w:val="none" w:sz="0" w:space="0" w:color="auto"/>
            <w:bottom w:val="none" w:sz="0" w:space="0" w:color="auto"/>
            <w:right w:val="none" w:sz="0" w:space="0" w:color="auto"/>
          </w:divBdr>
        </w:div>
      </w:divsChild>
    </w:div>
    <w:div w:id="1076904196">
      <w:bodyDiv w:val="1"/>
      <w:marLeft w:val="0"/>
      <w:marRight w:val="0"/>
      <w:marTop w:val="0"/>
      <w:marBottom w:val="0"/>
      <w:divBdr>
        <w:top w:val="none" w:sz="0" w:space="0" w:color="auto"/>
        <w:left w:val="none" w:sz="0" w:space="0" w:color="auto"/>
        <w:bottom w:val="none" w:sz="0" w:space="0" w:color="auto"/>
        <w:right w:val="none" w:sz="0" w:space="0" w:color="auto"/>
      </w:divBdr>
    </w:div>
    <w:div w:id="1079405624">
      <w:bodyDiv w:val="1"/>
      <w:marLeft w:val="0"/>
      <w:marRight w:val="0"/>
      <w:marTop w:val="0"/>
      <w:marBottom w:val="0"/>
      <w:divBdr>
        <w:top w:val="none" w:sz="0" w:space="0" w:color="auto"/>
        <w:left w:val="none" w:sz="0" w:space="0" w:color="auto"/>
        <w:bottom w:val="none" w:sz="0" w:space="0" w:color="auto"/>
        <w:right w:val="none" w:sz="0" w:space="0" w:color="auto"/>
      </w:divBdr>
    </w:div>
    <w:div w:id="1090395046">
      <w:bodyDiv w:val="1"/>
      <w:marLeft w:val="0"/>
      <w:marRight w:val="0"/>
      <w:marTop w:val="0"/>
      <w:marBottom w:val="0"/>
      <w:divBdr>
        <w:top w:val="none" w:sz="0" w:space="0" w:color="auto"/>
        <w:left w:val="none" w:sz="0" w:space="0" w:color="auto"/>
        <w:bottom w:val="none" w:sz="0" w:space="0" w:color="auto"/>
        <w:right w:val="none" w:sz="0" w:space="0" w:color="auto"/>
      </w:divBdr>
    </w:div>
    <w:div w:id="1103956352">
      <w:bodyDiv w:val="1"/>
      <w:marLeft w:val="0"/>
      <w:marRight w:val="0"/>
      <w:marTop w:val="0"/>
      <w:marBottom w:val="0"/>
      <w:divBdr>
        <w:top w:val="none" w:sz="0" w:space="0" w:color="auto"/>
        <w:left w:val="none" w:sz="0" w:space="0" w:color="auto"/>
        <w:bottom w:val="none" w:sz="0" w:space="0" w:color="auto"/>
        <w:right w:val="none" w:sz="0" w:space="0" w:color="auto"/>
      </w:divBdr>
    </w:div>
    <w:div w:id="1104299862">
      <w:bodyDiv w:val="1"/>
      <w:marLeft w:val="0"/>
      <w:marRight w:val="0"/>
      <w:marTop w:val="0"/>
      <w:marBottom w:val="0"/>
      <w:divBdr>
        <w:top w:val="none" w:sz="0" w:space="0" w:color="auto"/>
        <w:left w:val="none" w:sz="0" w:space="0" w:color="auto"/>
        <w:bottom w:val="none" w:sz="0" w:space="0" w:color="auto"/>
        <w:right w:val="none" w:sz="0" w:space="0" w:color="auto"/>
      </w:divBdr>
    </w:div>
    <w:div w:id="1120564688">
      <w:bodyDiv w:val="1"/>
      <w:marLeft w:val="0"/>
      <w:marRight w:val="0"/>
      <w:marTop w:val="0"/>
      <w:marBottom w:val="0"/>
      <w:divBdr>
        <w:top w:val="none" w:sz="0" w:space="0" w:color="auto"/>
        <w:left w:val="none" w:sz="0" w:space="0" w:color="auto"/>
        <w:bottom w:val="none" w:sz="0" w:space="0" w:color="auto"/>
        <w:right w:val="none" w:sz="0" w:space="0" w:color="auto"/>
      </w:divBdr>
    </w:div>
    <w:div w:id="1133257338">
      <w:bodyDiv w:val="1"/>
      <w:marLeft w:val="0"/>
      <w:marRight w:val="0"/>
      <w:marTop w:val="0"/>
      <w:marBottom w:val="0"/>
      <w:divBdr>
        <w:top w:val="none" w:sz="0" w:space="0" w:color="auto"/>
        <w:left w:val="none" w:sz="0" w:space="0" w:color="auto"/>
        <w:bottom w:val="none" w:sz="0" w:space="0" w:color="auto"/>
        <w:right w:val="none" w:sz="0" w:space="0" w:color="auto"/>
      </w:divBdr>
      <w:divsChild>
        <w:div w:id="327902146">
          <w:marLeft w:val="0"/>
          <w:marRight w:val="0"/>
          <w:marTop w:val="0"/>
          <w:marBottom w:val="0"/>
          <w:divBdr>
            <w:top w:val="none" w:sz="0" w:space="0" w:color="auto"/>
            <w:left w:val="none" w:sz="0" w:space="0" w:color="auto"/>
            <w:bottom w:val="none" w:sz="0" w:space="0" w:color="auto"/>
            <w:right w:val="none" w:sz="0" w:space="0" w:color="auto"/>
          </w:divBdr>
        </w:div>
        <w:div w:id="580452506">
          <w:marLeft w:val="0"/>
          <w:marRight w:val="0"/>
          <w:marTop w:val="0"/>
          <w:marBottom w:val="0"/>
          <w:divBdr>
            <w:top w:val="none" w:sz="0" w:space="0" w:color="auto"/>
            <w:left w:val="none" w:sz="0" w:space="0" w:color="auto"/>
            <w:bottom w:val="none" w:sz="0" w:space="0" w:color="auto"/>
            <w:right w:val="none" w:sz="0" w:space="0" w:color="auto"/>
          </w:divBdr>
        </w:div>
        <w:div w:id="613752773">
          <w:marLeft w:val="0"/>
          <w:marRight w:val="0"/>
          <w:marTop w:val="0"/>
          <w:marBottom w:val="0"/>
          <w:divBdr>
            <w:top w:val="none" w:sz="0" w:space="0" w:color="auto"/>
            <w:left w:val="none" w:sz="0" w:space="0" w:color="auto"/>
            <w:bottom w:val="none" w:sz="0" w:space="0" w:color="auto"/>
            <w:right w:val="none" w:sz="0" w:space="0" w:color="auto"/>
          </w:divBdr>
        </w:div>
        <w:div w:id="820076342">
          <w:marLeft w:val="0"/>
          <w:marRight w:val="0"/>
          <w:marTop w:val="0"/>
          <w:marBottom w:val="0"/>
          <w:divBdr>
            <w:top w:val="none" w:sz="0" w:space="0" w:color="auto"/>
            <w:left w:val="none" w:sz="0" w:space="0" w:color="auto"/>
            <w:bottom w:val="none" w:sz="0" w:space="0" w:color="auto"/>
            <w:right w:val="none" w:sz="0" w:space="0" w:color="auto"/>
          </w:divBdr>
        </w:div>
        <w:div w:id="950934261">
          <w:marLeft w:val="0"/>
          <w:marRight w:val="0"/>
          <w:marTop w:val="0"/>
          <w:marBottom w:val="0"/>
          <w:divBdr>
            <w:top w:val="none" w:sz="0" w:space="0" w:color="auto"/>
            <w:left w:val="none" w:sz="0" w:space="0" w:color="auto"/>
            <w:bottom w:val="none" w:sz="0" w:space="0" w:color="auto"/>
            <w:right w:val="none" w:sz="0" w:space="0" w:color="auto"/>
          </w:divBdr>
        </w:div>
        <w:div w:id="1047754344">
          <w:marLeft w:val="0"/>
          <w:marRight w:val="0"/>
          <w:marTop w:val="0"/>
          <w:marBottom w:val="0"/>
          <w:divBdr>
            <w:top w:val="none" w:sz="0" w:space="0" w:color="auto"/>
            <w:left w:val="none" w:sz="0" w:space="0" w:color="auto"/>
            <w:bottom w:val="none" w:sz="0" w:space="0" w:color="auto"/>
            <w:right w:val="none" w:sz="0" w:space="0" w:color="auto"/>
          </w:divBdr>
        </w:div>
        <w:div w:id="1642346897">
          <w:marLeft w:val="0"/>
          <w:marRight w:val="0"/>
          <w:marTop w:val="0"/>
          <w:marBottom w:val="0"/>
          <w:divBdr>
            <w:top w:val="none" w:sz="0" w:space="0" w:color="auto"/>
            <w:left w:val="none" w:sz="0" w:space="0" w:color="auto"/>
            <w:bottom w:val="none" w:sz="0" w:space="0" w:color="auto"/>
            <w:right w:val="none" w:sz="0" w:space="0" w:color="auto"/>
          </w:divBdr>
        </w:div>
      </w:divsChild>
    </w:div>
    <w:div w:id="1137338843">
      <w:bodyDiv w:val="1"/>
      <w:marLeft w:val="0"/>
      <w:marRight w:val="0"/>
      <w:marTop w:val="0"/>
      <w:marBottom w:val="0"/>
      <w:divBdr>
        <w:top w:val="none" w:sz="0" w:space="0" w:color="auto"/>
        <w:left w:val="none" w:sz="0" w:space="0" w:color="auto"/>
        <w:bottom w:val="none" w:sz="0" w:space="0" w:color="auto"/>
        <w:right w:val="none" w:sz="0" w:space="0" w:color="auto"/>
      </w:divBdr>
    </w:div>
    <w:div w:id="1146506308">
      <w:bodyDiv w:val="1"/>
      <w:marLeft w:val="0"/>
      <w:marRight w:val="0"/>
      <w:marTop w:val="0"/>
      <w:marBottom w:val="0"/>
      <w:divBdr>
        <w:top w:val="none" w:sz="0" w:space="0" w:color="auto"/>
        <w:left w:val="none" w:sz="0" w:space="0" w:color="auto"/>
        <w:bottom w:val="none" w:sz="0" w:space="0" w:color="auto"/>
        <w:right w:val="none" w:sz="0" w:space="0" w:color="auto"/>
      </w:divBdr>
    </w:div>
    <w:div w:id="1165052714">
      <w:bodyDiv w:val="1"/>
      <w:marLeft w:val="0"/>
      <w:marRight w:val="0"/>
      <w:marTop w:val="0"/>
      <w:marBottom w:val="0"/>
      <w:divBdr>
        <w:top w:val="none" w:sz="0" w:space="0" w:color="auto"/>
        <w:left w:val="none" w:sz="0" w:space="0" w:color="auto"/>
        <w:bottom w:val="none" w:sz="0" w:space="0" w:color="auto"/>
        <w:right w:val="none" w:sz="0" w:space="0" w:color="auto"/>
      </w:divBdr>
    </w:div>
    <w:div w:id="1193567969">
      <w:bodyDiv w:val="1"/>
      <w:marLeft w:val="0"/>
      <w:marRight w:val="0"/>
      <w:marTop w:val="0"/>
      <w:marBottom w:val="0"/>
      <w:divBdr>
        <w:top w:val="none" w:sz="0" w:space="0" w:color="auto"/>
        <w:left w:val="none" w:sz="0" w:space="0" w:color="auto"/>
        <w:bottom w:val="none" w:sz="0" w:space="0" w:color="auto"/>
        <w:right w:val="none" w:sz="0" w:space="0" w:color="auto"/>
      </w:divBdr>
    </w:div>
    <w:div w:id="1200048817">
      <w:bodyDiv w:val="1"/>
      <w:marLeft w:val="0"/>
      <w:marRight w:val="0"/>
      <w:marTop w:val="0"/>
      <w:marBottom w:val="0"/>
      <w:divBdr>
        <w:top w:val="none" w:sz="0" w:space="0" w:color="auto"/>
        <w:left w:val="none" w:sz="0" w:space="0" w:color="auto"/>
        <w:bottom w:val="none" w:sz="0" w:space="0" w:color="auto"/>
        <w:right w:val="none" w:sz="0" w:space="0" w:color="auto"/>
      </w:divBdr>
    </w:div>
    <w:div w:id="1224608774">
      <w:bodyDiv w:val="1"/>
      <w:marLeft w:val="0"/>
      <w:marRight w:val="0"/>
      <w:marTop w:val="0"/>
      <w:marBottom w:val="0"/>
      <w:divBdr>
        <w:top w:val="none" w:sz="0" w:space="0" w:color="auto"/>
        <w:left w:val="none" w:sz="0" w:space="0" w:color="auto"/>
        <w:bottom w:val="none" w:sz="0" w:space="0" w:color="auto"/>
        <w:right w:val="none" w:sz="0" w:space="0" w:color="auto"/>
      </w:divBdr>
    </w:div>
    <w:div w:id="1242956847">
      <w:bodyDiv w:val="1"/>
      <w:marLeft w:val="0"/>
      <w:marRight w:val="0"/>
      <w:marTop w:val="0"/>
      <w:marBottom w:val="0"/>
      <w:divBdr>
        <w:top w:val="none" w:sz="0" w:space="0" w:color="auto"/>
        <w:left w:val="none" w:sz="0" w:space="0" w:color="auto"/>
        <w:bottom w:val="none" w:sz="0" w:space="0" w:color="auto"/>
        <w:right w:val="none" w:sz="0" w:space="0" w:color="auto"/>
      </w:divBdr>
    </w:div>
    <w:div w:id="1243486035">
      <w:bodyDiv w:val="1"/>
      <w:marLeft w:val="0"/>
      <w:marRight w:val="0"/>
      <w:marTop w:val="0"/>
      <w:marBottom w:val="0"/>
      <w:divBdr>
        <w:top w:val="none" w:sz="0" w:space="0" w:color="auto"/>
        <w:left w:val="none" w:sz="0" w:space="0" w:color="auto"/>
        <w:bottom w:val="none" w:sz="0" w:space="0" w:color="auto"/>
        <w:right w:val="none" w:sz="0" w:space="0" w:color="auto"/>
      </w:divBdr>
    </w:div>
    <w:div w:id="1249731641">
      <w:bodyDiv w:val="1"/>
      <w:marLeft w:val="0"/>
      <w:marRight w:val="0"/>
      <w:marTop w:val="0"/>
      <w:marBottom w:val="0"/>
      <w:divBdr>
        <w:top w:val="none" w:sz="0" w:space="0" w:color="auto"/>
        <w:left w:val="none" w:sz="0" w:space="0" w:color="auto"/>
        <w:bottom w:val="none" w:sz="0" w:space="0" w:color="auto"/>
        <w:right w:val="none" w:sz="0" w:space="0" w:color="auto"/>
      </w:divBdr>
    </w:div>
    <w:div w:id="1255675786">
      <w:bodyDiv w:val="1"/>
      <w:marLeft w:val="0"/>
      <w:marRight w:val="0"/>
      <w:marTop w:val="0"/>
      <w:marBottom w:val="0"/>
      <w:divBdr>
        <w:top w:val="none" w:sz="0" w:space="0" w:color="auto"/>
        <w:left w:val="none" w:sz="0" w:space="0" w:color="auto"/>
        <w:bottom w:val="none" w:sz="0" w:space="0" w:color="auto"/>
        <w:right w:val="none" w:sz="0" w:space="0" w:color="auto"/>
      </w:divBdr>
    </w:div>
    <w:div w:id="1282614727">
      <w:bodyDiv w:val="1"/>
      <w:marLeft w:val="0"/>
      <w:marRight w:val="0"/>
      <w:marTop w:val="0"/>
      <w:marBottom w:val="0"/>
      <w:divBdr>
        <w:top w:val="none" w:sz="0" w:space="0" w:color="auto"/>
        <w:left w:val="none" w:sz="0" w:space="0" w:color="auto"/>
        <w:bottom w:val="none" w:sz="0" w:space="0" w:color="auto"/>
        <w:right w:val="none" w:sz="0" w:space="0" w:color="auto"/>
      </w:divBdr>
    </w:div>
    <w:div w:id="1295911772">
      <w:bodyDiv w:val="1"/>
      <w:marLeft w:val="0"/>
      <w:marRight w:val="0"/>
      <w:marTop w:val="0"/>
      <w:marBottom w:val="0"/>
      <w:divBdr>
        <w:top w:val="none" w:sz="0" w:space="0" w:color="auto"/>
        <w:left w:val="none" w:sz="0" w:space="0" w:color="auto"/>
        <w:bottom w:val="none" w:sz="0" w:space="0" w:color="auto"/>
        <w:right w:val="none" w:sz="0" w:space="0" w:color="auto"/>
      </w:divBdr>
    </w:div>
    <w:div w:id="1313174738">
      <w:bodyDiv w:val="1"/>
      <w:marLeft w:val="0"/>
      <w:marRight w:val="0"/>
      <w:marTop w:val="0"/>
      <w:marBottom w:val="0"/>
      <w:divBdr>
        <w:top w:val="none" w:sz="0" w:space="0" w:color="auto"/>
        <w:left w:val="none" w:sz="0" w:space="0" w:color="auto"/>
        <w:bottom w:val="none" w:sz="0" w:space="0" w:color="auto"/>
        <w:right w:val="none" w:sz="0" w:space="0" w:color="auto"/>
      </w:divBdr>
    </w:div>
    <w:div w:id="1324894886">
      <w:bodyDiv w:val="1"/>
      <w:marLeft w:val="0"/>
      <w:marRight w:val="0"/>
      <w:marTop w:val="0"/>
      <w:marBottom w:val="0"/>
      <w:divBdr>
        <w:top w:val="none" w:sz="0" w:space="0" w:color="auto"/>
        <w:left w:val="none" w:sz="0" w:space="0" w:color="auto"/>
        <w:bottom w:val="none" w:sz="0" w:space="0" w:color="auto"/>
        <w:right w:val="none" w:sz="0" w:space="0" w:color="auto"/>
      </w:divBdr>
    </w:div>
    <w:div w:id="1329478869">
      <w:bodyDiv w:val="1"/>
      <w:marLeft w:val="0"/>
      <w:marRight w:val="0"/>
      <w:marTop w:val="0"/>
      <w:marBottom w:val="0"/>
      <w:divBdr>
        <w:top w:val="none" w:sz="0" w:space="0" w:color="auto"/>
        <w:left w:val="none" w:sz="0" w:space="0" w:color="auto"/>
        <w:bottom w:val="none" w:sz="0" w:space="0" w:color="auto"/>
        <w:right w:val="none" w:sz="0" w:space="0" w:color="auto"/>
      </w:divBdr>
      <w:divsChild>
        <w:div w:id="16397035">
          <w:marLeft w:val="0"/>
          <w:marRight w:val="0"/>
          <w:marTop w:val="0"/>
          <w:marBottom w:val="0"/>
          <w:divBdr>
            <w:top w:val="none" w:sz="0" w:space="0" w:color="auto"/>
            <w:left w:val="none" w:sz="0" w:space="0" w:color="auto"/>
            <w:bottom w:val="none" w:sz="0" w:space="0" w:color="auto"/>
            <w:right w:val="none" w:sz="0" w:space="0" w:color="auto"/>
          </w:divBdr>
        </w:div>
        <w:div w:id="214315904">
          <w:marLeft w:val="0"/>
          <w:marRight w:val="0"/>
          <w:marTop w:val="0"/>
          <w:marBottom w:val="0"/>
          <w:divBdr>
            <w:top w:val="none" w:sz="0" w:space="0" w:color="auto"/>
            <w:left w:val="none" w:sz="0" w:space="0" w:color="auto"/>
            <w:bottom w:val="none" w:sz="0" w:space="0" w:color="auto"/>
            <w:right w:val="none" w:sz="0" w:space="0" w:color="auto"/>
          </w:divBdr>
        </w:div>
        <w:div w:id="1125080090">
          <w:marLeft w:val="0"/>
          <w:marRight w:val="0"/>
          <w:marTop w:val="0"/>
          <w:marBottom w:val="0"/>
          <w:divBdr>
            <w:top w:val="none" w:sz="0" w:space="0" w:color="auto"/>
            <w:left w:val="none" w:sz="0" w:space="0" w:color="auto"/>
            <w:bottom w:val="none" w:sz="0" w:space="0" w:color="auto"/>
            <w:right w:val="none" w:sz="0" w:space="0" w:color="auto"/>
          </w:divBdr>
        </w:div>
        <w:div w:id="1454713051">
          <w:marLeft w:val="0"/>
          <w:marRight w:val="0"/>
          <w:marTop w:val="0"/>
          <w:marBottom w:val="0"/>
          <w:divBdr>
            <w:top w:val="none" w:sz="0" w:space="0" w:color="auto"/>
            <w:left w:val="none" w:sz="0" w:space="0" w:color="auto"/>
            <w:bottom w:val="none" w:sz="0" w:space="0" w:color="auto"/>
            <w:right w:val="none" w:sz="0" w:space="0" w:color="auto"/>
          </w:divBdr>
        </w:div>
        <w:div w:id="1741052226">
          <w:marLeft w:val="0"/>
          <w:marRight w:val="0"/>
          <w:marTop w:val="0"/>
          <w:marBottom w:val="0"/>
          <w:divBdr>
            <w:top w:val="none" w:sz="0" w:space="0" w:color="auto"/>
            <w:left w:val="none" w:sz="0" w:space="0" w:color="auto"/>
            <w:bottom w:val="none" w:sz="0" w:space="0" w:color="auto"/>
            <w:right w:val="none" w:sz="0" w:space="0" w:color="auto"/>
          </w:divBdr>
        </w:div>
        <w:div w:id="1762988619">
          <w:marLeft w:val="0"/>
          <w:marRight w:val="0"/>
          <w:marTop w:val="0"/>
          <w:marBottom w:val="0"/>
          <w:divBdr>
            <w:top w:val="none" w:sz="0" w:space="0" w:color="auto"/>
            <w:left w:val="none" w:sz="0" w:space="0" w:color="auto"/>
            <w:bottom w:val="none" w:sz="0" w:space="0" w:color="auto"/>
            <w:right w:val="none" w:sz="0" w:space="0" w:color="auto"/>
          </w:divBdr>
        </w:div>
        <w:div w:id="1904293271">
          <w:marLeft w:val="0"/>
          <w:marRight w:val="0"/>
          <w:marTop w:val="0"/>
          <w:marBottom w:val="0"/>
          <w:divBdr>
            <w:top w:val="none" w:sz="0" w:space="0" w:color="auto"/>
            <w:left w:val="none" w:sz="0" w:space="0" w:color="auto"/>
            <w:bottom w:val="none" w:sz="0" w:space="0" w:color="auto"/>
            <w:right w:val="none" w:sz="0" w:space="0" w:color="auto"/>
          </w:divBdr>
        </w:div>
        <w:div w:id="1915317808">
          <w:marLeft w:val="0"/>
          <w:marRight w:val="0"/>
          <w:marTop w:val="0"/>
          <w:marBottom w:val="0"/>
          <w:divBdr>
            <w:top w:val="none" w:sz="0" w:space="0" w:color="auto"/>
            <w:left w:val="none" w:sz="0" w:space="0" w:color="auto"/>
            <w:bottom w:val="none" w:sz="0" w:space="0" w:color="auto"/>
            <w:right w:val="none" w:sz="0" w:space="0" w:color="auto"/>
          </w:divBdr>
        </w:div>
        <w:div w:id="1940260524">
          <w:marLeft w:val="0"/>
          <w:marRight w:val="0"/>
          <w:marTop w:val="0"/>
          <w:marBottom w:val="0"/>
          <w:divBdr>
            <w:top w:val="none" w:sz="0" w:space="0" w:color="auto"/>
            <w:left w:val="none" w:sz="0" w:space="0" w:color="auto"/>
            <w:bottom w:val="none" w:sz="0" w:space="0" w:color="auto"/>
            <w:right w:val="none" w:sz="0" w:space="0" w:color="auto"/>
          </w:divBdr>
        </w:div>
        <w:div w:id="2058386030">
          <w:marLeft w:val="0"/>
          <w:marRight w:val="0"/>
          <w:marTop w:val="0"/>
          <w:marBottom w:val="0"/>
          <w:divBdr>
            <w:top w:val="none" w:sz="0" w:space="0" w:color="auto"/>
            <w:left w:val="none" w:sz="0" w:space="0" w:color="auto"/>
            <w:bottom w:val="none" w:sz="0" w:space="0" w:color="auto"/>
            <w:right w:val="none" w:sz="0" w:space="0" w:color="auto"/>
          </w:divBdr>
        </w:div>
        <w:div w:id="2095130523">
          <w:marLeft w:val="0"/>
          <w:marRight w:val="0"/>
          <w:marTop w:val="0"/>
          <w:marBottom w:val="0"/>
          <w:divBdr>
            <w:top w:val="none" w:sz="0" w:space="0" w:color="auto"/>
            <w:left w:val="none" w:sz="0" w:space="0" w:color="auto"/>
            <w:bottom w:val="none" w:sz="0" w:space="0" w:color="auto"/>
            <w:right w:val="none" w:sz="0" w:space="0" w:color="auto"/>
          </w:divBdr>
        </w:div>
      </w:divsChild>
    </w:div>
    <w:div w:id="1330475435">
      <w:bodyDiv w:val="1"/>
      <w:marLeft w:val="0"/>
      <w:marRight w:val="0"/>
      <w:marTop w:val="0"/>
      <w:marBottom w:val="0"/>
      <w:divBdr>
        <w:top w:val="none" w:sz="0" w:space="0" w:color="auto"/>
        <w:left w:val="none" w:sz="0" w:space="0" w:color="auto"/>
        <w:bottom w:val="none" w:sz="0" w:space="0" w:color="auto"/>
        <w:right w:val="none" w:sz="0" w:space="0" w:color="auto"/>
      </w:divBdr>
    </w:div>
    <w:div w:id="1333752799">
      <w:bodyDiv w:val="1"/>
      <w:marLeft w:val="0"/>
      <w:marRight w:val="0"/>
      <w:marTop w:val="0"/>
      <w:marBottom w:val="0"/>
      <w:divBdr>
        <w:top w:val="none" w:sz="0" w:space="0" w:color="auto"/>
        <w:left w:val="none" w:sz="0" w:space="0" w:color="auto"/>
        <w:bottom w:val="none" w:sz="0" w:space="0" w:color="auto"/>
        <w:right w:val="none" w:sz="0" w:space="0" w:color="auto"/>
      </w:divBdr>
    </w:div>
    <w:div w:id="1345666560">
      <w:bodyDiv w:val="1"/>
      <w:marLeft w:val="0"/>
      <w:marRight w:val="0"/>
      <w:marTop w:val="0"/>
      <w:marBottom w:val="0"/>
      <w:divBdr>
        <w:top w:val="none" w:sz="0" w:space="0" w:color="auto"/>
        <w:left w:val="none" w:sz="0" w:space="0" w:color="auto"/>
        <w:bottom w:val="none" w:sz="0" w:space="0" w:color="auto"/>
        <w:right w:val="none" w:sz="0" w:space="0" w:color="auto"/>
      </w:divBdr>
    </w:div>
    <w:div w:id="1348093946">
      <w:bodyDiv w:val="1"/>
      <w:marLeft w:val="0"/>
      <w:marRight w:val="0"/>
      <w:marTop w:val="0"/>
      <w:marBottom w:val="0"/>
      <w:divBdr>
        <w:top w:val="none" w:sz="0" w:space="0" w:color="auto"/>
        <w:left w:val="none" w:sz="0" w:space="0" w:color="auto"/>
        <w:bottom w:val="none" w:sz="0" w:space="0" w:color="auto"/>
        <w:right w:val="none" w:sz="0" w:space="0" w:color="auto"/>
      </w:divBdr>
    </w:div>
    <w:div w:id="1350793633">
      <w:bodyDiv w:val="1"/>
      <w:marLeft w:val="0"/>
      <w:marRight w:val="0"/>
      <w:marTop w:val="0"/>
      <w:marBottom w:val="0"/>
      <w:divBdr>
        <w:top w:val="none" w:sz="0" w:space="0" w:color="auto"/>
        <w:left w:val="none" w:sz="0" w:space="0" w:color="auto"/>
        <w:bottom w:val="none" w:sz="0" w:space="0" w:color="auto"/>
        <w:right w:val="none" w:sz="0" w:space="0" w:color="auto"/>
      </w:divBdr>
    </w:div>
    <w:div w:id="1356424318">
      <w:bodyDiv w:val="1"/>
      <w:marLeft w:val="0"/>
      <w:marRight w:val="0"/>
      <w:marTop w:val="0"/>
      <w:marBottom w:val="0"/>
      <w:divBdr>
        <w:top w:val="none" w:sz="0" w:space="0" w:color="auto"/>
        <w:left w:val="none" w:sz="0" w:space="0" w:color="auto"/>
        <w:bottom w:val="none" w:sz="0" w:space="0" w:color="auto"/>
        <w:right w:val="none" w:sz="0" w:space="0" w:color="auto"/>
      </w:divBdr>
      <w:divsChild>
        <w:div w:id="87313628">
          <w:marLeft w:val="0"/>
          <w:marRight w:val="0"/>
          <w:marTop w:val="0"/>
          <w:marBottom w:val="0"/>
          <w:divBdr>
            <w:top w:val="none" w:sz="0" w:space="0" w:color="auto"/>
            <w:left w:val="none" w:sz="0" w:space="0" w:color="auto"/>
            <w:bottom w:val="none" w:sz="0" w:space="0" w:color="auto"/>
            <w:right w:val="none" w:sz="0" w:space="0" w:color="auto"/>
          </w:divBdr>
        </w:div>
        <w:div w:id="359597245">
          <w:marLeft w:val="0"/>
          <w:marRight w:val="0"/>
          <w:marTop w:val="0"/>
          <w:marBottom w:val="0"/>
          <w:divBdr>
            <w:top w:val="none" w:sz="0" w:space="0" w:color="auto"/>
            <w:left w:val="none" w:sz="0" w:space="0" w:color="auto"/>
            <w:bottom w:val="none" w:sz="0" w:space="0" w:color="auto"/>
            <w:right w:val="none" w:sz="0" w:space="0" w:color="auto"/>
          </w:divBdr>
        </w:div>
        <w:div w:id="548151929">
          <w:marLeft w:val="0"/>
          <w:marRight w:val="0"/>
          <w:marTop w:val="0"/>
          <w:marBottom w:val="0"/>
          <w:divBdr>
            <w:top w:val="none" w:sz="0" w:space="0" w:color="auto"/>
            <w:left w:val="none" w:sz="0" w:space="0" w:color="auto"/>
            <w:bottom w:val="none" w:sz="0" w:space="0" w:color="auto"/>
            <w:right w:val="none" w:sz="0" w:space="0" w:color="auto"/>
          </w:divBdr>
        </w:div>
        <w:div w:id="737705488">
          <w:marLeft w:val="0"/>
          <w:marRight w:val="0"/>
          <w:marTop w:val="0"/>
          <w:marBottom w:val="0"/>
          <w:divBdr>
            <w:top w:val="none" w:sz="0" w:space="0" w:color="auto"/>
            <w:left w:val="none" w:sz="0" w:space="0" w:color="auto"/>
            <w:bottom w:val="none" w:sz="0" w:space="0" w:color="auto"/>
            <w:right w:val="none" w:sz="0" w:space="0" w:color="auto"/>
          </w:divBdr>
        </w:div>
        <w:div w:id="844973108">
          <w:marLeft w:val="0"/>
          <w:marRight w:val="0"/>
          <w:marTop w:val="0"/>
          <w:marBottom w:val="0"/>
          <w:divBdr>
            <w:top w:val="none" w:sz="0" w:space="0" w:color="auto"/>
            <w:left w:val="none" w:sz="0" w:space="0" w:color="auto"/>
            <w:bottom w:val="none" w:sz="0" w:space="0" w:color="auto"/>
            <w:right w:val="none" w:sz="0" w:space="0" w:color="auto"/>
          </w:divBdr>
        </w:div>
        <w:div w:id="1726685521">
          <w:marLeft w:val="0"/>
          <w:marRight w:val="0"/>
          <w:marTop w:val="0"/>
          <w:marBottom w:val="0"/>
          <w:divBdr>
            <w:top w:val="none" w:sz="0" w:space="0" w:color="auto"/>
            <w:left w:val="none" w:sz="0" w:space="0" w:color="auto"/>
            <w:bottom w:val="none" w:sz="0" w:space="0" w:color="auto"/>
            <w:right w:val="none" w:sz="0" w:space="0" w:color="auto"/>
          </w:divBdr>
        </w:div>
      </w:divsChild>
    </w:div>
    <w:div w:id="1359085797">
      <w:bodyDiv w:val="1"/>
      <w:marLeft w:val="0"/>
      <w:marRight w:val="0"/>
      <w:marTop w:val="0"/>
      <w:marBottom w:val="0"/>
      <w:divBdr>
        <w:top w:val="none" w:sz="0" w:space="0" w:color="auto"/>
        <w:left w:val="none" w:sz="0" w:space="0" w:color="auto"/>
        <w:bottom w:val="none" w:sz="0" w:space="0" w:color="auto"/>
        <w:right w:val="none" w:sz="0" w:space="0" w:color="auto"/>
      </w:divBdr>
    </w:div>
    <w:div w:id="1409501501">
      <w:bodyDiv w:val="1"/>
      <w:marLeft w:val="0"/>
      <w:marRight w:val="0"/>
      <w:marTop w:val="0"/>
      <w:marBottom w:val="0"/>
      <w:divBdr>
        <w:top w:val="none" w:sz="0" w:space="0" w:color="auto"/>
        <w:left w:val="none" w:sz="0" w:space="0" w:color="auto"/>
        <w:bottom w:val="none" w:sz="0" w:space="0" w:color="auto"/>
        <w:right w:val="none" w:sz="0" w:space="0" w:color="auto"/>
      </w:divBdr>
      <w:divsChild>
        <w:div w:id="54744992">
          <w:marLeft w:val="0"/>
          <w:marRight w:val="0"/>
          <w:marTop w:val="0"/>
          <w:marBottom w:val="0"/>
          <w:divBdr>
            <w:top w:val="none" w:sz="0" w:space="0" w:color="auto"/>
            <w:left w:val="none" w:sz="0" w:space="0" w:color="auto"/>
            <w:bottom w:val="none" w:sz="0" w:space="0" w:color="auto"/>
            <w:right w:val="none" w:sz="0" w:space="0" w:color="auto"/>
          </w:divBdr>
        </w:div>
        <w:div w:id="497187877">
          <w:marLeft w:val="0"/>
          <w:marRight w:val="0"/>
          <w:marTop w:val="0"/>
          <w:marBottom w:val="0"/>
          <w:divBdr>
            <w:top w:val="none" w:sz="0" w:space="0" w:color="auto"/>
            <w:left w:val="none" w:sz="0" w:space="0" w:color="auto"/>
            <w:bottom w:val="none" w:sz="0" w:space="0" w:color="auto"/>
            <w:right w:val="none" w:sz="0" w:space="0" w:color="auto"/>
          </w:divBdr>
        </w:div>
        <w:div w:id="876620550">
          <w:marLeft w:val="0"/>
          <w:marRight w:val="0"/>
          <w:marTop w:val="0"/>
          <w:marBottom w:val="0"/>
          <w:divBdr>
            <w:top w:val="none" w:sz="0" w:space="0" w:color="auto"/>
            <w:left w:val="none" w:sz="0" w:space="0" w:color="auto"/>
            <w:bottom w:val="none" w:sz="0" w:space="0" w:color="auto"/>
            <w:right w:val="none" w:sz="0" w:space="0" w:color="auto"/>
          </w:divBdr>
        </w:div>
        <w:div w:id="1176842824">
          <w:marLeft w:val="0"/>
          <w:marRight w:val="0"/>
          <w:marTop w:val="0"/>
          <w:marBottom w:val="0"/>
          <w:divBdr>
            <w:top w:val="none" w:sz="0" w:space="0" w:color="auto"/>
            <w:left w:val="none" w:sz="0" w:space="0" w:color="auto"/>
            <w:bottom w:val="none" w:sz="0" w:space="0" w:color="auto"/>
            <w:right w:val="none" w:sz="0" w:space="0" w:color="auto"/>
          </w:divBdr>
        </w:div>
        <w:div w:id="1637643184">
          <w:marLeft w:val="0"/>
          <w:marRight w:val="0"/>
          <w:marTop w:val="0"/>
          <w:marBottom w:val="0"/>
          <w:divBdr>
            <w:top w:val="none" w:sz="0" w:space="0" w:color="auto"/>
            <w:left w:val="none" w:sz="0" w:space="0" w:color="auto"/>
            <w:bottom w:val="none" w:sz="0" w:space="0" w:color="auto"/>
            <w:right w:val="none" w:sz="0" w:space="0" w:color="auto"/>
          </w:divBdr>
        </w:div>
      </w:divsChild>
    </w:div>
    <w:div w:id="1433741041">
      <w:bodyDiv w:val="1"/>
      <w:marLeft w:val="0"/>
      <w:marRight w:val="0"/>
      <w:marTop w:val="0"/>
      <w:marBottom w:val="0"/>
      <w:divBdr>
        <w:top w:val="none" w:sz="0" w:space="0" w:color="auto"/>
        <w:left w:val="none" w:sz="0" w:space="0" w:color="auto"/>
        <w:bottom w:val="none" w:sz="0" w:space="0" w:color="auto"/>
        <w:right w:val="none" w:sz="0" w:space="0" w:color="auto"/>
      </w:divBdr>
    </w:div>
    <w:div w:id="1438718089">
      <w:bodyDiv w:val="1"/>
      <w:marLeft w:val="0"/>
      <w:marRight w:val="0"/>
      <w:marTop w:val="0"/>
      <w:marBottom w:val="0"/>
      <w:divBdr>
        <w:top w:val="none" w:sz="0" w:space="0" w:color="auto"/>
        <w:left w:val="none" w:sz="0" w:space="0" w:color="auto"/>
        <w:bottom w:val="none" w:sz="0" w:space="0" w:color="auto"/>
        <w:right w:val="none" w:sz="0" w:space="0" w:color="auto"/>
      </w:divBdr>
      <w:divsChild>
        <w:div w:id="837504160">
          <w:marLeft w:val="0"/>
          <w:marRight w:val="0"/>
          <w:marTop w:val="0"/>
          <w:marBottom w:val="0"/>
          <w:divBdr>
            <w:top w:val="none" w:sz="0" w:space="0" w:color="auto"/>
            <w:left w:val="none" w:sz="0" w:space="0" w:color="auto"/>
            <w:bottom w:val="none" w:sz="0" w:space="0" w:color="auto"/>
            <w:right w:val="none" w:sz="0" w:space="0" w:color="auto"/>
          </w:divBdr>
        </w:div>
        <w:div w:id="877818913">
          <w:marLeft w:val="0"/>
          <w:marRight w:val="0"/>
          <w:marTop w:val="0"/>
          <w:marBottom w:val="0"/>
          <w:divBdr>
            <w:top w:val="none" w:sz="0" w:space="0" w:color="auto"/>
            <w:left w:val="none" w:sz="0" w:space="0" w:color="auto"/>
            <w:bottom w:val="none" w:sz="0" w:space="0" w:color="auto"/>
            <w:right w:val="none" w:sz="0" w:space="0" w:color="auto"/>
          </w:divBdr>
        </w:div>
        <w:div w:id="976497549">
          <w:marLeft w:val="0"/>
          <w:marRight w:val="0"/>
          <w:marTop w:val="0"/>
          <w:marBottom w:val="0"/>
          <w:divBdr>
            <w:top w:val="none" w:sz="0" w:space="0" w:color="auto"/>
            <w:left w:val="none" w:sz="0" w:space="0" w:color="auto"/>
            <w:bottom w:val="none" w:sz="0" w:space="0" w:color="auto"/>
            <w:right w:val="none" w:sz="0" w:space="0" w:color="auto"/>
          </w:divBdr>
        </w:div>
      </w:divsChild>
    </w:div>
    <w:div w:id="1440251252">
      <w:bodyDiv w:val="1"/>
      <w:marLeft w:val="0"/>
      <w:marRight w:val="0"/>
      <w:marTop w:val="0"/>
      <w:marBottom w:val="0"/>
      <w:divBdr>
        <w:top w:val="none" w:sz="0" w:space="0" w:color="auto"/>
        <w:left w:val="none" w:sz="0" w:space="0" w:color="auto"/>
        <w:bottom w:val="none" w:sz="0" w:space="0" w:color="auto"/>
        <w:right w:val="none" w:sz="0" w:space="0" w:color="auto"/>
      </w:divBdr>
    </w:div>
    <w:div w:id="1440568692">
      <w:bodyDiv w:val="1"/>
      <w:marLeft w:val="0"/>
      <w:marRight w:val="0"/>
      <w:marTop w:val="0"/>
      <w:marBottom w:val="0"/>
      <w:divBdr>
        <w:top w:val="none" w:sz="0" w:space="0" w:color="auto"/>
        <w:left w:val="none" w:sz="0" w:space="0" w:color="auto"/>
        <w:bottom w:val="none" w:sz="0" w:space="0" w:color="auto"/>
        <w:right w:val="none" w:sz="0" w:space="0" w:color="auto"/>
      </w:divBdr>
    </w:div>
    <w:div w:id="1441334421">
      <w:bodyDiv w:val="1"/>
      <w:marLeft w:val="0"/>
      <w:marRight w:val="0"/>
      <w:marTop w:val="0"/>
      <w:marBottom w:val="0"/>
      <w:divBdr>
        <w:top w:val="none" w:sz="0" w:space="0" w:color="auto"/>
        <w:left w:val="none" w:sz="0" w:space="0" w:color="auto"/>
        <w:bottom w:val="none" w:sz="0" w:space="0" w:color="auto"/>
        <w:right w:val="none" w:sz="0" w:space="0" w:color="auto"/>
      </w:divBdr>
    </w:div>
    <w:div w:id="1451247281">
      <w:bodyDiv w:val="1"/>
      <w:marLeft w:val="0"/>
      <w:marRight w:val="0"/>
      <w:marTop w:val="0"/>
      <w:marBottom w:val="0"/>
      <w:divBdr>
        <w:top w:val="none" w:sz="0" w:space="0" w:color="auto"/>
        <w:left w:val="none" w:sz="0" w:space="0" w:color="auto"/>
        <w:bottom w:val="none" w:sz="0" w:space="0" w:color="auto"/>
        <w:right w:val="none" w:sz="0" w:space="0" w:color="auto"/>
      </w:divBdr>
    </w:div>
    <w:div w:id="1465001542">
      <w:bodyDiv w:val="1"/>
      <w:marLeft w:val="0"/>
      <w:marRight w:val="0"/>
      <w:marTop w:val="0"/>
      <w:marBottom w:val="0"/>
      <w:divBdr>
        <w:top w:val="none" w:sz="0" w:space="0" w:color="auto"/>
        <w:left w:val="none" w:sz="0" w:space="0" w:color="auto"/>
        <w:bottom w:val="none" w:sz="0" w:space="0" w:color="auto"/>
        <w:right w:val="none" w:sz="0" w:space="0" w:color="auto"/>
      </w:divBdr>
    </w:div>
    <w:div w:id="1481968109">
      <w:bodyDiv w:val="1"/>
      <w:marLeft w:val="0"/>
      <w:marRight w:val="0"/>
      <w:marTop w:val="0"/>
      <w:marBottom w:val="0"/>
      <w:divBdr>
        <w:top w:val="none" w:sz="0" w:space="0" w:color="auto"/>
        <w:left w:val="none" w:sz="0" w:space="0" w:color="auto"/>
        <w:bottom w:val="none" w:sz="0" w:space="0" w:color="auto"/>
        <w:right w:val="none" w:sz="0" w:space="0" w:color="auto"/>
      </w:divBdr>
      <w:divsChild>
        <w:div w:id="1987278158">
          <w:marLeft w:val="547"/>
          <w:marRight w:val="0"/>
          <w:marTop w:val="0"/>
          <w:marBottom w:val="0"/>
          <w:divBdr>
            <w:top w:val="none" w:sz="0" w:space="0" w:color="auto"/>
            <w:left w:val="none" w:sz="0" w:space="0" w:color="auto"/>
            <w:bottom w:val="none" w:sz="0" w:space="0" w:color="auto"/>
            <w:right w:val="none" w:sz="0" w:space="0" w:color="auto"/>
          </w:divBdr>
        </w:div>
      </w:divsChild>
    </w:div>
    <w:div w:id="1486701419">
      <w:bodyDiv w:val="1"/>
      <w:marLeft w:val="0"/>
      <w:marRight w:val="0"/>
      <w:marTop w:val="0"/>
      <w:marBottom w:val="0"/>
      <w:divBdr>
        <w:top w:val="none" w:sz="0" w:space="0" w:color="auto"/>
        <w:left w:val="none" w:sz="0" w:space="0" w:color="auto"/>
        <w:bottom w:val="none" w:sz="0" w:space="0" w:color="auto"/>
        <w:right w:val="none" w:sz="0" w:space="0" w:color="auto"/>
      </w:divBdr>
    </w:div>
    <w:div w:id="1507011195">
      <w:bodyDiv w:val="1"/>
      <w:marLeft w:val="0"/>
      <w:marRight w:val="0"/>
      <w:marTop w:val="0"/>
      <w:marBottom w:val="0"/>
      <w:divBdr>
        <w:top w:val="none" w:sz="0" w:space="0" w:color="auto"/>
        <w:left w:val="none" w:sz="0" w:space="0" w:color="auto"/>
        <w:bottom w:val="none" w:sz="0" w:space="0" w:color="auto"/>
        <w:right w:val="none" w:sz="0" w:space="0" w:color="auto"/>
      </w:divBdr>
    </w:div>
    <w:div w:id="1507983985">
      <w:bodyDiv w:val="1"/>
      <w:marLeft w:val="0"/>
      <w:marRight w:val="0"/>
      <w:marTop w:val="0"/>
      <w:marBottom w:val="0"/>
      <w:divBdr>
        <w:top w:val="none" w:sz="0" w:space="0" w:color="auto"/>
        <w:left w:val="none" w:sz="0" w:space="0" w:color="auto"/>
        <w:bottom w:val="none" w:sz="0" w:space="0" w:color="auto"/>
        <w:right w:val="none" w:sz="0" w:space="0" w:color="auto"/>
      </w:divBdr>
    </w:div>
    <w:div w:id="1511066465">
      <w:bodyDiv w:val="1"/>
      <w:marLeft w:val="0"/>
      <w:marRight w:val="0"/>
      <w:marTop w:val="0"/>
      <w:marBottom w:val="0"/>
      <w:divBdr>
        <w:top w:val="none" w:sz="0" w:space="0" w:color="auto"/>
        <w:left w:val="none" w:sz="0" w:space="0" w:color="auto"/>
        <w:bottom w:val="none" w:sz="0" w:space="0" w:color="auto"/>
        <w:right w:val="none" w:sz="0" w:space="0" w:color="auto"/>
      </w:divBdr>
    </w:div>
    <w:div w:id="1529223972">
      <w:bodyDiv w:val="1"/>
      <w:marLeft w:val="0"/>
      <w:marRight w:val="0"/>
      <w:marTop w:val="0"/>
      <w:marBottom w:val="0"/>
      <w:divBdr>
        <w:top w:val="none" w:sz="0" w:space="0" w:color="auto"/>
        <w:left w:val="none" w:sz="0" w:space="0" w:color="auto"/>
        <w:bottom w:val="none" w:sz="0" w:space="0" w:color="auto"/>
        <w:right w:val="none" w:sz="0" w:space="0" w:color="auto"/>
      </w:divBdr>
    </w:div>
    <w:div w:id="1554534901">
      <w:bodyDiv w:val="1"/>
      <w:marLeft w:val="0"/>
      <w:marRight w:val="0"/>
      <w:marTop w:val="0"/>
      <w:marBottom w:val="0"/>
      <w:divBdr>
        <w:top w:val="none" w:sz="0" w:space="0" w:color="auto"/>
        <w:left w:val="none" w:sz="0" w:space="0" w:color="auto"/>
        <w:bottom w:val="none" w:sz="0" w:space="0" w:color="auto"/>
        <w:right w:val="none" w:sz="0" w:space="0" w:color="auto"/>
      </w:divBdr>
    </w:div>
    <w:div w:id="1563557914">
      <w:bodyDiv w:val="1"/>
      <w:marLeft w:val="0"/>
      <w:marRight w:val="0"/>
      <w:marTop w:val="0"/>
      <w:marBottom w:val="0"/>
      <w:divBdr>
        <w:top w:val="none" w:sz="0" w:space="0" w:color="auto"/>
        <w:left w:val="none" w:sz="0" w:space="0" w:color="auto"/>
        <w:bottom w:val="none" w:sz="0" w:space="0" w:color="auto"/>
        <w:right w:val="none" w:sz="0" w:space="0" w:color="auto"/>
      </w:divBdr>
      <w:divsChild>
        <w:div w:id="1571620730">
          <w:marLeft w:val="0"/>
          <w:marRight w:val="0"/>
          <w:marTop w:val="0"/>
          <w:marBottom w:val="0"/>
          <w:divBdr>
            <w:top w:val="none" w:sz="0" w:space="0" w:color="auto"/>
            <w:left w:val="none" w:sz="0" w:space="0" w:color="auto"/>
            <w:bottom w:val="none" w:sz="0" w:space="0" w:color="auto"/>
            <w:right w:val="none" w:sz="0" w:space="0" w:color="auto"/>
          </w:divBdr>
          <w:divsChild>
            <w:div w:id="1580942693">
              <w:marLeft w:val="0"/>
              <w:marRight w:val="0"/>
              <w:marTop w:val="0"/>
              <w:marBottom w:val="0"/>
              <w:divBdr>
                <w:top w:val="none" w:sz="0" w:space="0" w:color="auto"/>
                <w:left w:val="none" w:sz="0" w:space="0" w:color="auto"/>
                <w:bottom w:val="none" w:sz="0" w:space="0" w:color="auto"/>
                <w:right w:val="none" w:sz="0" w:space="0" w:color="auto"/>
              </w:divBdr>
              <w:divsChild>
                <w:div w:id="492793883">
                  <w:marLeft w:val="0"/>
                  <w:marRight w:val="0"/>
                  <w:marTop w:val="0"/>
                  <w:marBottom w:val="0"/>
                  <w:divBdr>
                    <w:top w:val="none" w:sz="0" w:space="0" w:color="auto"/>
                    <w:left w:val="none" w:sz="0" w:space="0" w:color="auto"/>
                    <w:bottom w:val="none" w:sz="0" w:space="0" w:color="auto"/>
                    <w:right w:val="none" w:sz="0" w:space="0" w:color="auto"/>
                  </w:divBdr>
                  <w:divsChild>
                    <w:div w:id="1847673057">
                      <w:marLeft w:val="0"/>
                      <w:marRight w:val="0"/>
                      <w:marTop w:val="0"/>
                      <w:marBottom w:val="0"/>
                      <w:divBdr>
                        <w:top w:val="none" w:sz="0" w:space="0" w:color="auto"/>
                        <w:left w:val="none" w:sz="0" w:space="0" w:color="auto"/>
                        <w:bottom w:val="none" w:sz="0" w:space="0" w:color="auto"/>
                        <w:right w:val="none" w:sz="0" w:space="0" w:color="auto"/>
                      </w:divBdr>
                      <w:divsChild>
                        <w:div w:id="686104995">
                          <w:marLeft w:val="0"/>
                          <w:marRight w:val="0"/>
                          <w:marTop w:val="0"/>
                          <w:marBottom w:val="494"/>
                          <w:divBdr>
                            <w:top w:val="none" w:sz="0" w:space="0" w:color="auto"/>
                            <w:left w:val="none" w:sz="0" w:space="0" w:color="auto"/>
                            <w:bottom w:val="none" w:sz="0" w:space="0" w:color="auto"/>
                            <w:right w:val="none" w:sz="0" w:space="0" w:color="auto"/>
                          </w:divBdr>
                          <w:divsChild>
                            <w:div w:id="1086997393">
                              <w:marLeft w:val="0"/>
                              <w:marRight w:val="0"/>
                              <w:marTop w:val="0"/>
                              <w:marBottom w:val="0"/>
                              <w:divBdr>
                                <w:top w:val="none" w:sz="0" w:space="0" w:color="auto"/>
                                <w:left w:val="none" w:sz="0" w:space="0" w:color="auto"/>
                                <w:bottom w:val="none" w:sz="0" w:space="0" w:color="auto"/>
                                <w:right w:val="none" w:sz="0" w:space="0" w:color="auto"/>
                              </w:divBdr>
                              <w:divsChild>
                                <w:div w:id="936328635">
                                  <w:marLeft w:val="0"/>
                                  <w:marRight w:val="0"/>
                                  <w:marTop w:val="0"/>
                                  <w:marBottom w:val="0"/>
                                  <w:divBdr>
                                    <w:top w:val="none" w:sz="0" w:space="0" w:color="auto"/>
                                    <w:left w:val="none" w:sz="0" w:space="0" w:color="auto"/>
                                    <w:bottom w:val="none" w:sz="0" w:space="0" w:color="auto"/>
                                    <w:right w:val="none" w:sz="0" w:space="0" w:color="auto"/>
                                  </w:divBdr>
                                  <w:divsChild>
                                    <w:div w:id="8186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849576">
      <w:bodyDiv w:val="1"/>
      <w:marLeft w:val="0"/>
      <w:marRight w:val="0"/>
      <w:marTop w:val="0"/>
      <w:marBottom w:val="0"/>
      <w:divBdr>
        <w:top w:val="none" w:sz="0" w:space="0" w:color="auto"/>
        <w:left w:val="none" w:sz="0" w:space="0" w:color="auto"/>
        <w:bottom w:val="none" w:sz="0" w:space="0" w:color="auto"/>
        <w:right w:val="none" w:sz="0" w:space="0" w:color="auto"/>
      </w:divBdr>
    </w:div>
    <w:div w:id="1611665777">
      <w:bodyDiv w:val="1"/>
      <w:marLeft w:val="0"/>
      <w:marRight w:val="0"/>
      <w:marTop w:val="0"/>
      <w:marBottom w:val="0"/>
      <w:divBdr>
        <w:top w:val="none" w:sz="0" w:space="0" w:color="auto"/>
        <w:left w:val="none" w:sz="0" w:space="0" w:color="auto"/>
        <w:bottom w:val="none" w:sz="0" w:space="0" w:color="auto"/>
        <w:right w:val="none" w:sz="0" w:space="0" w:color="auto"/>
      </w:divBdr>
    </w:div>
    <w:div w:id="1622147135">
      <w:bodyDiv w:val="1"/>
      <w:marLeft w:val="0"/>
      <w:marRight w:val="0"/>
      <w:marTop w:val="0"/>
      <w:marBottom w:val="0"/>
      <w:divBdr>
        <w:top w:val="none" w:sz="0" w:space="0" w:color="auto"/>
        <w:left w:val="none" w:sz="0" w:space="0" w:color="auto"/>
        <w:bottom w:val="none" w:sz="0" w:space="0" w:color="auto"/>
        <w:right w:val="none" w:sz="0" w:space="0" w:color="auto"/>
      </w:divBdr>
      <w:divsChild>
        <w:div w:id="577129436">
          <w:marLeft w:val="0"/>
          <w:marRight w:val="0"/>
          <w:marTop w:val="100"/>
          <w:marBottom w:val="100"/>
          <w:divBdr>
            <w:top w:val="none" w:sz="0" w:space="0" w:color="auto"/>
            <w:left w:val="none" w:sz="0" w:space="0" w:color="auto"/>
            <w:bottom w:val="none" w:sz="0" w:space="0" w:color="auto"/>
            <w:right w:val="none" w:sz="0" w:space="0" w:color="auto"/>
          </w:divBdr>
          <w:divsChild>
            <w:div w:id="1737824762">
              <w:marLeft w:val="0"/>
              <w:marRight w:val="0"/>
              <w:marTop w:val="0"/>
              <w:marBottom w:val="0"/>
              <w:divBdr>
                <w:top w:val="none" w:sz="0" w:space="0" w:color="auto"/>
                <w:left w:val="none" w:sz="0" w:space="0" w:color="auto"/>
                <w:bottom w:val="none" w:sz="0" w:space="0" w:color="auto"/>
                <w:right w:val="none" w:sz="0" w:space="0" w:color="auto"/>
              </w:divBdr>
              <w:divsChild>
                <w:div w:id="1729761537">
                  <w:marLeft w:val="0"/>
                  <w:marRight w:val="0"/>
                  <w:marTop w:val="0"/>
                  <w:marBottom w:val="0"/>
                  <w:divBdr>
                    <w:top w:val="none" w:sz="0" w:space="0" w:color="auto"/>
                    <w:left w:val="none" w:sz="0" w:space="0" w:color="auto"/>
                    <w:bottom w:val="none" w:sz="0" w:space="0" w:color="auto"/>
                    <w:right w:val="none" w:sz="0" w:space="0" w:color="auto"/>
                  </w:divBdr>
                  <w:divsChild>
                    <w:div w:id="1199077300">
                      <w:marLeft w:val="0"/>
                      <w:marRight w:val="0"/>
                      <w:marTop w:val="0"/>
                      <w:marBottom w:val="0"/>
                      <w:divBdr>
                        <w:top w:val="none" w:sz="0" w:space="0" w:color="auto"/>
                        <w:left w:val="none" w:sz="0" w:space="0" w:color="auto"/>
                        <w:bottom w:val="none" w:sz="0" w:space="0" w:color="auto"/>
                        <w:right w:val="none" w:sz="0" w:space="0" w:color="auto"/>
                      </w:divBdr>
                      <w:divsChild>
                        <w:div w:id="2145192282">
                          <w:marLeft w:val="0"/>
                          <w:marRight w:val="0"/>
                          <w:marTop w:val="0"/>
                          <w:marBottom w:val="0"/>
                          <w:divBdr>
                            <w:top w:val="none" w:sz="0" w:space="0" w:color="auto"/>
                            <w:left w:val="none" w:sz="0" w:space="0" w:color="auto"/>
                            <w:bottom w:val="none" w:sz="0" w:space="0" w:color="auto"/>
                            <w:right w:val="none" w:sz="0" w:space="0" w:color="auto"/>
                          </w:divBdr>
                          <w:divsChild>
                            <w:div w:id="1932473134">
                              <w:marLeft w:val="0"/>
                              <w:marRight w:val="0"/>
                              <w:marTop w:val="0"/>
                              <w:marBottom w:val="0"/>
                              <w:divBdr>
                                <w:top w:val="none" w:sz="0" w:space="0" w:color="auto"/>
                                <w:left w:val="none" w:sz="0" w:space="0" w:color="auto"/>
                                <w:bottom w:val="none" w:sz="0" w:space="0" w:color="auto"/>
                                <w:right w:val="none" w:sz="0" w:space="0" w:color="auto"/>
                              </w:divBdr>
                              <w:divsChild>
                                <w:div w:id="14344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16370">
      <w:bodyDiv w:val="1"/>
      <w:marLeft w:val="0"/>
      <w:marRight w:val="0"/>
      <w:marTop w:val="0"/>
      <w:marBottom w:val="0"/>
      <w:divBdr>
        <w:top w:val="none" w:sz="0" w:space="0" w:color="auto"/>
        <w:left w:val="none" w:sz="0" w:space="0" w:color="auto"/>
        <w:bottom w:val="none" w:sz="0" w:space="0" w:color="auto"/>
        <w:right w:val="none" w:sz="0" w:space="0" w:color="auto"/>
      </w:divBdr>
      <w:divsChild>
        <w:div w:id="1035037189">
          <w:marLeft w:val="0"/>
          <w:marRight w:val="0"/>
          <w:marTop w:val="0"/>
          <w:marBottom w:val="0"/>
          <w:divBdr>
            <w:top w:val="none" w:sz="0" w:space="0" w:color="auto"/>
            <w:left w:val="none" w:sz="0" w:space="0" w:color="auto"/>
            <w:bottom w:val="none" w:sz="0" w:space="0" w:color="auto"/>
            <w:right w:val="none" w:sz="0" w:space="0" w:color="auto"/>
          </w:divBdr>
          <w:divsChild>
            <w:div w:id="759260095">
              <w:marLeft w:val="0"/>
              <w:marRight w:val="0"/>
              <w:marTop w:val="0"/>
              <w:marBottom w:val="0"/>
              <w:divBdr>
                <w:top w:val="none" w:sz="0" w:space="0" w:color="auto"/>
                <w:left w:val="none" w:sz="0" w:space="0" w:color="auto"/>
                <w:bottom w:val="none" w:sz="0" w:space="0" w:color="auto"/>
                <w:right w:val="none" w:sz="0" w:space="0" w:color="auto"/>
              </w:divBdr>
              <w:divsChild>
                <w:div w:id="1331982699">
                  <w:marLeft w:val="0"/>
                  <w:marRight w:val="0"/>
                  <w:marTop w:val="0"/>
                  <w:marBottom w:val="0"/>
                  <w:divBdr>
                    <w:top w:val="none" w:sz="0" w:space="0" w:color="auto"/>
                    <w:left w:val="none" w:sz="0" w:space="0" w:color="auto"/>
                    <w:bottom w:val="none" w:sz="0" w:space="0" w:color="auto"/>
                    <w:right w:val="none" w:sz="0" w:space="0" w:color="auto"/>
                  </w:divBdr>
                  <w:divsChild>
                    <w:div w:id="1947928332">
                      <w:marLeft w:val="0"/>
                      <w:marRight w:val="0"/>
                      <w:marTop w:val="0"/>
                      <w:marBottom w:val="0"/>
                      <w:divBdr>
                        <w:top w:val="none" w:sz="0" w:space="0" w:color="auto"/>
                        <w:left w:val="none" w:sz="0" w:space="0" w:color="auto"/>
                        <w:bottom w:val="none" w:sz="0" w:space="0" w:color="auto"/>
                        <w:right w:val="none" w:sz="0" w:space="0" w:color="auto"/>
                      </w:divBdr>
                      <w:divsChild>
                        <w:div w:id="2141651734">
                          <w:marLeft w:val="0"/>
                          <w:marRight w:val="0"/>
                          <w:marTop w:val="0"/>
                          <w:marBottom w:val="494"/>
                          <w:divBdr>
                            <w:top w:val="none" w:sz="0" w:space="0" w:color="auto"/>
                            <w:left w:val="none" w:sz="0" w:space="0" w:color="auto"/>
                            <w:bottom w:val="none" w:sz="0" w:space="0" w:color="auto"/>
                            <w:right w:val="none" w:sz="0" w:space="0" w:color="auto"/>
                          </w:divBdr>
                          <w:divsChild>
                            <w:div w:id="1464932831">
                              <w:marLeft w:val="0"/>
                              <w:marRight w:val="0"/>
                              <w:marTop w:val="0"/>
                              <w:marBottom w:val="0"/>
                              <w:divBdr>
                                <w:top w:val="none" w:sz="0" w:space="0" w:color="auto"/>
                                <w:left w:val="none" w:sz="0" w:space="0" w:color="auto"/>
                                <w:bottom w:val="none" w:sz="0" w:space="0" w:color="auto"/>
                                <w:right w:val="none" w:sz="0" w:space="0" w:color="auto"/>
                              </w:divBdr>
                              <w:divsChild>
                                <w:div w:id="577053607">
                                  <w:marLeft w:val="0"/>
                                  <w:marRight w:val="0"/>
                                  <w:marTop w:val="0"/>
                                  <w:marBottom w:val="0"/>
                                  <w:divBdr>
                                    <w:top w:val="none" w:sz="0" w:space="0" w:color="auto"/>
                                    <w:left w:val="none" w:sz="0" w:space="0" w:color="auto"/>
                                    <w:bottom w:val="none" w:sz="0" w:space="0" w:color="auto"/>
                                    <w:right w:val="none" w:sz="0" w:space="0" w:color="auto"/>
                                  </w:divBdr>
                                  <w:divsChild>
                                    <w:div w:id="7735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513615">
      <w:bodyDiv w:val="1"/>
      <w:marLeft w:val="0"/>
      <w:marRight w:val="0"/>
      <w:marTop w:val="0"/>
      <w:marBottom w:val="0"/>
      <w:divBdr>
        <w:top w:val="none" w:sz="0" w:space="0" w:color="auto"/>
        <w:left w:val="none" w:sz="0" w:space="0" w:color="auto"/>
        <w:bottom w:val="none" w:sz="0" w:space="0" w:color="auto"/>
        <w:right w:val="none" w:sz="0" w:space="0" w:color="auto"/>
      </w:divBdr>
    </w:div>
    <w:div w:id="1637027969">
      <w:bodyDiv w:val="1"/>
      <w:marLeft w:val="0"/>
      <w:marRight w:val="0"/>
      <w:marTop w:val="0"/>
      <w:marBottom w:val="0"/>
      <w:divBdr>
        <w:top w:val="none" w:sz="0" w:space="0" w:color="auto"/>
        <w:left w:val="none" w:sz="0" w:space="0" w:color="auto"/>
        <w:bottom w:val="none" w:sz="0" w:space="0" w:color="auto"/>
        <w:right w:val="none" w:sz="0" w:space="0" w:color="auto"/>
      </w:divBdr>
    </w:div>
    <w:div w:id="1647129065">
      <w:bodyDiv w:val="1"/>
      <w:marLeft w:val="0"/>
      <w:marRight w:val="0"/>
      <w:marTop w:val="0"/>
      <w:marBottom w:val="0"/>
      <w:divBdr>
        <w:top w:val="none" w:sz="0" w:space="0" w:color="auto"/>
        <w:left w:val="none" w:sz="0" w:space="0" w:color="auto"/>
        <w:bottom w:val="none" w:sz="0" w:space="0" w:color="auto"/>
        <w:right w:val="none" w:sz="0" w:space="0" w:color="auto"/>
      </w:divBdr>
    </w:div>
    <w:div w:id="1664968173">
      <w:bodyDiv w:val="1"/>
      <w:marLeft w:val="0"/>
      <w:marRight w:val="0"/>
      <w:marTop w:val="0"/>
      <w:marBottom w:val="0"/>
      <w:divBdr>
        <w:top w:val="none" w:sz="0" w:space="0" w:color="auto"/>
        <w:left w:val="none" w:sz="0" w:space="0" w:color="auto"/>
        <w:bottom w:val="none" w:sz="0" w:space="0" w:color="auto"/>
        <w:right w:val="none" w:sz="0" w:space="0" w:color="auto"/>
      </w:divBdr>
    </w:div>
    <w:div w:id="1711106106">
      <w:bodyDiv w:val="1"/>
      <w:marLeft w:val="0"/>
      <w:marRight w:val="0"/>
      <w:marTop w:val="0"/>
      <w:marBottom w:val="0"/>
      <w:divBdr>
        <w:top w:val="none" w:sz="0" w:space="0" w:color="auto"/>
        <w:left w:val="none" w:sz="0" w:space="0" w:color="auto"/>
        <w:bottom w:val="none" w:sz="0" w:space="0" w:color="auto"/>
        <w:right w:val="none" w:sz="0" w:space="0" w:color="auto"/>
      </w:divBdr>
      <w:divsChild>
        <w:div w:id="430004860">
          <w:marLeft w:val="0"/>
          <w:marRight w:val="0"/>
          <w:marTop w:val="0"/>
          <w:marBottom w:val="0"/>
          <w:divBdr>
            <w:top w:val="none" w:sz="0" w:space="0" w:color="auto"/>
            <w:left w:val="none" w:sz="0" w:space="0" w:color="auto"/>
            <w:bottom w:val="none" w:sz="0" w:space="0" w:color="auto"/>
            <w:right w:val="none" w:sz="0" w:space="0" w:color="auto"/>
          </w:divBdr>
        </w:div>
      </w:divsChild>
    </w:div>
    <w:div w:id="1716347240">
      <w:bodyDiv w:val="1"/>
      <w:marLeft w:val="0"/>
      <w:marRight w:val="0"/>
      <w:marTop w:val="0"/>
      <w:marBottom w:val="0"/>
      <w:divBdr>
        <w:top w:val="none" w:sz="0" w:space="0" w:color="auto"/>
        <w:left w:val="none" w:sz="0" w:space="0" w:color="auto"/>
        <w:bottom w:val="none" w:sz="0" w:space="0" w:color="auto"/>
        <w:right w:val="none" w:sz="0" w:space="0" w:color="auto"/>
      </w:divBdr>
    </w:div>
    <w:div w:id="1740983509">
      <w:bodyDiv w:val="1"/>
      <w:marLeft w:val="0"/>
      <w:marRight w:val="0"/>
      <w:marTop w:val="0"/>
      <w:marBottom w:val="0"/>
      <w:divBdr>
        <w:top w:val="none" w:sz="0" w:space="0" w:color="auto"/>
        <w:left w:val="none" w:sz="0" w:space="0" w:color="auto"/>
        <w:bottom w:val="none" w:sz="0" w:space="0" w:color="auto"/>
        <w:right w:val="none" w:sz="0" w:space="0" w:color="auto"/>
      </w:divBdr>
    </w:div>
    <w:div w:id="1747997264">
      <w:bodyDiv w:val="1"/>
      <w:marLeft w:val="0"/>
      <w:marRight w:val="0"/>
      <w:marTop w:val="0"/>
      <w:marBottom w:val="0"/>
      <w:divBdr>
        <w:top w:val="none" w:sz="0" w:space="0" w:color="auto"/>
        <w:left w:val="none" w:sz="0" w:space="0" w:color="auto"/>
        <w:bottom w:val="none" w:sz="0" w:space="0" w:color="auto"/>
        <w:right w:val="none" w:sz="0" w:space="0" w:color="auto"/>
      </w:divBdr>
    </w:div>
    <w:div w:id="1767379684">
      <w:bodyDiv w:val="1"/>
      <w:marLeft w:val="0"/>
      <w:marRight w:val="0"/>
      <w:marTop w:val="0"/>
      <w:marBottom w:val="0"/>
      <w:divBdr>
        <w:top w:val="none" w:sz="0" w:space="0" w:color="auto"/>
        <w:left w:val="none" w:sz="0" w:space="0" w:color="auto"/>
        <w:bottom w:val="none" w:sz="0" w:space="0" w:color="auto"/>
        <w:right w:val="none" w:sz="0" w:space="0" w:color="auto"/>
      </w:divBdr>
    </w:div>
    <w:div w:id="1801611729">
      <w:bodyDiv w:val="1"/>
      <w:marLeft w:val="0"/>
      <w:marRight w:val="0"/>
      <w:marTop w:val="0"/>
      <w:marBottom w:val="0"/>
      <w:divBdr>
        <w:top w:val="none" w:sz="0" w:space="0" w:color="auto"/>
        <w:left w:val="none" w:sz="0" w:space="0" w:color="auto"/>
        <w:bottom w:val="none" w:sz="0" w:space="0" w:color="auto"/>
        <w:right w:val="none" w:sz="0" w:space="0" w:color="auto"/>
      </w:divBdr>
    </w:div>
    <w:div w:id="1802766054">
      <w:bodyDiv w:val="1"/>
      <w:marLeft w:val="0"/>
      <w:marRight w:val="0"/>
      <w:marTop w:val="0"/>
      <w:marBottom w:val="0"/>
      <w:divBdr>
        <w:top w:val="none" w:sz="0" w:space="0" w:color="auto"/>
        <w:left w:val="none" w:sz="0" w:space="0" w:color="auto"/>
        <w:bottom w:val="none" w:sz="0" w:space="0" w:color="auto"/>
        <w:right w:val="none" w:sz="0" w:space="0" w:color="auto"/>
      </w:divBdr>
    </w:div>
    <w:div w:id="1872375098">
      <w:bodyDiv w:val="1"/>
      <w:marLeft w:val="0"/>
      <w:marRight w:val="0"/>
      <w:marTop w:val="0"/>
      <w:marBottom w:val="0"/>
      <w:divBdr>
        <w:top w:val="none" w:sz="0" w:space="0" w:color="auto"/>
        <w:left w:val="none" w:sz="0" w:space="0" w:color="auto"/>
        <w:bottom w:val="none" w:sz="0" w:space="0" w:color="auto"/>
        <w:right w:val="none" w:sz="0" w:space="0" w:color="auto"/>
      </w:divBdr>
      <w:divsChild>
        <w:div w:id="648175926">
          <w:marLeft w:val="0"/>
          <w:marRight w:val="0"/>
          <w:marTop w:val="0"/>
          <w:marBottom w:val="0"/>
          <w:divBdr>
            <w:top w:val="none" w:sz="0" w:space="0" w:color="auto"/>
            <w:left w:val="none" w:sz="0" w:space="0" w:color="auto"/>
            <w:bottom w:val="none" w:sz="0" w:space="0" w:color="auto"/>
            <w:right w:val="none" w:sz="0" w:space="0" w:color="auto"/>
          </w:divBdr>
          <w:divsChild>
            <w:div w:id="17716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407">
      <w:bodyDiv w:val="1"/>
      <w:marLeft w:val="0"/>
      <w:marRight w:val="0"/>
      <w:marTop w:val="0"/>
      <w:marBottom w:val="0"/>
      <w:divBdr>
        <w:top w:val="none" w:sz="0" w:space="0" w:color="auto"/>
        <w:left w:val="none" w:sz="0" w:space="0" w:color="auto"/>
        <w:bottom w:val="none" w:sz="0" w:space="0" w:color="auto"/>
        <w:right w:val="none" w:sz="0" w:space="0" w:color="auto"/>
      </w:divBdr>
    </w:div>
    <w:div w:id="1901672888">
      <w:bodyDiv w:val="1"/>
      <w:marLeft w:val="0"/>
      <w:marRight w:val="0"/>
      <w:marTop w:val="0"/>
      <w:marBottom w:val="0"/>
      <w:divBdr>
        <w:top w:val="none" w:sz="0" w:space="0" w:color="auto"/>
        <w:left w:val="none" w:sz="0" w:space="0" w:color="auto"/>
        <w:bottom w:val="none" w:sz="0" w:space="0" w:color="auto"/>
        <w:right w:val="none" w:sz="0" w:space="0" w:color="auto"/>
      </w:divBdr>
    </w:div>
    <w:div w:id="1906061972">
      <w:bodyDiv w:val="1"/>
      <w:marLeft w:val="0"/>
      <w:marRight w:val="0"/>
      <w:marTop w:val="0"/>
      <w:marBottom w:val="0"/>
      <w:divBdr>
        <w:top w:val="none" w:sz="0" w:space="0" w:color="auto"/>
        <w:left w:val="none" w:sz="0" w:space="0" w:color="auto"/>
        <w:bottom w:val="none" w:sz="0" w:space="0" w:color="auto"/>
        <w:right w:val="none" w:sz="0" w:space="0" w:color="auto"/>
      </w:divBdr>
    </w:div>
    <w:div w:id="1938366970">
      <w:bodyDiv w:val="1"/>
      <w:marLeft w:val="0"/>
      <w:marRight w:val="0"/>
      <w:marTop w:val="0"/>
      <w:marBottom w:val="0"/>
      <w:divBdr>
        <w:top w:val="none" w:sz="0" w:space="0" w:color="auto"/>
        <w:left w:val="none" w:sz="0" w:space="0" w:color="auto"/>
        <w:bottom w:val="none" w:sz="0" w:space="0" w:color="auto"/>
        <w:right w:val="none" w:sz="0" w:space="0" w:color="auto"/>
      </w:divBdr>
      <w:divsChild>
        <w:div w:id="1256860621">
          <w:marLeft w:val="0"/>
          <w:marRight w:val="0"/>
          <w:marTop w:val="0"/>
          <w:marBottom w:val="0"/>
          <w:divBdr>
            <w:top w:val="none" w:sz="0" w:space="0" w:color="auto"/>
            <w:left w:val="none" w:sz="0" w:space="0" w:color="auto"/>
            <w:bottom w:val="none" w:sz="0" w:space="0" w:color="auto"/>
            <w:right w:val="none" w:sz="0" w:space="0" w:color="auto"/>
          </w:divBdr>
          <w:divsChild>
            <w:div w:id="2039744081">
              <w:marLeft w:val="0"/>
              <w:marRight w:val="0"/>
              <w:marTop w:val="430"/>
              <w:marBottom w:val="0"/>
              <w:divBdr>
                <w:top w:val="none" w:sz="0" w:space="0" w:color="auto"/>
                <w:left w:val="none" w:sz="0" w:space="0" w:color="auto"/>
                <w:bottom w:val="none" w:sz="0" w:space="0" w:color="auto"/>
                <w:right w:val="none" w:sz="0" w:space="0" w:color="auto"/>
              </w:divBdr>
              <w:divsChild>
                <w:div w:id="1665739215">
                  <w:marLeft w:val="0"/>
                  <w:marRight w:val="0"/>
                  <w:marTop w:val="0"/>
                  <w:marBottom w:val="0"/>
                  <w:divBdr>
                    <w:top w:val="none" w:sz="0" w:space="0" w:color="auto"/>
                    <w:left w:val="none" w:sz="0" w:space="0" w:color="auto"/>
                    <w:bottom w:val="none" w:sz="0" w:space="0" w:color="auto"/>
                    <w:right w:val="none" w:sz="0" w:space="0" w:color="auto"/>
                  </w:divBdr>
                  <w:divsChild>
                    <w:div w:id="826092219">
                      <w:marLeft w:val="0"/>
                      <w:marRight w:val="0"/>
                      <w:marTop w:val="0"/>
                      <w:marBottom w:val="0"/>
                      <w:divBdr>
                        <w:top w:val="none" w:sz="0" w:space="0" w:color="auto"/>
                        <w:left w:val="none" w:sz="0" w:space="0" w:color="auto"/>
                        <w:bottom w:val="none" w:sz="0" w:space="0" w:color="auto"/>
                        <w:right w:val="none" w:sz="0" w:space="0" w:color="auto"/>
                      </w:divBdr>
                      <w:divsChild>
                        <w:div w:id="146755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63726">
      <w:bodyDiv w:val="1"/>
      <w:marLeft w:val="0"/>
      <w:marRight w:val="0"/>
      <w:marTop w:val="0"/>
      <w:marBottom w:val="0"/>
      <w:divBdr>
        <w:top w:val="none" w:sz="0" w:space="0" w:color="auto"/>
        <w:left w:val="none" w:sz="0" w:space="0" w:color="auto"/>
        <w:bottom w:val="none" w:sz="0" w:space="0" w:color="auto"/>
        <w:right w:val="none" w:sz="0" w:space="0" w:color="auto"/>
      </w:divBdr>
    </w:div>
    <w:div w:id="1967352697">
      <w:bodyDiv w:val="1"/>
      <w:marLeft w:val="0"/>
      <w:marRight w:val="0"/>
      <w:marTop w:val="0"/>
      <w:marBottom w:val="0"/>
      <w:divBdr>
        <w:top w:val="none" w:sz="0" w:space="0" w:color="auto"/>
        <w:left w:val="none" w:sz="0" w:space="0" w:color="auto"/>
        <w:bottom w:val="none" w:sz="0" w:space="0" w:color="auto"/>
        <w:right w:val="none" w:sz="0" w:space="0" w:color="auto"/>
      </w:divBdr>
    </w:div>
    <w:div w:id="1972245719">
      <w:bodyDiv w:val="1"/>
      <w:marLeft w:val="0"/>
      <w:marRight w:val="0"/>
      <w:marTop w:val="0"/>
      <w:marBottom w:val="0"/>
      <w:divBdr>
        <w:top w:val="none" w:sz="0" w:space="0" w:color="auto"/>
        <w:left w:val="none" w:sz="0" w:space="0" w:color="auto"/>
        <w:bottom w:val="none" w:sz="0" w:space="0" w:color="auto"/>
        <w:right w:val="none" w:sz="0" w:space="0" w:color="auto"/>
      </w:divBdr>
    </w:div>
    <w:div w:id="1973441367">
      <w:bodyDiv w:val="1"/>
      <w:marLeft w:val="0"/>
      <w:marRight w:val="0"/>
      <w:marTop w:val="0"/>
      <w:marBottom w:val="0"/>
      <w:divBdr>
        <w:top w:val="none" w:sz="0" w:space="0" w:color="auto"/>
        <w:left w:val="none" w:sz="0" w:space="0" w:color="auto"/>
        <w:bottom w:val="none" w:sz="0" w:space="0" w:color="auto"/>
        <w:right w:val="none" w:sz="0" w:space="0" w:color="auto"/>
      </w:divBdr>
    </w:div>
    <w:div w:id="1977834963">
      <w:bodyDiv w:val="1"/>
      <w:marLeft w:val="0"/>
      <w:marRight w:val="0"/>
      <w:marTop w:val="0"/>
      <w:marBottom w:val="0"/>
      <w:divBdr>
        <w:top w:val="none" w:sz="0" w:space="0" w:color="auto"/>
        <w:left w:val="none" w:sz="0" w:space="0" w:color="auto"/>
        <w:bottom w:val="none" w:sz="0" w:space="0" w:color="auto"/>
        <w:right w:val="none" w:sz="0" w:space="0" w:color="auto"/>
      </w:divBdr>
    </w:div>
    <w:div w:id="2001932004">
      <w:bodyDiv w:val="1"/>
      <w:marLeft w:val="0"/>
      <w:marRight w:val="0"/>
      <w:marTop w:val="0"/>
      <w:marBottom w:val="0"/>
      <w:divBdr>
        <w:top w:val="none" w:sz="0" w:space="0" w:color="auto"/>
        <w:left w:val="none" w:sz="0" w:space="0" w:color="auto"/>
        <w:bottom w:val="none" w:sz="0" w:space="0" w:color="auto"/>
        <w:right w:val="none" w:sz="0" w:space="0" w:color="auto"/>
      </w:divBdr>
    </w:div>
    <w:div w:id="2009481554">
      <w:bodyDiv w:val="1"/>
      <w:marLeft w:val="0"/>
      <w:marRight w:val="0"/>
      <w:marTop w:val="0"/>
      <w:marBottom w:val="0"/>
      <w:divBdr>
        <w:top w:val="none" w:sz="0" w:space="0" w:color="auto"/>
        <w:left w:val="none" w:sz="0" w:space="0" w:color="auto"/>
        <w:bottom w:val="none" w:sz="0" w:space="0" w:color="auto"/>
        <w:right w:val="none" w:sz="0" w:space="0" w:color="auto"/>
      </w:divBdr>
    </w:div>
    <w:div w:id="2013989429">
      <w:bodyDiv w:val="1"/>
      <w:marLeft w:val="0"/>
      <w:marRight w:val="0"/>
      <w:marTop w:val="0"/>
      <w:marBottom w:val="0"/>
      <w:divBdr>
        <w:top w:val="none" w:sz="0" w:space="0" w:color="auto"/>
        <w:left w:val="none" w:sz="0" w:space="0" w:color="auto"/>
        <w:bottom w:val="none" w:sz="0" w:space="0" w:color="auto"/>
        <w:right w:val="none" w:sz="0" w:space="0" w:color="auto"/>
      </w:divBdr>
    </w:div>
    <w:div w:id="2032142783">
      <w:bodyDiv w:val="1"/>
      <w:marLeft w:val="0"/>
      <w:marRight w:val="0"/>
      <w:marTop w:val="0"/>
      <w:marBottom w:val="0"/>
      <w:divBdr>
        <w:top w:val="none" w:sz="0" w:space="0" w:color="auto"/>
        <w:left w:val="none" w:sz="0" w:space="0" w:color="auto"/>
        <w:bottom w:val="none" w:sz="0" w:space="0" w:color="auto"/>
        <w:right w:val="none" w:sz="0" w:space="0" w:color="auto"/>
      </w:divBdr>
      <w:divsChild>
        <w:div w:id="9071862">
          <w:marLeft w:val="0"/>
          <w:marRight w:val="0"/>
          <w:marTop w:val="0"/>
          <w:marBottom w:val="0"/>
          <w:divBdr>
            <w:top w:val="none" w:sz="0" w:space="0" w:color="auto"/>
            <w:left w:val="none" w:sz="0" w:space="0" w:color="auto"/>
            <w:bottom w:val="none" w:sz="0" w:space="0" w:color="auto"/>
            <w:right w:val="none" w:sz="0" w:space="0" w:color="auto"/>
          </w:divBdr>
        </w:div>
        <w:div w:id="185752075">
          <w:marLeft w:val="0"/>
          <w:marRight w:val="0"/>
          <w:marTop w:val="0"/>
          <w:marBottom w:val="0"/>
          <w:divBdr>
            <w:top w:val="none" w:sz="0" w:space="0" w:color="auto"/>
            <w:left w:val="none" w:sz="0" w:space="0" w:color="auto"/>
            <w:bottom w:val="none" w:sz="0" w:space="0" w:color="auto"/>
            <w:right w:val="none" w:sz="0" w:space="0" w:color="auto"/>
          </w:divBdr>
        </w:div>
        <w:div w:id="223877460">
          <w:marLeft w:val="0"/>
          <w:marRight w:val="0"/>
          <w:marTop w:val="0"/>
          <w:marBottom w:val="0"/>
          <w:divBdr>
            <w:top w:val="none" w:sz="0" w:space="0" w:color="auto"/>
            <w:left w:val="none" w:sz="0" w:space="0" w:color="auto"/>
            <w:bottom w:val="none" w:sz="0" w:space="0" w:color="auto"/>
            <w:right w:val="none" w:sz="0" w:space="0" w:color="auto"/>
          </w:divBdr>
        </w:div>
        <w:div w:id="252013722">
          <w:marLeft w:val="0"/>
          <w:marRight w:val="0"/>
          <w:marTop w:val="0"/>
          <w:marBottom w:val="0"/>
          <w:divBdr>
            <w:top w:val="none" w:sz="0" w:space="0" w:color="auto"/>
            <w:left w:val="none" w:sz="0" w:space="0" w:color="auto"/>
            <w:bottom w:val="none" w:sz="0" w:space="0" w:color="auto"/>
            <w:right w:val="none" w:sz="0" w:space="0" w:color="auto"/>
          </w:divBdr>
        </w:div>
        <w:div w:id="266425671">
          <w:marLeft w:val="0"/>
          <w:marRight w:val="0"/>
          <w:marTop w:val="0"/>
          <w:marBottom w:val="0"/>
          <w:divBdr>
            <w:top w:val="none" w:sz="0" w:space="0" w:color="auto"/>
            <w:left w:val="none" w:sz="0" w:space="0" w:color="auto"/>
            <w:bottom w:val="none" w:sz="0" w:space="0" w:color="auto"/>
            <w:right w:val="none" w:sz="0" w:space="0" w:color="auto"/>
          </w:divBdr>
        </w:div>
        <w:div w:id="816141315">
          <w:marLeft w:val="0"/>
          <w:marRight w:val="0"/>
          <w:marTop w:val="0"/>
          <w:marBottom w:val="0"/>
          <w:divBdr>
            <w:top w:val="none" w:sz="0" w:space="0" w:color="auto"/>
            <w:left w:val="none" w:sz="0" w:space="0" w:color="auto"/>
            <w:bottom w:val="none" w:sz="0" w:space="0" w:color="auto"/>
            <w:right w:val="none" w:sz="0" w:space="0" w:color="auto"/>
          </w:divBdr>
        </w:div>
        <w:div w:id="862088041">
          <w:marLeft w:val="0"/>
          <w:marRight w:val="0"/>
          <w:marTop w:val="0"/>
          <w:marBottom w:val="0"/>
          <w:divBdr>
            <w:top w:val="none" w:sz="0" w:space="0" w:color="auto"/>
            <w:left w:val="none" w:sz="0" w:space="0" w:color="auto"/>
            <w:bottom w:val="none" w:sz="0" w:space="0" w:color="auto"/>
            <w:right w:val="none" w:sz="0" w:space="0" w:color="auto"/>
          </w:divBdr>
        </w:div>
        <w:div w:id="871917801">
          <w:marLeft w:val="0"/>
          <w:marRight w:val="0"/>
          <w:marTop w:val="0"/>
          <w:marBottom w:val="0"/>
          <w:divBdr>
            <w:top w:val="none" w:sz="0" w:space="0" w:color="auto"/>
            <w:left w:val="none" w:sz="0" w:space="0" w:color="auto"/>
            <w:bottom w:val="none" w:sz="0" w:space="0" w:color="auto"/>
            <w:right w:val="none" w:sz="0" w:space="0" w:color="auto"/>
          </w:divBdr>
        </w:div>
        <w:div w:id="885794849">
          <w:marLeft w:val="0"/>
          <w:marRight w:val="0"/>
          <w:marTop w:val="0"/>
          <w:marBottom w:val="0"/>
          <w:divBdr>
            <w:top w:val="none" w:sz="0" w:space="0" w:color="auto"/>
            <w:left w:val="none" w:sz="0" w:space="0" w:color="auto"/>
            <w:bottom w:val="none" w:sz="0" w:space="0" w:color="auto"/>
            <w:right w:val="none" w:sz="0" w:space="0" w:color="auto"/>
          </w:divBdr>
        </w:div>
        <w:div w:id="1284966804">
          <w:marLeft w:val="0"/>
          <w:marRight w:val="0"/>
          <w:marTop w:val="0"/>
          <w:marBottom w:val="0"/>
          <w:divBdr>
            <w:top w:val="none" w:sz="0" w:space="0" w:color="auto"/>
            <w:left w:val="none" w:sz="0" w:space="0" w:color="auto"/>
            <w:bottom w:val="none" w:sz="0" w:space="0" w:color="auto"/>
            <w:right w:val="none" w:sz="0" w:space="0" w:color="auto"/>
          </w:divBdr>
        </w:div>
        <w:div w:id="1310555629">
          <w:marLeft w:val="0"/>
          <w:marRight w:val="0"/>
          <w:marTop w:val="0"/>
          <w:marBottom w:val="0"/>
          <w:divBdr>
            <w:top w:val="none" w:sz="0" w:space="0" w:color="auto"/>
            <w:left w:val="none" w:sz="0" w:space="0" w:color="auto"/>
            <w:bottom w:val="none" w:sz="0" w:space="0" w:color="auto"/>
            <w:right w:val="none" w:sz="0" w:space="0" w:color="auto"/>
          </w:divBdr>
        </w:div>
        <w:div w:id="1791362239">
          <w:marLeft w:val="0"/>
          <w:marRight w:val="0"/>
          <w:marTop w:val="0"/>
          <w:marBottom w:val="0"/>
          <w:divBdr>
            <w:top w:val="none" w:sz="0" w:space="0" w:color="auto"/>
            <w:left w:val="none" w:sz="0" w:space="0" w:color="auto"/>
            <w:bottom w:val="none" w:sz="0" w:space="0" w:color="auto"/>
            <w:right w:val="none" w:sz="0" w:space="0" w:color="auto"/>
          </w:divBdr>
        </w:div>
        <w:div w:id="2038968200">
          <w:marLeft w:val="0"/>
          <w:marRight w:val="0"/>
          <w:marTop w:val="0"/>
          <w:marBottom w:val="0"/>
          <w:divBdr>
            <w:top w:val="none" w:sz="0" w:space="0" w:color="auto"/>
            <w:left w:val="none" w:sz="0" w:space="0" w:color="auto"/>
            <w:bottom w:val="none" w:sz="0" w:space="0" w:color="auto"/>
            <w:right w:val="none" w:sz="0" w:space="0" w:color="auto"/>
          </w:divBdr>
        </w:div>
        <w:div w:id="2068793094">
          <w:marLeft w:val="0"/>
          <w:marRight w:val="0"/>
          <w:marTop w:val="0"/>
          <w:marBottom w:val="0"/>
          <w:divBdr>
            <w:top w:val="none" w:sz="0" w:space="0" w:color="auto"/>
            <w:left w:val="none" w:sz="0" w:space="0" w:color="auto"/>
            <w:bottom w:val="none" w:sz="0" w:space="0" w:color="auto"/>
            <w:right w:val="none" w:sz="0" w:space="0" w:color="auto"/>
          </w:divBdr>
        </w:div>
      </w:divsChild>
    </w:div>
    <w:div w:id="2047099152">
      <w:bodyDiv w:val="1"/>
      <w:marLeft w:val="0"/>
      <w:marRight w:val="0"/>
      <w:marTop w:val="0"/>
      <w:marBottom w:val="0"/>
      <w:divBdr>
        <w:top w:val="none" w:sz="0" w:space="0" w:color="auto"/>
        <w:left w:val="none" w:sz="0" w:space="0" w:color="auto"/>
        <w:bottom w:val="none" w:sz="0" w:space="0" w:color="auto"/>
        <w:right w:val="none" w:sz="0" w:space="0" w:color="auto"/>
      </w:divBdr>
    </w:div>
    <w:div w:id="2047371008">
      <w:bodyDiv w:val="1"/>
      <w:marLeft w:val="0"/>
      <w:marRight w:val="0"/>
      <w:marTop w:val="0"/>
      <w:marBottom w:val="0"/>
      <w:divBdr>
        <w:top w:val="none" w:sz="0" w:space="0" w:color="auto"/>
        <w:left w:val="none" w:sz="0" w:space="0" w:color="auto"/>
        <w:bottom w:val="none" w:sz="0" w:space="0" w:color="auto"/>
        <w:right w:val="none" w:sz="0" w:space="0" w:color="auto"/>
      </w:divBdr>
    </w:div>
    <w:div w:id="2051107157">
      <w:bodyDiv w:val="1"/>
      <w:marLeft w:val="0"/>
      <w:marRight w:val="0"/>
      <w:marTop w:val="0"/>
      <w:marBottom w:val="0"/>
      <w:divBdr>
        <w:top w:val="none" w:sz="0" w:space="0" w:color="auto"/>
        <w:left w:val="none" w:sz="0" w:space="0" w:color="auto"/>
        <w:bottom w:val="none" w:sz="0" w:space="0" w:color="auto"/>
        <w:right w:val="none" w:sz="0" w:space="0" w:color="auto"/>
      </w:divBdr>
    </w:div>
    <w:div w:id="2052147075">
      <w:bodyDiv w:val="1"/>
      <w:marLeft w:val="0"/>
      <w:marRight w:val="0"/>
      <w:marTop w:val="0"/>
      <w:marBottom w:val="0"/>
      <w:divBdr>
        <w:top w:val="none" w:sz="0" w:space="0" w:color="auto"/>
        <w:left w:val="none" w:sz="0" w:space="0" w:color="auto"/>
        <w:bottom w:val="none" w:sz="0" w:space="0" w:color="auto"/>
        <w:right w:val="none" w:sz="0" w:space="0" w:color="auto"/>
      </w:divBdr>
    </w:div>
    <w:div w:id="2065760463">
      <w:bodyDiv w:val="1"/>
      <w:marLeft w:val="0"/>
      <w:marRight w:val="0"/>
      <w:marTop w:val="0"/>
      <w:marBottom w:val="0"/>
      <w:divBdr>
        <w:top w:val="none" w:sz="0" w:space="0" w:color="auto"/>
        <w:left w:val="none" w:sz="0" w:space="0" w:color="auto"/>
        <w:bottom w:val="none" w:sz="0" w:space="0" w:color="auto"/>
        <w:right w:val="none" w:sz="0" w:space="0" w:color="auto"/>
      </w:divBdr>
    </w:div>
    <w:div w:id="20707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hyperlink" Target="https://www.aku.edu/eai/Pages/kenya.aspx" TargetMode="External"/><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www.hrsdc.gc.ca/en/cs/sp/sdc/pkrf/publications/research/2003" TargetMode="External"/><Relationship Id="rId31" Type="http://schemas.openxmlformats.org/officeDocument/2006/relationships/image" Target="media/image9.jpeg"/><Relationship Id="rId32" Type="http://schemas.openxmlformats.org/officeDocument/2006/relationships/image" Target="file://localhost/Users/macbook/Desktop/https://www.globalhand.org/system/images/403f9fd3dbd678059782ed0c1dfdcc96df430b63/logo/African%2520PRIDE%2520Centre%2520Logo.jpg%3F1389363654"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file://localhost/Users/macbook/Desktop/https://www.globalhand.org/system/images/403f9fd3dbd678059782ed0c1dfdcc96df430b63/logo/African%2520PRIDE%2520Centre%2520Logo.jpg%3F1389363654" TargetMode="External"/><Relationship Id="rId3"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9CFA9D-56C5-4FC9-AC39-130985D19D68}" type="doc">
      <dgm:prSet loTypeId="urn:microsoft.com/office/officeart/2005/8/layout/cycle5" loCatId="cycle" qsTypeId="urn:microsoft.com/office/officeart/2005/8/quickstyle/3d1" qsCatId="3D" csTypeId="urn:microsoft.com/office/officeart/2005/8/colors/accent3_2" csCatId="accent3" phldr="1"/>
      <dgm:spPr/>
      <dgm:t>
        <a:bodyPr/>
        <a:lstStyle/>
        <a:p>
          <a:endParaRPr lang="en-ZA"/>
        </a:p>
      </dgm:t>
    </dgm:pt>
    <dgm:pt modelId="{4C6A95AA-07A6-4E8E-8911-364849570E3E}">
      <dgm:prSet phldrT="[Text]" custT="1"/>
      <dgm:spPr/>
      <dgm:t>
        <a:bodyPr/>
        <a:lstStyle/>
        <a:p>
          <a:r>
            <a:rPr lang="en-ZA" sz="1000">
              <a:solidFill>
                <a:schemeClr val="tx1"/>
              </a:solidFill>
              <a:latin typeface="Book Antiqua"/>
              <a:cs typeface="Book Antiqua"/>
            </a:rPr>
            <a:t>Constant environmental scanning to identify new information of any type that may impact tourists and tourism, ensuring that weak signals, outlying data, and non-typical patterns are scanned</a:t>
          </a:r>
        </a:p>
      </dgm:t>
    </dgm:pt>
    <dgm:pt modelId="{419ADB31-8CEB-4684-93EB-49BF0D3CCE35}" type="parTrans" cxnId="{30C8E629-2B28-4A83-A61E-6AA56679D418}">
      <dgm:prSet/>
      <dgm:spPr/>
      <dgm:t>
        <a:bodyPr/>
        <a:lstStyle/>
        <a:p>
          <a:endParaRPr lang="en-ZA" sz="1000">
            <a:solidFill>
              <a:schemeClr val="tx1"/>
            </a:solidFill>
            <a:latin typeface="Book Antiqua"/>
            <a:cs typeface="Book Antiqua"/>
          </a:endParaRPr>
        </a:p>
      </dgm:t>
    </dgm:pt>
    <dgm:pt modelId="{7F53AF5D-D428-4B90-99CD-BB531217A95E}" type="sibTrans" cxnId="{30C8E629-2B28-4A83-A61E-6AA56679D418}">
      <dgm:prSet>
        <dgm:style>
          <a:lnRef idx="1">
            <a:schemeClr val="accent3"/>
          </a:lnRef>
          <a:fillRef idx="0">
            <a:schemeClr val="accent3"/>
          </a:fillRef>
          <a:effectRef idx="0">
            <a:schemeClr val="accent3"/>
          </a:effectRef>
          <a:fontRef idx="minor">
            <a:schemeClr val="tx1"/>
          </a:fontRef>
        </dgm:style>
      </dgm:prSet>
      <dgm:spPr>
        <a:ln w="28575"/>
      </dgm:spPr>
      <dgm:t>
        <a:bodyPr/>
        <a:lstStyle/>
        <a:p>
          <a:endParaRPr lang="en-ZA" sz="1000">
            <a:solidFill>
              <a:schemeClr val="tx1"/>
            </a:solidFill>
            <a:latin typeface="Book Antiqua"/>
            <a:cs typeface="Book Antiqua"/>
          </a:endParaRPr>
        </a:p>
      </dgm:t>
    </dgm:pt>
    <dgm:pt modelId="{B3F29D85-D3D3-46CA-B2B1-1E56550DCCAC}">
      <dgm:prSet phldrT="[Text]" custT="1"/>
      <dgm:spPr/>
      <dgm:t>
        <a:bodyPr/>
        <a:lstStyle/>
        <a:p>
          <a:r>
            <a:rPr lang="en-ZA" sz="1000">
              <a:solidFill>
                <a:schemeClr val="tx1"/>
              </a:solidFill>
              <a:latin typeface="Book Antiqua"/>
              <a:cs typeface="Book Antiqua"/>
            </a:rPr>
            <a:t>Constantly looking for emerging practice (as opposed to best practice or benchmarking) to find new ways other players are already trying-out</a:t>
          </a:r>
        </a:p>
      </dgm:t>
    </dgm:pt>
    <dgm:pt modelId="{37AF65ED-0859-4EE6-B26E-261E9DFCA211}" type="parTrans" cxnId="{50F11B5C-04AE-4AFA-AB1F-2F9313C7FA22}">
      <dgm:prSet/>
      <dgm:spPr/>
      <dgm:t>
        <a:bodyPr/>
        <a:lstStyle/>
        <a:p>
          <a:endParaRPr lang="en-ZA" sz="1000">
            <a:solidFill>
              <a:schemeClr val="tx1"/>
            </a:solidFill>
            <a:latin typeface="Book Antiqua"/>
            <a:cs typeface="Book Antiqua"/>
          </a:endParaRPr>
        </a:p>
      </dgm:t>
    </dgm:pt>
    <dgm:pt modelId="{1D4C5A76-FA2D-4A76-B56F-02EDD36E772D}" type="sibTrans" cxnId="{50F11B5C-04AE-4AFA-AB1F-2F9313C7FA22}">
      <dgm:prSet>
        <dgm:style>
          <a:lnRef idx="1">
            <a:schemeClr val="accent3"/>
          </a:lnRef>
          <a:fillRef idx="0">
            <a:schemeClr val="accent3"/>
          </a:fillRef>
          <a:effectRef idx="0">
            <a:schemeClr val="accent3"/>
          </a:effectRef>
          <a:fontRef idx="minor">
            <a:schemeClr val="tx1"/>
          </a:fontRef>
        </dgm:style>
      </dgm:prSet>
      <dgm:spPr>
        <a:ln w="28575"/>
      </dgm:spPr>
      <dgm:t>
        <a:bodyPr/>
        <a:lstStyle/>
        <a:p>
          <a:endParaRPr lang="en-ZA" sz="1000">
            <a:solidFill>
              <a:schemeClr val="tx1"/>
            </a:solidFill>
            <a:latin typeface="Book Antiqua"/>
            <a:cs typeface="Book Antiqua"/>
          </a:endParaRPr>
        </a:p>
      </dgm:t>
    </dgm:pt>
    <dgm:pt modelId="{FD0B809A-A6DE-4058-B841-ABA13D6F1E20}">
      <dgm:prSet phldrT="[Text]" custT="1"/>
      <dgm:spPr/>
      <dgm:t>
        <a:bodyPr/>
        <a:lstStyle/>
        <a:p>
          <a:r>
            <a:rPr lang="en-ZA" sz="1000">
              <a:solidFill>
                <a:schemeClr val="tx1"/>
              </a:solidFill>
              <a:latin typeface="Book Antiqua"/>
              <a:cs typeface="Book Antiqua"/>
            </a:rPr>
            <a:t>Constant small/pilot experimental changes to test new ways of doing things</a:t>
          </a:r>
        </a:p>
      </dgm:t>
    </dgm:pt>
    <dgm:pt modelId="{B62DA067-F459-44EC-9973-F5AB2164946B}" type="parTrans" cxnId="{69449C77-59CE-4A22-ADDD-9FAE4D4C044D}">
      <dgm:prSet/>
      <dgm:spPr/>
      <dgm:t>
        <a:bodyPr/>
        <a:lstStyle/>
        <a:p>
          <a:endParaRPr lang="en-ZA" sz="1000">
            <a:solidFill>
              <a:schemeClr val="tx1"/>
            </a:solidFill>
            <a:latin typeface="Book Antiqua"/>
            <a:cs typeface="Book Antiqua"/>
          </a:endParaRPr>
        </a:p>
      </dgm:t>
    </dgm:pt>
    <dgm:pt modelId="{A9CBF55D-CAA1-4A0F-9180-DCC758029984}" type="sibTrans" cxnId="{69449C77-59CE-4A22-ADDD-9FAE4D4C044D}">
      <dgm:prSet>
        <dgm:style>
          <a:lnRef idx="1">
            <a:schemeClr val="accent3"/>
          </a:lnRef>
          <a:fillRef idx="0">
            <a:schemeClr val="accent3"/>
          </a:fillRef>
          <a:effectRef idx="0">
            <a:schemeClr val="accent3"/>
          </a:effectRef>
          <a:fontRef idx="minor">
            <a:schemeClr val="tx1"/>
          </a:fontRef>
        </dgm:style>
      </dgm:prSet>
      <dgm:spPr>
        <a:ln w="28575"/>
      </dgm:spPr>
      <dgm:t>
        <a:bodyPr/>
        <a:lstStyle/>
        <a:p>
          <a:endParaRPr lang="en-ZA" sz="1000">
            <a:solidFill>
              <a:schemeClr val="tx1"/>
            </a:solidFill>
            <a:latin typeface="Book Antiqua"/>
            <a:cs typeface="Book Antiqua"/>
          </a:endParaRPr>
        </a:p>
      </dgm:t>
    </dgm:pt>
    <dgm:pt modelId="{6871264E-B2F4-4016-A3F4-03087614E04F}">
      <dgm:prSet phldrT="[Text]" custT="1"/>
      <dgm:spPr/>
      <dgm:t>
        <a:bodyPr/>
        <a:lstStyle/>
        <a:p>
          <a:r>
            <a:rPr lang="en-ZA" sz="1000">
              <a:solidFill>
                <a:schemeClr val="tx1"/>
              </a:solidFill>
              <a:latin typeface="Book Antiqua"/>
              <a:cs typeface="Book Antiqua"/>
            </a:rPr>
            <a:t>Selection and amplification of what works to develop new business models, new experiences, adopt new technologies </a:t>
          </a:r>
        </a:p>
      </dgm:t>
    </dgm:pt>
    <dgm:pt modelId="{B9A6F2B5-AFBB-4028-B057-BA486FB8B1FA}" type="parTrans" cxnId="{40A7D525-00CD-4038-BA0E-8C2184DB0B92}">
      <dgm:prSet/>
      <dgm:spPr/>
      <dgm:t>
        <a:bodyPr/>
        <a:lstStyle/>
        <a:p>
          <a:endParaRPr lang="en-ZA" sz="1000">
            <a:solidFill>
              <a:schemeClr val="tx1"/>
            </a:solidFill>
            <a:latin typeface="Book Antiqua"/>
            <a:cs typeface="Book Antiqua"/>
          </a:endParaRPr>
        </a:p>
      </dgm:t>
    </dgm:pt>
    <dgm:pt modelId="{EF669BE1-C8A6-40B1-9258-2A0D433B682C}" type="sibTrans" cxnId="{40A7D525-00CD-4038-BA0E-8C2184DB0B92}">
      <dgm:prSet>
        <dgm:style>
          <a:lnRef idx="1">
            <a:schemeClr val="accent3"/>
          </a:lnRef>
          <a:fillRef idx="0">
            <a:schemeClr val="accent3"/>
          </a:fillRef>
          <a:effectRef idx="0">
            <a:schemeClr val="accent3"/>
          </a:effectRef>
          <a:fontRef idx="minor">
            <a:schemeClr val="tx1"/>
          </a:fontRef>
        </dgm:style>
      </dgm:prSet>
      <dgm:spPr>
        <a:ln w="28575"/>
      </dgm:spPr>
      <dgm:t>
        <a:bodyPr/>
        <a:lstStyle/>
        <a:p>
          <a:endParaRPr lang="en-ZA" sz="1000">
            <a:solidFill>
              <a:schemeClr val="tx1"/>
            </a:solidFill>
            <a:latin typeface="Book Antiqua"/>
            <a:cs typeface="Book Antiqua"/>
          </a:endParaRPr>
        </a:p>
      </dgm:t>
    </dgm:pt>
    <dgm:pt modelId="{6A648C82-58BC-4E63-B105-2D211BBE8C4B}" type="pres">
      <dgm:prSet presAssocID="{359CFA9D-56C5-4FC9-AC39-130985D19D68}" presName="cycle" presStyleCnt="0">
        <dgm:presLayoutVars>
          <dgm:dir/>
          <dgm:resizeHandles val="exact"/>
        </dgm:presLayoutVars>
      </dgm:prSet>
      <dgm:spPr/>
      <dgm:t>
        <a:bodyPr/>
        <a:lstStyle/>
        <a:p>
          <a:endParaRPr lang="en-ZA"/>
        </a:p>
      </dgm:t>
    </dgm:pt>
    <dgm:pt modelId="{E4176060-62C8-4F17-91EB-5B7B41620FAC}" type="pres">
      <dgm:prSet presAssocID="{4C6A95AA-07A6-4E8E-8911-364849570E3E}" presName="node" presStyleLbl="node1" presStyleIdx="0" presStyleCnt="4" custScaleX="125241" custScaleY="115133">
        <dgm:presLayoutVars>
          <dgm:bulletEnabled val="1"/>
        </dgm:presLayoutVars>
      </dgm:prSet>
      <dgm:spPr/>
      <dgm:t>
        <a:bodyPr/>
        <a:lstStyle/>
        <a:p>
          <a:endParaRPr lang="en-ZA"/>
        </a:p>
      </dgm:t>
    </dgm:pt>
    <dgm:pt modelId="{E789C7B3-CD67-46AE-9B0E-415AC72261D8}" type="pres">
      <dgm:prSet presAssocID="{4C6A95AA-07A6-4E8E-8911-364849570E3E}" presName="spNode" presStyleCnt="0"/>
      <dgm:spPr/>
    </dgm:pt>
    <dgm:pt modelId="{72B78722-5EE9-4589-96A3-CCC523BF387A}" type="pres">
      <dgm:prSet presAssocID="{7F53AF5D-D428-4B90-99CD-BB531217A95E}" presName="sibTrans" presStyleLbl="sibTrans1D1" presStyleIdx="0" presStyleCnt="4"/>
      <dgm:spPr/>
      <dgm:t>
        <a:bodyPr/>
        <a:lstStyle/>
        <a:p>
          <a:endParaRPr lang="en-ZA"/>
        </a:p>
      </dgm:t>
    </dgm:pt>
    <dgm:pt modelId="{FFC4083D-2F74-41ED-ADB0-9F5674570484}" type="pres">
      <dgm:prSet presAssocID="{B3F29D85-D3D3-46CA-B2B1-1E56550DCCAC}" presName="node" presStyleLbl="node1" presStyleIdx="1" presStyleCnt="4" custScaleX="119553" custRadScaleRad="123901" custRadScaleInc="3010">
        <dgm:presLayoutVars>
          <dgm:bulletEnabled val="1"/>
        </dgm:presLayoutVars>
      </dgm:prSet>
      <dgm:spPr/>
      <dgm:t>
        <a:bodyPr/>
        <a:lstStyle/>
        <a:p>
          <a:endParaRPr lang="en-ZA"/>
        </a:p>
      </dgm:t>
    </dgm:pt>
    <dgm:pt modelId="{8C12652C-A453-4747-B038-E402C136893D}" type="pres">
      <dgm:prSet presAssocID="{B3F29D85-D3D3-46CA-B2B1-1E56550DCCAC}" presName="spNode" presStyleCnt="0"/>
      <dgm:spPr/>
    </dgm:pt>
    <dgm:pt modelId="{B959A7BB-2058-42D1-9E9C-803C4DD280FD}" type="pres">
      <dgm:prSet presAssocID="{1D4C5A76-FA2D-4A76-B56F-02EDD36E772D}" presName="sibTrans" presStyleLbl="sibTrans1D1" presStyleIdx="1" presStyleCnt="4"/>
      <dgm:spPr/>
      <dgm:t>
        <a:bodyPr/>
        <a:lstStyle/>
        <a:p>
          <a:endParaRPr lang="en-ZA"/>
        </a:p>
      </dgm:t>
    </dgm:pt>
    <dgm:pt modelId="{70418FA8-5266-4D29-89CE-F01A85F62696}" type="pres">
      <dgm:prSet presAssocID="{FD0B809A-A6DE-4058-B841-ABA13D6F1E20}" presName="node" presStyleLbl="node1" presStyleIdx="2" presStyleCnt="4" custScaleX="119385" custScaleY="118236">
        <dgm:presLayoutVars>
          <dgm:bulletEnabled val="1"/>
        </dgm:presLayoutVars>
      </dgm:prSet>
      <dgm:spPr/>
      <dgm:t>
        <a:bodyPr/>
        <a:lstStyle/>
        <a:p>
          <a:endParaRPr lang="en-ZA"/>
        </a:p>
      </dgm:t>
    </dgm:pt>
    <dgm:pt modelId="{BE846C8F-AABC-49AE-B8CA-66E40332D00A}" type="pres">
      <dgm:prSet presAssocID="{FD0B809A-A6DE-4058-B841-ABA13D6F1E20}" presName="spNode" presStyleCnt="0"/>
      <dgm:spPr/>
    </dgm:pt>
    <dgm:pt modelId="{5D3A7617-6F5C-48B4-9510-D127045501B0}" type="pres">
      <dgm:prSet presAssocID="{A9CBF55D-CAA1-4A0F-9180-DCC758029984}" presName="sibTrans" presStyleLbl="sibTrans1D1" presStyleIdx="2" presStyleCnt="4"/>
      <dgm:spPr/>
      <dgm:t>
        <a:bodyPr/>
        <a:lstStyle/>
        <a:p>
          <a:endParaRPr lang="en-ZA"/>
        </a:p>
      </dgm:t>
    </dgm:pt>
    <dgm:pt modelId="{D4342DC1-DA22-4CDF-B696-695560BBE8F3}" type="pres">
      <dgm:prSet presAssocID="{6871264E-B2F4-4016-A3F4-03087614E04F}" presName="node" presStyleLbl="node1" presStyleIdx="3" presStyleCnt="4" custScaleX="134921" custRadScaleRad="129301" custRadScaleInc="1776">
        <dgm:presLayoutVars>
          <dgm:bulletEnabled val="1"/>
        </dgm:presLayoutVars>
      </dgm:prSet>
      <dgm:spPr/>
      <dgm:t>
        <a:bodyPr/>
        <a:lstStyle/>
        <a:p>
          <a:endParaRPr lang="en-ZA"/>
        </a:p>
      </dgm:t>
    </dgm:pt>
    <dgm:pt modelId="{083651B8-8606-470E-9A88-2A574DD70666}" type="pres">
      <dgm:prSet presAssocID="{6871264E-B2F4-4016-A3F4-03087614E04F}" presName="spNode" presStyleCnt="0"/>
      <dgm:spPr/>
    </dgm:pt>
    <dgm:pt modelId="{50EEEE73-B6D3-4AA3-B1FE-0E3B55660467}" type="pres">
      <dgm:prSet presAssocID="{EF669BE1-C8A6-40B1-9258-2A0D433B682C}" presName="sibTrans" presStyleLbl="sibTrans1D1" presStyleIdx="3" presStyleCnt="4"/>
      <dgm:spPr/>
      <dgm:t>
        <a:bodyPr/>
        <a:lstStyle/>
        <a:p>
          <a:endParaRPr lang="en-ZA"/>
        </a:p>
      </dgm:t>
    </dgm:pt>
  </dgm:ptLst>
  <dgm:cxnLst>
    <dgm:cxn modelId="{DA893C70-5F4E-0F4C-BE0A-F04B46C0E7F8}" type="presOf" srcId="{B3F29D85-D3D3-46CA-B2B1-1E56550DCCAC}" destId="{FFC4083D-2F74-41ED-ADB0-9F5674570484}" srcOrd="0" destOrd="0" presId="urn:microsoft.com/office/officeart/2005/8/layout/cycle5"/>
    <dgm:cxn modelId="{455D2D6C-EAD5-E541-A1F6-97F3CFE8C2B5}" type="presOf" srcId="{6871264E-B2F4-4016-A3F4-03087614E04F}" destId="{D4342DC1-DA22-4CDF-B696-695560BBE8F3}" srcOrd="0" destOrd="0" presId="urn:microsoft.com/office/officeart/2005/8/layout/cycle5"/>
    <dgm:cxn modelId="{69449C77-59CE-4A22-ADDD-9FAE4D4C044D}" srcId="{359CFA9D-56C5-4FC9-AC39-130985D19D68}" destId="{FD0B809A-A6DE-4058-B841-ABA13D6F1E20}" srcOrd="2" destOrd="0" parTransId="{B62DA067-F459-44EC-9973-F5AB2164946B}" sibTransId="{A9CBF55D-CAA1-4A0F-9180-DCC758029984}"/>
    <dgm:cxn modelId="{1F749F1E-24A0-BB48-AA93-7A234CB60CDF}" type="presOf" srcId="{1D4C5A76-FA2D-4A76-B56F-02EDD36E772D}" destId="{B959A7BB-2058-42D1-9E9C-803C4DD280FD}" srcOrd="0" destOrd="0" presId="urn:microsoft.com/office/officeart/2005/8/layout/cycle5"/>
    <dgm:cxn modelId="{50F11B5C-04AE-4AFA-AB1F-2F9313C7FA22}" srcId="{359CFA9D-56C5-4FC9-AC39-130985D19D68}" destId="{B3F29D85-D3D3-46CA-B2B1-1E56550DCCAC}" srcOrd="1" destOrd="0" parTransId="{37AF65ED-0859-4EE6-B26E-261E9DFCA211}" sibTransId="{1D4C5A76-FA2D-4A76-B56F-02EDD36E772D}"/>
    <dgm:cxn modelId="{1CCBE798-5AA2-EB43-BC8B-F3D49603F9FD}" type="presOf" srcId="{A9CBF55D-CAA1-4A0F-9180-DCC758029984}" destId="{5D3A7617-6F5C-48B4-9510-D127045501B0}" srcOrd="0" destOrd="0" presId="urn:microsoft.com/office/officeart/2005/8/layout/cycle5"/>
    <dgm:cxn modelId="{640FE5BD-CCE2-824D-BCA5-72D700B00CB0}" type="presOf" srcId="{7F53AF5D-D428-4B90-99CD-BB531217A95E}" destId="{72B78722-5EE9-4589-96A3-CCC523BF387A}" srcOrd="0" destOrd="0" presId="urn:microsoft.com/office/officeart/2005/8/layout/cycle5"/>
    <dgm:cxn modelId="{DC446855-B063-5D40-98AE-C00ABFC2C618}" type="presOf" srcId="{EF669BE1-C8A6-40B1-9258-2A0D433B682C}" destId="{50EEEE73-B6D3-4AA3-B1FE-0E3B55660467}" srcOrd="0" destOrd="0" presId="urn:microsoft.com/office/officeart/2005/8/layout/cycle5"/>
    <dgm:cxn modelId="{40A7D525-00CD-4038-BA0E-8C2184DB0B92}" srcId="{359CFA9D-56C5-4FC9-AC39-130985D19D68}" destId="{6871264E-B2F4-4016-A3F4-03087614E04F}" srcOrd="3" destOrd="0" parTransId="{B9A6F2B5-AFBB-4028-B057-BA486FB8B1FA}" sibTransId="{EF669BE1-C8A6-40B1-9258-2A0D433B682C}"/>
    <dgm:cxn modelId="{AFC1A44F-4C99-3043-AE76-9A31395523E7}" type="presOf" srcId="{4C6A95AA-07A6-4E8E-8911-364849570E3E}" destId="{E4176060-62C8-4F17-91EB-5B7B41620FAC}" srcOrd="0" destOrd="0" presId="urn:microsoft.com/office/officeart/2005/8/layout/cycle5"/>
    <dgm:cxn modelId="{9353DDC5-83A8-E640-AA5D-E0893D8AF296}" type="presOf" srcId="{FD0B809A-A6DE-4058-B841-ABA13D6F1E20}" destId="{70418FA8-5266-4D29-89CE-F01A85F62696}" srcOrd="0" destOrd="0" presId="urn:microsoft.com/office/officeart/2005/8/layout/cycle5"/>
    <dgm:cxn modelId="{30C8E629-2B28-4A83-A61E-6AA56679D418}" srcId="{359CFA9D-56C5-4FC9-AC39-130985D19D68}" destId="{4C6A95AA-07A6-4E8E-8911-364849570E3E}" srcOrd="0" destOrd="0" parTransId="{419ADB31-8CEB-4684-93EB-49BF0D3CCE35}" sibTransId="{7F53AF5D-D428-4B90-99CD-BB531217A95E}"/>
    <dgm:cxn modelId="{03E15AF7-3F44-A54A-8F9F-B96DA7E74217}" type="presOf" srcId="{359CFA9D-56C5-4FC9-AC39-130985D19D68}" destId="{6A648C82-58BC-4E63-B105-2D211BBE8C4B}" srcOrd="0" destOrd="0" presId="urn:microsoft.com/office/officeart/2005/8/layout/cycle5"/>
    <dgm:cxn modelId="{AEF4A2B7-74CE-154F-8AF2-F933A22DC40B}" type="presParOf" srcId="{6A648C82-58BC-4E63-B105-2D211BBE8C4B}" destId="{E4176060-62C8-4F17-91EB-5B7B41620FAC}" srcOrd="0" destOrd="0" presId="urn:microsoft.com/office/officeart/2005/8/layout/cycle5"/>
    <dgm:cxn modelId="{0DAC34F3-3187-DF4E-85A5-0C69A49CDDCD}" type="presParOf" srcId="{6A648C82-58BC-4E63-B105-2D211BBE8C4B}" destId="{E789C7B3-CD67-46AE-9B0E-415AC72261D8}" srcOrd="1" destOrd="0" presId="urn:microsoft.com/office/officeart/2005/8/layout/cycle5"/>
    <dgm:cxn modelId="{96B201F4-E4C7-7F4F-ABAD-216A38B0BCD2}" type="presParOf" srcId="{6A648C82-58BC-4E63-B105-2D211BBE8C4B}" destId="{72B78722-5EE9-4589-96A3-CCC523BF387A}" srcOrd="2" destOrd="0" presId="urn:microsoft.com/office/officeart/2005/8/layout/cycle5"/>
    <dgm:cxn modelId="{5902CD47-4FA4-6847-B000-C1369FDF652E}" type="presParOf" srcId="{6A648C82-58BC-4E63-B105-2D211BBE8C4B}" destId="{FFC4083D-2F74-41ED-ADB0-9F5674570484}" srcOrd="3" destOrd="0" presId="urn:microsoft.com/office/officeart/2005/8/layout/cycle5"/>
    <dgm:cxn modelId="{8135AB53-3149-D94C-AF90-F52B1BB2A105}" type="presParOf" srcId="{6A648C82-58BC-4E63-B105-2D211BBE8C4B}" destId="{8C12652C-A453-4747-B038-E402C136893D}" srcOrd="4" destOrd="0" presId="urn:microsoft.com/office/officeart/2005/8/layout/cycle5"/>
    <dgm:cxn modelId="{AE6F1DF2-B293-0A4B-BBC2-8040302B907E}" type="presParOf" srcId="{6A648C82-58BC-4E63-B105-2D211BBE8C4B}" destId="{B959A7BB-2058-42D1-9E9C-803C4DD280FD}" srcOrd="5" destOrd="0" presId="urn:microsoft.com/office/officeart/2005/8/layout/cycle5"/>
    <dgm:cxn modelId="{1F157762-6D25-CA49-978D-A20761AF9389}" type="presParOf" srcId="{6A648C82-58BC-4E63-B105-2D211BBE8C4B}" destId="{70418FA8-5266-4D29-89CE-F01A85F62696}" srcOrd="6" destOrd="0" presId="urn:microsoft.com/office/officeart/2005/8/layout/cycle5"/>
    <dgm:cxn modelId="{609C25A3-3B11-C74E-9031-92EBB1315F38}" type="presParOf" srcId="{6A648C82-58BC-4E63-B105-2D211BBE8C4B}" destId="{BE846C8F-AABC-49AE-B8CA-66E40332D00A}" srcOrd="7" destOrd="0" presId="urn:microsoft.com/office/officeart/2005/8/layout/cycle5"/>
    <dgm:cxn modelId="{A94436BC-62CB-9942-9966-8DB5E2928A8C}" type="presParOf" srcId="{6A648C82-58BC-4E63-B105-2D211BBE8C4B}" destId="{5D3A7617-6F5C-48B4-9510-D127045501B0}" srcOrd="8" destOrd="0" presId="urn:microsoft.com/office/officeart/2005/8/layout/cycle5"/>
    <dgm:cxn modelId="{2E772F30-449B-4E41-85BA-1579E466FB48}" type="presParOf" srcId="{6A648C82-58BC-4E63-B105-2D211BBE8C4B}" destId="{D4342DC1-DA22-4CDF-B696-695560BBE8F3}" srcOrd="9" destOrd="0" presId="urn:microsoft.com/office/officeart/2005/8/layout/cycle5"/>
    <dgm:cxn modelId="{66EE6D46-4953-9348-9969-1CF71E3162FE}" type="presParOf" srcId="{6A648C82-58BC-4E63-B105-2D211BBE8C4B}" destId="{083651B8-8606-470E-9A88-2A574DD70666}" srcOrd="10" destOrd="0" presId="urn:microsoft.com/office/officeart/2005/8/layout/cycle5"/>
    <dgm:cxn modelId="{447B16FC-D853-DA45-B333-A98E052607FE}" type="presParOf" srcId="{6A648C82-58BC-4E63-B105-2D211BBE8C4B}" destId="{50EEEE73-B6D3-4AA3-B1FE-0E3B55660467}" srcOrd="11"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76060-62C8-4F17-91EB-5B7B41620FAC}">
      <dsp:nvSpPr>
        <dsp:cNvPr id="0" name=""/>
        <dsp:cNvSpPr/>
      </dsp:nvSpPr>
      <dsp:spPr>
        <a:xfrm>
          <a:off x="1903343" y="-83806"/>
          <a:ext cx="1972163" cy="1178445"/>
        </a:xfrm>
        <a:prstGeom prst="roundRect">
          <a:avLst/>
        </a:prstGeom>
        <a:gradFill rotWithShape="0">
          <a:gsLst>
            <a:gs pos="0">
              <a:schemeClr val="accent3">
                <a:hueOff val="0"/>
                <a:satOff val="0"/>
                <a:lumOff val="0"/>
                <a:alphaOff val="0"/>
                <a:shade val="100000"/>
                <a:satMod val="120000"/>
              </a:schemeClr>
            </a:gs>
            <a:gs pos="69000">
              <a:schemeClr val="accent3">
                <a:hueOff val="0"/>
                <a:satOff val="0"/>
                <a:lumOff val="0"/>
                <a:alphaOff val="0"/>
                <a:tint val="80000"/>
                <a:shade val="100000"/>
                <a:satMod val="150000"/>
              </a:schemeClr>
            </a:gs>
            <a:gs pos="100000">
              <a:schemeClr val="accent3">
                <a:hueOff val="0"/>
                <a:satOff val="0"/>
                <a:lumOff val="0"/>
                <a:alphaOff val="0"/>
                <a:tint val="50000"/>
                <a:shade val="100000"/>
                <a:satMod val="150000"/>
              </a:schemeClr>
            </a:gs>
          </a:gsLst>
          <a:path path="circle">
            <a:fillToRect l="100000" t="100000" r="100000" b="100000"/>
          </a:path>
        </a:gradFill>
        <a:ln>
          <a:noFill/>
        </a:ln>
        <a:effectLst>
          <a:outerShdw blurRad="63500" dist="25400" dir="5400000" sx="101000" sy="101000" rotWithShape="0">
            <a:srgbClr val="000000">
              <a:alpha val="4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chemeClr val="tx1"/>
              </a:solidFill>
              <a:latin typeface="Book Antiqua"/>
              <a:cs typeface="Book Antiqua"/>
            </a:rPr>
            <a:t>Constant environmental scanning to identify new information of any type that may impact tourists and tourism, ensuring that weak signals, outlying data, and non-typical patterns are scanned</a:t>
          </a:r>
        </a:p>
      </dsp:txBody>
      <dsp:txXfrm>
        <a:off x="1960870" y="-26279"/>
        <a:ext cx="1857109" cy="1063391"/>
      </dsp:txXfrm>
    </dsp:sp>
    <dsp:sp modelId="{72B78722-5EE9-4589-96A3-CCC523BF387A}">
      <dsp:nvSpPr>
        <dsp:cNvPr id="0" name=""/>
        <dsp:cNvSpPr/>
      </dsp:nvSpPr>
      <dsp:spPr>
        <a:xfrm>
          <a:off x="1373827" y="616439"/>
          <a:ext cx="3385267" cy="3385267"/>
        </a:xfrm>
        <a:custGeom>
          <a:avLst/>
          <a:gdLst/>
          <a:ahLst/>
          <a:cxnLst/>
          <a:rect l="0" t="0" r="0" b="0"/>
          <a:pathLst>
            <a:path>
              <a:moveTo>
                <a:pt x="2701590" y="333584"/>
              </a:moveTo>
              <a:arcTo wR="1692633" hR="1692633" stAng="18395409" swAng="1498952"/>
            </a:path>
          </a:pathLst>
        </a:custGeom>
        <a:noFill/>
        <a:ln w="28575" cap="flat" cmpd="sng" algn="ctr">
          <a:solidFill>
            <a:schemeClr val="accent3">
              <a:shade val="95000"/>
              <a:satMod val="105000"/>
            </a:schemeClr>
          </a:solidFill>
          <a:prstDash val="solid"/>
          <a:tailEnd type="arrow"/>
        </a:ln>
        <a:effectLst/>
        <a:scene3d>
          <a:camera prst="orthographicFront"/>
          <a:lightRig rig="flat" dir="t"/>
        </a:scene3d>
        <a:sp3d z="-40000"/>
      </dsp:spPr>
      <dsp:style>
        <a:lnRef idx="1">
          <a:schemeClr val="accent3"/>
        </a:lnRef>
        <a:fillRef idx="0">
          <a:schemeClr val="accent3"/>
        </a:fillRef>
        <a:effectRef idx="0">
          <a:schemeClr val="accent3"/>
        </a:effectRef>
        <a:fontRef idx="minor">
          <a:schemeClr val="tx1"/>
        </a:fontRef>
      </dsp:style>
    </dsp:sp>
    <dsp:sp modelId="{FFC4083D-2F74-41ED-ADB0-9F5674570484}">
      <dsp:nvSpPr>
        <dsp:cNvPr id="0" name=""/>
        <dsp:cNvSpPr/>
      </dsp:nvSpPr>
      <dsp:spPr>
        <a:xfrm>
          <a:off x="3775255" y="1719325"/>
          <a:ext cx="1882594" cy="1023551"/>
        </a:xfrm>
        <a:prstGeom prst="roundRect">
          <a:avLst/>
        </a:prstGeom>
        <a:gradFill rotWithShape="0">
          <a:gsLst>
            <a:gs pos="0">
              <a:schemeClr val="accent3">
                <a:hueOff val="0"/>
                <a:satOff val="0"/>
                <a:lumOff val="0"/>
                <a:alphaOff val="0"/>
                <a:shade val="100000"/>
                <a:satMod val="120000"/>
              </a:schemeClr>
            </a:gs>
            <a:gs pos="69000">
              <a:schemeClr val="accent3">
                <a:hueOff val="0"/>
                <a:satOff val="0"/>
                <a:lumOff val="0"/>
                <a:alphaOff val="0"/>
                <a:tint val="80000"/>
                <a:shade val="100000"/>
                <a:satMod val="150000"/>
              </a:schemeClr>
            </a:gs>
            <a:gs pos="100000">
              <a:schemeClr val="accent3">
                <a:hueOff val="0"/>
                <a:satOff val="0"/>
                <a:lumOff val="0"/>
                <a:alphaOff val="0"/>
                <a:tint val="50000"/>
                <a:shade val="100000"/>
                <a:satMod val="150000"/>
              </a:schemeClr>
            </a:gs>
          </a:gsLst>
          <a:path path="circle">
            <a:fillToRect l="100000" t="100000" r="100000" b="100000"/>
          </a:path>
        </a:gradFill>
        <a:ln>
          <a:noFill/>
        </a:ln>
        <a:effectLst>
          <a:outerShdw blurRad="63500" dist="25400" dir="5400000" sx="101000" sy="101000" rotWithShape="0">
            <a:srgbClr val="000000">
              <a:alpha val="4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chemeClr val="tx1"/>
              </a:solidFill>
              <a:latin typeface="Book Antiqua"/>
              <a:cs typeface="Book Antiqua"/>
            </a:rPr>
            <a:t>Constantly looking for emerging practice (as opposed to best practice or benchmarking) to find new ways other players are already trying-out</a:t>
          </a:r>
        </a:p>
      </dsp:txBody>
      <dsp:txXfrm>
        <a:off x="3825221" y="1769291"/>
        <a:ext cx="1782662" cy="923619"/>
      </dsp:txXfrm>
    </dsp:sp>
    <dsp:sp modelId="{B959A7BB-2058-42D1-9E9C-803C4DD280FD}">
      <dsp:nvSpPr>
        <dsp:cNvPr id="0" name=""/>
        <dsp:cNvSpPr/>
      </dsp:nvSpPr>
      <dsp:spPr>
        <a:xfrm>
          <a:off x="1378443" y="399798"/>
          <a:ext cx="3385267" cy="3385267"/>
        </a:xfrm>
        <a:custGeom>
          <a:avLst/>
          <a:gdLst/>
          <a:ahLst/>
          <a:cxnLst/>
          <a:rect l="0" t="0" r="0" b="0"/>
          <a:pathLst>
            <a:path>
              <a:moveTo>
                <a:pt x="3149782" y="2553868"/>
              </a:moveTo>
              <a:arcTo wR="1692633" hR="1692633" stAng="1835090" swAng="1488784"/>
            </a:path>
          </a:pathLst>
        </a:custGeom>
        <a:noFill/>
        <a:ln w="28575" cap="flat" cmpd="sng" algn="ctr">
          <a:solidFill>
            <a:schemeClr val="accent3">
              <a:shade val="95000"/>
              <a:satMod val="105000"/>
            </a:schemeClr>
          </a:solidFill>
          <a:prstDash val="solid"/>
          <a:tailEnd type="arrow"/>
        </a:ln>
        <a:effectLst/>
        <a:scene3d>
          <a:camera prst="orthographicFront"/>
          <a:lightRig rig="flat" dir="t"/>
        </a:scene3d>
        <a:sp3d z="-40000"/>
      </dsp:spPr>
      <dsp:style>
        <a:lnRef idx="1">
          <a:schemeClr val="accent3"/>
        </a:lnRef>
        <a:fillRef idx="0">
          <a:schemeClr val="accent3"/>
        </a:fillRef>
        <a:effectRef idx="0">
          <a:schemeClr val="accent3"/>
        </a:effectRef>
        <a:fontRef idx="minor">
          <a:schemeClr val="tx1"/>
        </a:fontRef>
      </dsp:style>
    </dsp:sp>
    <dsp:sp modelId="{70418FA8-5266-4D29-89CE-F01A85F62696}">
      <dsp:nvSpPr>
        <dsp:cNvPr id="0" name=""/>
        <dsp:cNvSpPr/>
      </dsp:nvSpPr>
      <dsp:spPr>
        <a:xfrm>
          <a:off x="1949450" y="3285580"/>
          <a:ext cx="1879949" cy="1210206"/>
        </a:xfrm>
        <a:prstGeom prst="roundRect">
          <a:avLst/>
        </a:prstGeom>
        <a:gradFill rotWithShape="0">
          <a:gsLst>
            <a:gs pos="0">
              <a:schemeClr val="accent3">
                <a:hueOff val="0"/>
                <a:satOff val="0"/>
                <a:lumOff val="0"/>
                <a:alphaOff val="0"/>
                <a:shade val="100000"/>
                <a:satMod val="120000"/>
              </a:schemeClr>
            </a:gs>
            <a:gs pos="69000">
              <a:schemeClr val="accent3">
                <a:hueOff val="0"/>
                <a:satOff val="0"/>
                <a:lumOff val="0"/>
                <a:alphaOff val="0"/>
                <a:tint val="80000"/>
                <a:shade val="100000"/>
                <a:satMod val="150000"/>
              </a:schemeClr>
            </a:gs>
            <a:gs pos="100000">
              <a:schemeClr val="accent3">
                <a:hueOff val="0"/>
                <a:satOff val="0"/>
                <a:lumOff val="0"/>
                <a:alphaOff val="0"/>
                <a:tint val="50000"/>
                <a:shade val="100000"/>
                <a:satMod val="150000"/>
              </a:schemeClr>
            </a:gs>
          </a:gsLst>
          <a:path path="circle">
            <a:fillToRect l="100000" t="100000" r="100000" b="100000"/>
          </a:path>
        </a:gradFill>
        <a:ln>
          <a:noFill/>
        </a:ln>
        <a:effectLst>
          <a:outerShdw blurRad="63500" dist="25400" dir="5400000" sx="101000" sy="101000" rotWithShape="0">
            <a:srgbClr val="000000">
              <a:alpha val="4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chemeClr val="tx1"/>
              </a:solidFill>
              <a:latin typeface="Book Antiqua"/>
              <a:cs typeface="Book Antiqua"/>
            </a:rPr>
            <a:t>Constant small/pilot experimental changes to test new ways of doing things</a:t>
          </a:r>
        </a:p>
      </dsp:txBody>
      <dsp:txXfrm>
        <a:off x="2008527" y="3344657"/>
        <a:ext cx="1761795" cy="1092052"/>
      </dsp:txXfrm>
    </dsp:sp>
    <dsp:sp modelId="{5D3A7617-6F5C-48B4-9510-D127045501B0}">
      <dsp:nvSpPr>
        <dsp:cNvPr id="0" name=""/>
        <dsp:cNvSpPr/>
      </dsp:nvSpPr>
      <dsp:spPr>
        <a:xfrm>
          <a:off x="1022014" y="403263"/>
          <a:ext cx="3385267" cy="3385267"/>
        </a:xfrm>
        <a:custGeom>
          <a:avLst/>
          <a:gdLst/>
          <a:ahLst/>
          <a:cxnLst/>
          <a:rect l="0" t="0" r="0" b="0"/>
          <a:pathLst>
            <a:path>
              <a:moveTo>
                <a:pt x="716922" y="3075745"/>
              </a:moveTo>
              <a:arcTo wR="1692633" hR="1692633" stAng="7512055" swAng="1556762"/>
            </a:path>
          </a:pathLst>
        </a:custGeom>
        <a:noFill/>
        <a:ln w="28575" cap="flat" cmpd="sng" algn="ctr">
          <a:solidFill>
            <a:schemeClr val="accent3">
              <a:shade val="95000"/>
              <a:satMod val="105000"/>
            </a:schemeClr>
          </a:solidFill>
          <a:prstDash val="solid"/>
          <a:tailEnd type="arrow"/>
        </a:ln>
        <a:effectLst/>
        <a:scene3d>
          <a:camera prst="orthographicFront"/>
          <a:lightRig rig="flat" dir="t"/>
        </a:scene3d>
        <a:sp3d z="-40000"/>
      </dsp:spPr>
      <dsp:style>
        <a:lnRef idx="1">
          <a:schemeClr val="accent3"/>
        </a:lnRef>
        <a:fillRef idx="0">
          <a:schemeClr val="accent3"/>
        </a:fillRef>
        <a:effectRef idx="0">
          <a:schemeClr val="accent3"/>
        </a:effectRef>
        <a:fontRef idx="minor">
          <a:schemeClr val="tx1"/>
        </a:fontRef>
      </dsp:style>
    </dsp:sp>
    <dsp:sp modelId="{D4342DC1-DA22-4CDF-B696-695560BBE8F3}">
      <dsp:nvSpPr>
        <dsp:cNvPr id="0" name=""/>
        <dsp:cNvSpPr/>
      </dsp:nvSpPr>
      <dsp:spPr>
        <a:xfrm>
          <a:off x="0" y="1665922"/>
          <a:ext cx="2124593" cy="1023551"/>
        </a:xfrm>
        <a:prstGeom prst="roundRect">
          <a:avLst/>
        </a:prstGeom>
        <a:gradFill rotWithShape="0">
          <a:gsLst>
            <a:gs pos="0">
              <a:schemeClr val="accent3">
                <a:hueOff val="0"/>
                <a:satOff val="0"/>
                <a:lumOff val="0"/>
                <a:alphaOff val="0"/>
                <a:shade val="100000"/>
                <a:satMod val="120000"/>
              </a:schemeClr>
            </a:gs>
            <a:gs pos="69000">
              <a:schemeClr val="accent3">
                <a:hueOff val="0"/>
                <a:satOff val="0"/>
                <a:lumOff val="0"/>
                <a:alphaOff val="0"/>
                <a:tint val="80000"/>
                <a:shade val="100000"/>
                <a:satMod val="150000"/>
              </a:schemeClr>
            </a:gs>
            <a:gs pos="100000">
              <a:schemeClr val="accent3">
                <a:hueOff val="0"/>
                <a:satOff val="0"/>
                <a:lumOff val="0"/>
                <a:alphaOff val="0"/>
                <a:tint val="50000"/>
                <a:shade val="100000"/>
                <a:satMod val="150000"/>
              </a:schemeClr>
            </a:gs>
          </a:gsLst>
          <a:path path="circle">
            <a:fillToRect l="100000" t="100000" r="100000" b="100000"/>
          </a:path>
        </a:gradFill>
        <a:ln>
          <a:noFill/>
        </a:ln>
        <a:effectLst>
          <a:outerShdw blurRad="63500" dist="25400" dir="5400000" sx="101000" sy="101000" rotWithShape="0">
            <a:srgbClr val="000000">
              <a:alpha val="4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chemeClr val="tx1"/>
              </a:solidFill>
              <a:latin typeface="Book Antiqua"/>
              <a:cs typeface="Book Antiqua"/>
            </a:rPr>
            <a:t>Selection and amplification of what works to develop new business models, new experiences, adopt new technologies </a:t>
          </a:r>
        </a:p>
      </dsp:txBody>
      <dsp:txXfrm>
        <a:off x="49966" y="1715888"/>
        <a:ext cx="2024661" cy="923619"/>
      </dsp:txXfrm>
    </dsp:sp>
    <dsp:sp modelId="{50EEEE73-B6D3-4AA3-B1FE-0E3B55660467}">
      <dsp:nvSpPr>
        <dsp:cNvPr id="0" name=""/>
        <dsp:cNvSpPr/>
      </dsp:nvSpPr>
      <dsp:spPr>
        <a:xfrm>
          <a:off x="1012905" y="620145"/>
          <a:ext cx="3385267" cy="3385267"/>
        </a:xfrm>
        <a:custGeom>
          <a:avLst/>
          <a:gdLst/>
          <a:ahLst/>
          <a:cxnLst/>
          <a:rect l="0" t="0" r="0" b="0"/>
          <a:pathLst>
            <a:path>
              <a:moveTo>
                <a:pt x="229191" y="842136"/>
              </a:moveTo>
              <a:arcTo wR="1692633" hR="1692633" stAng="12609812" swAng="1431032"/>
            </a:path>
          </a:pathLst>
        </a:custGeom>
        <a:noFill/>
        <a:ln w="28575" cap="flat" cmpd="sng" algn="ctr">
          <a:solidFill>
            <a:schemeClr val="accent3">
              <a:shade val="95000"/>
              <a:satMod val="105000"/>
            </a:schemeClr>
          </a:solidFill>
          <a:prstDash val="solid"/>
          <a:tailEnd type="arrow"/>
        </a:ln>
        <a:effectLst/>
        <a:scene3d>
          <a:camera prst="orthographicFront"/>
          <a:lightRig rig="flat" dir="t"/>
        </a:scene3d>
        <a:sp3d z="-40000"/>
      </dsp:spPr>
      <dsp:style>
        <a:lnRef idx="1">
          <a:schemeClr val="accent3"/>
        </a:lnRef>
        <a:fillRef idx="0">
          <a:schemeClr val="accent3"/>
        </a:fillRef>
        <a:effectRef idx="0">
          <a:schemeClr val="accent3"/>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eeze">
      <a:majorFont>
        <a:latin typeface="News Gothic MT"/>
        <a:ea typeface=""/>
        <a:cs typeface=""/>
        <a:font script="Jpan" typeface="ＭＳ Ｐゴシック"/>
      </a:majorFont>
      <a:minorFont>
        <a:latin typeface="News Gothic MT"/>
        <a:ea typeface=""/>
        <a:cs typeface=""/>
        <a:font script="Jpan" typeface="ＭＳ Ｐゴシック"/>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b:Source>
    <b:Tag>UN13</b:Tag>
    <b:SourceType>Report</b:SourceType>
    <b:Guid>{FC6E98B0-8EA9-4702-B151-4823C6F313F6}</b:Guid>
    <b:Author>
      <b:Author>
        <b:NameList>
          <b:Person>
            <b:Last>UN</b:Last>
          </b:Person>
        </b:NameList>
      </b:Author>
    </b:Author>
    <b:Title>Global status report (20130: renewable energy policy network for the 21st century</b:Title>
    <b:Year>2013</b:Year>
    <b:City>Ney York</b:City>
    <b:Publisher>REN21</b:Publisher>
    <b:RefOrder>9</b:RefOrder>
  </b:Source>
  <b:Source>
    <b:Tag>UN2015</b:Tag>
    <b:SourceType>Report</b:SourceType>
    <b:Guid>{3EE5795B-ECC0-4BBA-85B6-9B4A06CD6EDA}</b:Guid>
    <b:Author>
      <b:Author>
        <b:NameList>
          <b:Person>
            <b:Last>UN</b:Last>
          </b:Person>
        </b:NameList>
      </b:Author>
    </b:Author>
    <b:Title>Framework convention on climate change (FCCC/CP/2015/L.9)</b:Title>
    <b:Year>2015</b:Year>
    <b:Publisher>The United Nations</b:Publisher>
    <b:City>Paris, France</b:City>
    <b:RefOrder>10</b:RefOrder>
  </b:Source>
  <b:Source>
    <b:Tag>Euro14</b:Tag>
    <b:SourceType>Report</b:SourceType>
    <b:Guid>{63469DE5-F9D6-490B-B097-1522A26EEC76}</b:Guid>
    <b:Author>
      <b:Author>
        <b:Corporate>European Commission</b:Corporate>
      </b:Author>
    </b:Author>
    <b:Title>Solar photovoltaics: an overview of European research and policy</b:Title>
    <b:Year>2014</b:Year>
    <b:Publisher>European Union</b:Publisher>
    <b:City>Brussels, Belgium</b:City>
    <b:RefOrder>11</b:RefOrder>
  </b:Source>
  <b:Source>
    <b:Tag>Sha13</b:Tag>
    <b:SourceType>Report</b:SourceType>
    <b:Guid>{141702E2-6F04-4649-A9B1-EB3517A763BF}</b:Guid>
    <b:Author>
      <b:Author>
        <b:NameList>
          <b:Person>
            <b:Last>OECD/IEA</b:Last>
          </b:Person>
        </b:NameList>
      </b:Author>
    </b:Author>
    <b:Title>World energy outlook</b:Title>
    <b:Year>2011</b:Year>
    <b:Publisher>International Energy Outlook</b:Publisher>
    <b:City>Paris, France</b:City>
    <b:RefOrder>12</b:RefOrder>
  </b:Source>
  <b:Source>
    <b:Tag>Afri81</b:Tag>
    <b:SourceType>Report</b:SourceType>
    <b:Guid>{767C1F03-2859-43EF-90EA-E19FAC4E8333}</b:Guid>
    <b:Author>
      <b:Author>
        <b:Corporate>African Union</b:Corporate>
      </b:Author>
    </b:Author>
    <b:Title>African Charter on Human and Peoples' Rights</b:Title>
    <b:Year>1981</b:Year>
    <b:Publisher>African Union</b:Publisher>
    <b:City>Banjul</b:City>
    <b:RefOrder>13</b:RefOrder>
  </b:Source>
  <b:Source>
    <b:Tag>Wol13</b:Tag>
    <b:SourceType>Book</b:SourceType>
    <b:Guid>{AB1E2012-4298-4548-BE68-0FEC4C3B5136}</b:Guid>
    <b:Author>
      <b:Author>
        <b:NameList>
          <b:Person>
            <b:Last>Wolfe</b:Last>
            <b:First>P.</b:First>
          </b:Person>
        </b:NameList>
      </b:Author>
    </b:Author>
    <b:Title>Solar photovoltaic projects in the mainstream power market</b:Title>
    <b:Year>2013</b:Year>
    <b:Publisher>Routledge</b:Publisher>
    <b:City>New York</b:City>
    <b:RefOrder>14</b:RefOrder>
  </b:Source>
  <b:Source>
    <b:Tag>Int04</b:Tag>
    <b:SourceType>Report</b:SourceType>
    <b:Guid>{46FC2322-BA9F-4A3E-8B32-56646119DE2B}</b:Guid>
    <b:Author>
      <b:Author>
        <b:Corporate>IEA</b:Corporate>
      </b:Author>
    </b:Author>
    <b:Title>World Energy Outlook</b:Title>
    <b:Year>2004</b:Year>
    <b:Publisher>IEA</b:Publisher>
    <b:City>Paris</b:City>
    <b:Pages>342</b:Pages>
    <b:RefOrder>15</b:RefOrder>
  </b:Source>
  <b:Source>
    <b:Tag>Uni07</b:Tag>
    <b:SourceType>DocumentFromInternetSite</b:SourceType>
    <b:Guid>{3FF2B8B5-4089-4AF3-9EE8-848EDC62D8C9}</b:Guid>
    <b:Author>
      <b:Author>
        <b:Corporate>USAID</b:Corporate>
      </b:Author>
    </b:Author>
    <b:Title>The Role of Energy in Development</b:Title>
    <b:Year>2007</b:Year>
    <b:Publisher>Energy Toolbox</b:Publisher>
    <b:URL>http://www.energytoolbox.org/library/infra2007/references/energy/The_Role_of_Energy_in_Development.pdf [Accessed 29 August 2015]</b:URL>
    <b:RefOrder>16</b:RefOrder>
  </b:Source>
  <b:Source>
    <b:Tag>Wen02</b:Tag>
    <b:SourceType>Report</b:SourceType>
    <b:Guid>{C5C8BE03-94FC-4FA5-9169-8929C99BF38B}</b:Guid>
    <b:Author>
      <b:Author>
        <b:NameList>
          <b:Person>
            <b:Last>Wennerberg</b:Last>
            <b:First>J.</b:First>
          </b:Person>
        </b:NameList>
      </b:Author>
    </b:Author>
    <b:Title>Design and stability of Cu(In,Ga)Se2-based solar cell modules</b:Title>
    <b:Year>2002</b:Year>
    <b:Publisher>Acta Universitatis Upsaliensis. Comprehensive Summaries of Uppsala Dissertations for the Faculty of Science and Technology</b:Publisher>
    <b:City>Uppsala ISBN 91-554-5214-0</b:City>
    <b:RefOrder>17</b:RefOrder>
  </b:Source>
  <b:Source>
    <b:Tag>Min15</b:Tag>
    <b:SourceType>DocumentFromInternetSite</b:SourceType>
    <b:Guid>{706B1986-40F9-4496-95B8-49DC0605E319}</b:Guid>
    <b:Author>
      <b:Author>
        <b:Corporate>Ministry of Energy and Petroleum (Kenya)</b:Corporate>
      </b:Author>
    </b:Author>
    <b:Title>Draft national energy and petroleum policy</b:Title>
    <b:Year>2015</b:Year>
    <b:InternetSiteTitle>http://www.energy.go.ke</b:InternetSiteTitle>
    <b:YearAccessed>2016</b:YearAccessed>
    <b:MonthAccessed>January</b:MonthAccessed>
    <b:DayAccessed>11</b:DayAccessed>
    <b:URL>http://www.energy.go.ke/downloads/The%20National%20Energy%20and%20Petroleum%20Policy,%202015.pdf</b:URL>
    <b:RefOrder>18</b:RefOrder>
  </b:Source>
  <b:Source>
    <b:Tag>NRE15</b:Tag>
    <b:SourceType>InternetSite</b:SourceType>
    <b:Guid>{2FBE352C-12E4-455C-8277-F216B3A256EC}</b:Guid>
    <b:Author>
      <b:Author>
        <b:NameList>
          <b:Person>
            <b:Last>NREL</b:Last>
          </b:Person>
        </b:NameList>
      </b:Author>
    </b:Author>
    <b:Title>Best research cell efficiencies</b:Title>
    <b:Year>2015</b:Year>
    <b:InternetSiteTitle>http://www.nrel.gov</b:InternetSiteTitle>
    <b:Month>December</b:Month>
    <b:Day>16</b:Day>
    <b:YearAccessed>2016</b:YearAccessed>
    <b:MonthAccessed>January</b:MonthAccessed>
    <b:DayAccessed>06</b:DayAccessed>
    <b:URL>http://www.nrel.gov/ncpv/images/efficiency_chart.jpg</b:URL>
    <b:RefOrder>19</b:RefOrder>
  </b:Source>
  <b:Source>
    <b:Tag>Mwa99</b:Tag>
    <b:SourceType>Report</b:SourceType>
    <b:Guid>{EEE76BEA-0C8C-4E45-95A4-D39DCEA3F297}</b:Guid>
    <b:Author>
      <b:Author>
        <b:NameList>
          <b:Person>
            <b:Last>Mwabora</b:Last>
            <b:First>J.</b:First>
          </b:Person>
        </b:NameList>
      </b:Author>
    </b:Author>
    <b:Title>Copper Indium Diselenide Based Solar Cells: Effect of Preparation Conditions and Thickness on Performance</b:Title>
    <b:Year>1999</b:Year>
    <b:Publisher>Ph.D Thesis, University of Dar es Salaam</b:Publisher>
    <b:City>Dar es Salaam</b:City>
    <b:RefOrder>20</b:RefOrder>
  </b:Source>
  <b:Source>
    <b:Tag>Mie98</b:Tag>
    <b:SourceType>ConferenceProceedings</b:SourceType>
    <b:Guid>{DF11C310-5EDA-4248-A180-88195C83F559}</b:Guid>
    <b:Author>
      <b:Author>
        <b:NameList>
          <b:Person>
            <b:Last>Mieke</b:Last>
            <b:First>W.</b:First>
          </b:Person>
        </b:NameList>
      </b:Author>
    </b:Author>
    <b:Title>Hot climate performance comparison between poly-crystalline and amorphous silicon cells connected to an utility mini-grid</b:Title>
    <b:Year>1998</b:Year>
    <b:Pages>464-470</b:Pages>
    <b:ConferenceName>36th Annual Conference of the Australian and New Zealand Solar Energy Society</b:ConferenceName>
    <b:City>Christchurch, New Zealand</b:City>
    <b:Publisher>Solar 98</b:Publisher>
    <b:RefOrder>21</b:RefOrder>
  </b:Source>
  <b:Source>
    <b:Tag>YeJ14</b:Tag>
    <b:SourceType>Report</b:SourceType>
    <b:Guid>{4E91424C-896E-4DBA-94DC-B792B1B98A71}</b:Guid>
    <b:Author>
      <b:Author>
        <b:NameList>
          <b:Person>
            <b:Last>Ye</b:Last>
            <b:First>J.</b:First>
          </b:Person>
        </b:NameList>
      </b:Author>
    </b:Author>
    <b:Title>Performance of various photovoltaic module technologies in practical climate condictions</b:Title>
    <b:Year>2014</b:Year>
    <b:Publisher>National University of Singapore</b:Publisher>
    <b:City>Kent Ridge</b:City>
    <b:RefOrder>22</b:RefOrder>
  </b:Source>
  <b:Source>
    <b:Tag>Stu92</b:Tag>
    <b:SourceType>BookSection</b:SourceType>
    <b:Guid>{BC4AAA60-CE19-437D-A8B4-C4F0BB075DE0}</b:Guid>
    <b:Author>
      <b:Author>
        <b:NameList>
          <b:Person>
            <b:Last>Stutzmann</b:Last>
            <b:First>M.</b:First>
          </b:Person>
        </b:NameList>
      </b:Author>
      <b:BookAuthor>
        <b:NameList>
          <b:Person>
            <b:Last>(Eds.)</b:Last>
            <b:First>J.</b:First>
            <b:Middle>Kanicki</b:Middle>
          </b:Person>
        </b:NameList>
      </b:BookAuthor>
    </b:Author>
    <b:Title>Metastability in amorphous and microcrystalline semiconductors</b:Title>
    <b:Pages>129-187</b:Pages>
    <b:Year>1992</b:Year>
    <b:City>Boston</b:City>
    <b:Publisher>Artech House</b:Publisher>
    <b:BookTitle>Amorphous and microcrystalline semiconductor devices</b:BookTitle>
    <b:RefOrder>23</b:RefOrder>
  </b:Source>
  <b:Source>
    <b:Tag>Jac00</b:Tag>
    <b:SourceType>ConferenceProceedings</b:SourceType>
    <b:Guid>{2D516B05-9627-4670-890F-4BCC780B262A}</b:Guid>
    <b:Author>
      <b:Author>
        <b:NameList>
          <b:Person>
            <b:Last>Jacobsen</b:Last>
            <b:First>A.</b:First>
          </b:Person>
          <b:Person>
            <b:Last>Duke</b:Last>
            <b:First>R.</b:First>
          </b:Person>
          <b:Person>
            <b:Last>Graham</b:Last>
            <b:First>S.</b:First>
          </b:Person>
          <b:Person>
            <b:Last>Hankins</b:Last>
            <b:First>M.</b:First>
          </b:Person>
          <b:Person>
            <b:Last>Kammen</b:Last>
            <b:First>D.</b:First>
          </b:Person>
          <b:Person>
            <b:Last>Osawa</b:Last>
            <b:First>B.</b:First>
          </b:Person>
          <b:Person>
            <b:Last>Pulver</b:Last>
            <b:First>S.</b:First>
          </b:Person>
          <b:Person>
            <b:Last>Walther</b:Last>
            <b:First>E.</b:First>
          </b:Person>
        </b:NameList>
      </b:Author>
    </b:Author>
    <b:Title>Field performance measurements of amorphous silicon photovoltaic modules in Kenya</b:Title>
    <b:Year>2000</b:Year>
    <b:ConferenceName>Proceedings of the 29th American Solar Energy Society</b:ConferenceName>
    <b:City>Madison</b:City>
    <b:Publisher>WI, USA</b:Publisher>
    <b:RefOrder>24</b:RefOrder>
  </b:Source>
  <b:Source>
    <b:Tag>Wij11</b:Tag>
    <b:SourceType>Report</b:SourceType>
    <b:Guid>{BDB41F89-9099-4D26-96D5-C6175ED3EE7F}</b:Guid>
    <b:Author>
      <b:Author>
        <b:NameList>
          <b:Person>
            <b:Last>Wijewarnasuriya</b:Last>
            <b:First>P.</b:First>
          </b:Person>
        </b:NameList>
      </b:Author>
    </b:Author>
    <b:Title>CdTe photovoltaic devices for solar cell applications</b:Title>
    <b:Year>2011</b:Year>
    <b:Publisher>Army Research Laboratory</b:Publisher>
    <b:City>Adelphi</b:City>
    <b:RefOrder>25</b:RefOrder>
  </b:Source>
  <b:Source>
    <b:Tag>Gre13</b:Tag>
    <b:SourceType>JournalArticle</b:SourceType>
    <b:Guid>{41296703-8573-4057-A3A3-8E4E350C44DF}</b:Guid>
    <b:Author>
      <b:Author>
        <b:NameList>
          <b:Person>
            <b:Last>Gretener</b:Last>
            <b:First>C.</b:First>
          </b:Person>
          <b:Person>
            <b:Last>Perrenoud</b:Last>
            <b:First>J.</b:First>
          </b:Person>
          <b:Person>
            <b:Last>Kranz</b:Last>
            <b:First>L.</b:First>
          </b:Person>
          <b:Person>
            <b:Last>Kneer</b:Last>
            <b:First>L.</b:First>
          </b:Person>
          <b:Person>
            <b:Last>Schmitt</b:Last>
            <b:First>R.</b:First>
          </b:Person>
          <b:Person>
            <b:Last>Buecheler</b:Last>
            <b:First>S.</b:First>
          </b:Person>
          <b:Person>
            <b:Last>Tiwari</b:Last>
            <b:First>A.</b:First>
          </b:Person>
        </b:NameList>
      </b:Author>
    </b:Author>
    <b:Title>CdTe/CdS thin film solar cells grown in substrate configuration</b:Title>
    <b:JournalName>Progress in Photovoltaics: Research and Applications</b:JournalName>
    <b:Year>2013</b:Year>
    <b:Pages>1580-1586</b:Pages>
    <b:Volume>21</b:Volume>
    <b:Issue>8</b:Issue>
    <b:RefOrder>26</b:RefOrder>
  </b:Source>
  <b:Source>
    <b:Tag>Mor99</b:Tag>
    <b:SourceType>Report</b:SourceType>
    <b:Guid>{6433E88A-1E05-41FF-AB24-ACAC325C75E5}</b:Guid>
    <b:Author>
      <b:Author>
        <b:NameList>
          <b:Person>
            <b:Last>Morgan</b:Last>
            <b:First>D.</b:First>
          </b:Person>
        </b:NameList>
      </b:Author>
    </b:Author>
    <b:Title>An investigation into degradation of CdTe solar cells</b:Title>
    <b:Year>1999</b:Year>
    <b:City>Golden, Colorado</b:City>
    <b:Publisher>Colorado School of Mines</b:Publisher>
    <b:RefOrder>27</b:RefOrder>
  </b:Source>
  <b:Source>
    <b:Tag>Ste15</b:Tag>
    <b:SourceType>InternetSite</b:SourceType>
    <b:Guid>{1CD28D6B-909E-43CA-8DA7-1AA0BC32A92E}</b:Guid>
    <b:Author>
      <b:Author>
        <b:NameList>
          <b:Person>
            <b:Last>Stechmann</b:Last>
            <b:First>G.</b:First>
          </b:Person>
        </b:NameList>
      </b:Author>
    </b:Author>
    <b:Title>CdTe solar cell material</b:Title>
    <b:Year>2015</b:Year>
    <b:InternetSiteTitle>http://www.mpie.de</b:InternetSiteTitle>
    <b:YearAccessed>2016</b:YearAccessed>
    <b:MonthAccessed>January</b:MonthAccessed>
    <b:DayAccessed>13</b:DayAccessed>
    <b:URL>http://www.mpie.de/3091258/Materials_CdTe</b:URL>
    <b:RefOrder>28</b:RefOrder>
  </b:Source>
  <b:Source>
    <b:Tag>Fer00</b:Tag>
    <b:SourceType>JournalArticle</b:SourceType>
    <b:Guid>{113CA255-503E-4D57-BA45-F1C3C3251A16}</b:Guid>
    <b:Author>
      <b:Author>
        <b:NameList>
          <b:Person>
            <b:Last>Ferekides</b:Last>
            <b:First>C.</b:First>
          </b:Person>
          <b:Person>
            <b:Last>Marinskiy</b:Last>
            <b:First>D.</b:First>
          </b:Person>
          <b:Person>
            <b:Last>Viswanathan</b:Last>
            <b:First>V.</b:First>
          </b:Person>
          <b:Person>
            <b:Last>Tetali</b:Last>
            <b:First>B.</b:First>
          </b:Person>
          <b:Person>
            <b:Last>Palekis</b:Last>
            <b:First>V.</b:First>
          </b:Person>
          <b:Person>
            <b:Last>Selvaraj</b:Last>
            <b:First>P.</b:First>
          </b:Person>
          <b:Person>
            <b:Last>Morel</b:Last>
            <b:First>D.</b:First>
          </b:Person>
        </b:NameList>
      </b:Author>
    </b:Author>
    <b:Title>High effciency CSS CdTe solar cells</b:Title>
    <b:JournalName>Thin Solid Films</b:JournalName>
    <b:Year>2000</b:Year>
    <b:Pages>520-526</b:Pages>
    <b:Volume>361-362</b:Volume>
    <b:RefOrder>29</b:RefOrder>
  </b:Source>
  <b:Source>
    <b:Tag>Era05</b:Tag>
    <b:SourceType>Report</b:SourceType>
    <b:Guid>{131F7F5A-CFDF-4908-BBF2-FC16EC505C86}</b:Guid>
    <b:Author>
      <b:Author>
        <b:NameList>
          <b:Person>
            <b:Last>Era</b:Last>
            <b:First>S.</b:First>
          </b:Person>
        </b:NameList>
      </b:Author>
    </b:Author>
    <b:Title>Stability studies of CdTe solar cells with varying amounts of Cu in the back contact</b:Title>
    <b:Year>2005</b:Year>
    <b:Publisher>University of South Florida</b:Publisher>
    <b:City>Tampa, Florida, USA</b:City>
    <b:RefOrder>30</b:RefOrder>
  </b:Source>
  <b:Source>
    <b:Tag>deW13</b:Tag>
    <b:SourceType>JournalArticle</b:SourceType>
    <b:Guid>{5B8CC81E-CAF9-45A8-B0DF-2E6F840961E9}</b:Guid>
    <b:Author>
      <b:Author>
        <b:NameList>
          <b:Person>
            <b:Last>de Wild-Scholten</b:Last>
            <b:First>M.</b:First>
          </b:Person>
        </b:NameList>
      </b:Author>
    </b:Author>
    <b:Title>Energy payback time and carbon footprint of commercial photovoltaic systems</b:Title>
    <b:Year>2013</b:Year>
    <b:JournalName>Solar Energy Materials and Solar Cells</b:JournalName>
    <b:Pages>296-305</b:Pages>
    <b:Volume>119</b:Volume>
    <b:RefOrder>31</b:RefOrder>
  </b:Source>
  <b:Source>
    <b:Tag>Shu90</b:Tag>
    <b:SourceType>Book</b:SourceType>
    <b:Guid>{C79DD536-5929-4B9A-BB68-E32209B0517C}</b:Guid>
    <b:Author>
      <b:Author>
        <b:NameList>
          <b:Person>
            <b:Last>Shur</b:Last>
            <b:First>M.</b:First>
          </b:Person>
        </b:NameList>
      </b:Author>
    </b:Author>
    <b:Title>Physics of semiconductor devices</b:Title>
    <b:Year>1990</b:Year>
    <b:Publisher>Prentice Hall</b:Publisher>
    <b:City>Englewood Cliffs, New Jersey</b:City>
    <b:RefOrder>32</b:RefOrder>
  </b:Source>
  <b:Source>
    <b:Tag>Kus01</b:Tag>
    <b:SourceType>JournalArticle</b:SourceType>
    <b:Guid>{7EBE03F7-987F-4C26-8448-93E9786A2548}</b:Guid>
    <b:Author>
      <b:Author>
        <b:NameList>
          <b:Person>
            <b:Last>Kushiya</b:Last>
            <b:First>K.</b:First>
          </b:Person>
          <b:Person>
            <b:Last>Tachiyuki</b:Last>
            <b:First>M.</b:First>
          </b:Person>
          <b:Person>
            <b:Last>Nagoya</b:Last>
            <b:First>Y.</b:First>
          </b:Person>
          <b:Person>
            <b:Last>Fujimaki</b:Last>
            <b:First>A.</b:First>
          </b:Person>
          <b:Person>
            <b:Last>Sang</b:Last>
            <b:First>B.</b:First>
          </b:Person>
          <b:Person>
            <b:Last>Okumura</b:Last>
            <b:First>D.</b:First>
          </b:Person>
          <b:Person>
            <b:Last>Satoh</b:Last>
            <b:First>M.</b:First>
          </b:Person>
          <b:Person>
            <b:Last>Yamase</b:Last>
            <b:First>O.</b:First>
          </b:Person>
        </b:NameList>
      </b:Author>
    </b:Author>
    <b:Title>Progress in large-area Cu(InGa)Se2-based thin film modules with a Zn(O,S,OH)x buffer layer</b:Title>
    <b:JournalName>Solar Energy Materials and Solar Cells</b:JournalName>
    <b:Year>2001</b:Year>
    <b:Pages>67-76</b:Pages>
    <b:Volume>67</b:Volume>
    <b:RefOrder>33</b:RefOrder>
  </b:Source>
  <b:Source>
    <b:Tag>Bir01</b:Tag>
    <b:SourceType>JournalArticle</b:SourceType>
    <b:Guid>{CC72C239-29AA-4D23-BFC9-AAA9120B479B}</b:Guid>
    <b:Author>
      <b:Author>
        <b:NameList>
          <b:Person>
            <b:Last>Birkmire</b:Last>
            <b:First>R.</b:First>
          </b:Person>
        </b:NameList>
      </b:Author>
    </b:Author>
    <b:Title>Compund polycrystalline solar cells: Recent progress and Y2K perspective</b:Title>
    <b:JournalName>Solar Energy Materials and Solar Cells</b:JournalName>
    <b:Year>2001</b:Year>
    <b:Pages>17-28</b:Pages>
    <b:Volume>65</b:Volume>
    <b:RefOrder>34</b:RefOrder>
  </b:Source>
  <b:Source>
    <b:Tag>Haw96</b:Tag>
    <b:SourceType>Book</b:SourceType>
    <b:Guid>{0C3F15F1-3981-474F-8206-42E0CF8D4AC7}</b:Guid>
    <b:Author>
      <b:Author>
        <b:NameList>
          <b:Person>
            <b:Last>Haworth</b:Last>
            <b:First>J.</b:First>
            <b:Middle>(Ed)</b:Middle>
          </b:Person>
        </b:NameList>
      </b:Author>
    </b:Author>
    <b:Title>Psychological research: innovative methods and strategies</b:Title>
    <b:Year>1996</b:Year>
    <b:City>London</b:City>
    <b:Publisher>Routledge</b:Publisher>
    <b:RefOrder>35</b:RefOrder>
  </b:Source>
  <b:Source>
    <b:Tag>Moo99</b:Tag>
    <b:SourceType>Book</b:SourceType>
    <b:Guid>{92DA5CA8-24FB-42B5-BA88-4DAD6CA0580F}</b:Guid>
    <b:Author>
      <b:Author>
        <b:NameList>
          <b:Person>
            <b:Last>Moore</b:Last>
            <b:First>G.</b:First>
          </b:Person>
        </b:NameList>
      </b:Author>
    </b:Author>
    <b:Title>Crossing the chasm: Marketing and selling high-tech products to mainstream consumers</b:Title>
    <b:Year>1999</b:Year>
    <b:City>New York</b:City>
    <b:Publisher>HarperPerennial</b:Publisher>
    <b:RefOrder>36</b:RefOrder>
  </b:Source>
  <b:Source>
    <b:Tag>You11</b:Tag>
    <b:SourceType>JournalArticle</b:SourceType>
    <b:Guid>{8DA63C7F-7145-453F-80D1-2EE0B1FEEA48}</b:Guid>
    <b:Author>
      <b:Author>
        <b:NameList>
          <b:Person>
            <b:Last>Young</b:Last>
            <b:First>H.</b:First>
          </b:Person>
        </b:NameList>
      </b:Author>
    </b:Author>
    <b:Title>The dynamics of social innovation</b:Title>
    <b:JournalName>Proceedings of the National Academy of Sciences</b:JournalName>
    <b:Year>2011</b:Year>
    <b:Pages>21285-21291</b:Pages>
    <b:Volume>108</b:Volume>
    <b:RefOrder>37</b:RefOrder>
  </b:Source>
  <b:Source>
    <b:Tag>Pea01</b:Tag>
    <b:SourceType>JournalArticle</b:SourceType>
    <b:Guid>{44A0C8EB-AA51-47D5-A513-506685280045}</b:Guid>
    <b:Author>
      <b:Author>
        <b:NameList>
          <b:Person>
            <b:Last>Peattie</b:Last>
            <b:First>K.</b:First>
          </b:Person>
        </b:NameList>
      </b:Author>
    </b:Author>
    <b:Title>Golgen goose of wild goose? The hunt for the green consumer</b:Title>
    <b:JournalName>Business Strategy and the Environment</b:JournalName>
    <b:Year>2001</b:Year>
    <b:Pages>187-199</b:Pages>
    <b:Volume>10</b:Volume>
    <b:RefOrder>38</b:RefOrder>
  </b:Source>
  <b:Source>
    <b:Tag>Dev07</b:Tag>
    <b:SourceType>BookSection</b:SourceType>
    <b:Guid>{B66662A0-4291-4704-BE43-4CA946537C0C}</b:Guid>
    <b:Author>
      <b:Author>
        <b:NameList>
          <b:Person>
            <b:Last>Devine-Wright</b:Last>
            <b:First>P.</b:First>
          </b:Person>
        </b:NameList>
      </b:Author>
      <b:BookAuthor>
        <b:NameList>
          <b:Person>
            <b:Last>Jamasb</b:Last>
            <b:First>T.</b:First>
          </b:Person>
          <b:Person>
            <b:Last>Grubb</b:Last>
            <b:First>M.</b:First>
          </b:Person>
          <b:Person>
            <b:Last>Pollitt</b:Last>
            <b:First>M.</b:First>
            <b:Middle>(Eds)</b:Middle>
          </b:Person>
        </b:NameList>
      </b:BookAuthor>
    </b:Author>
    <b:Title>Reconsidering public acceptance of renewable energy technologies: a critical review</b:Title>
    <b:Year>2007</b:Year>
    <b:Publisher>Cambridge University Press</b:Publisher>
    <b:City>Cambridge</b:City>
    <b:BookTitle>Delivering a low carbon electricity system: technologies, economies and policy</b:BookTitle>
    <b:RefOrder>39</b:RefOrder>
  </b:Source>
  <b:Source>
    <b:Tag>Dep03</b:Tag>
    <b:SourceType>DocumentFromInternetSite</b:SourceType>
    <b:Guid>{512450FC-ADD6-4D40-873E-9806B96E3B38}</b:Guid>
    <b:Author>
      <b:Author>
        <b:Corporate>Department of Trade and Industry; Scottish Executive</b:Corporate>
      </b:Author>
    </b:Author>
    <b:Title>Attitudes and knowledge of renewable energy amongst the general public: report findings</b:Title>
    <b:Year>2003</b:Year>
    <b:InternetSiteTitle>http://www.dti.gov.uk</b:InternetSiteTitle>
    <b:YearAccessed>2016</b:YearAccessed>
    <b:MonthAccessed>January</b:MonthAccessed>
    <b:DayAccessed>18</b:DayAccessed>
    <b:URL>http://www.dti.gov.uk/renewables/policy_pdfs/nationalreport.pdf</b:URL>
    <b:RefOrder>40</b:RefOrder>
  </b:Source>
  <b:Source>
    <b:Tag>MOR03</b:Tag>
    <b:SourceType>DocumentFromInternetSite</b:SourceType>
    <b:Guid>{AC1EDFC2-3ECB-442C-B6FD-F9D444C91C5D}</b:Guid>
    <b:Author>
      <b:Author>
        <b:Corporate>MORI Social Research Institute for Regen South West</b:Corporate>
      </b:Author>
    </b:Author>
    <b:Title>Public attitudes towards renewable energy in the south west</b:Title>
    <b:InternetSiteTitle>http://www.regensw.co.uk</b:InternetSiteTitle>
    <b:Year>2003</b:Year>
    <b:YearAccessed>2016</b:YearAccessed>
    <b:MonthAccessed>January</b:MonthAccessed>
    <b:DayAccessed>18</b:DayAccessed>
    <b:URL>http://www.regensw.co.uk/content-download/REPORT-MORIPublicAttitudes.pdf</b:URL>
    <b:RefOrder>41</b:RefOrder>
  </b:Source>
  <b:Source>
    <b:Tag>Lon03</b:Tag>
    <b:SourceType>Report</b:SourceType>
    <b:Guid>{EE3B9D09-21C1-4E4D-AC0A-78F32DFC7AB4}</b:Guid>
    <b:Author>
      <b:Author>
        <b:Corporate>London Renewables</b:Corporate>
      </b:Author>
    </b:Author>
    <b:Title>Attitudes to renewable energy in London: public and stakeholder opinion and the scope of progress</b:Title>
    <b:Year>2003</b:Year>
    <b:City>London</b:City>
    <b:Publisher>Greater London Authority</b:Publisher>
    <b:RefOrder>42</b:RefOrder>
  </b:Source>
  <b:Source>
    <b:Tag>Dor96</b:Tag>
    <b:SourceType>JournalArticle</b:SourceType>
    <b:Guid>{60CB6CE2-84C1-4DB9-B8CB-072DE11A6592}</b:Guid>
    <b:Author>
      <b:Author>
        <b:NameList>
          <b:Person>
            <b:Last>Dorshimer</b:Last>
            <b:First>K.</b:First>
          </b:Person>
        </b:NameList>
      </b:Author>
    </b:Author>
    <b:Title>Siting major projects and the NIMBY phenomenon: the Decker Energy Project in Charlotte, Michigan</b:Title>
    <b:JournalName>Economic Development Review</b:JournalName>
    <b:Year>1996</b:Year>
    <b:Pages>60-62</b:Pages>
    <b:Volume>14</b:Volume>
    <b:Issue>1</b:Issue>
    <b:RefOrder>43</b:RefOrder>
  </b:Source>
  <b:Source>
    <b:Tag>And97</b:Tag>
    <b:SourceType>BookSection</b:SourceType>
    <b:Guid>{B3F892AC-B766-4734-88D6-B676282F1A3A}</b:Guid>
    <b:Author>
      <b:Author>
        <b:NameList>
          <b:Person>
            <b:Last>Anderson</b:Last>
          </b:Person>
        </b:NameList>
      </b:Author>
      <b:BookAuthor>
        <b:NameList>
          <b:Person>
            <b:Last>(Eds)</b:Last>
            <b:First>S.</b:First>
            <b:Middle>Krohn and S. Damborg</b:Middle>
          </b:Person>
        </b:NameList>
      </b:BookAuthor>
    </b:Author>
    <b:Title>Rapport om hvordan en dansk commune blev selvforsynende med ren vindenergyi og skabte ny indkomst til kummunens borgere. Nordvestjysk Folkecenter for Vedvarende Energyi</b:Title>
    <b:Year>1997</b:Year>
    <b:Pages>954-960</b:Pages>
    <b:BookTitle>On public attitudes to wind power</b:BookTitle>
    <b:Publisher>Renewable Energy 1999</b:Publisher>
    <b:Volume>16</b:Volume>
    <b:RefOrder>44</b:RefOrder>
  </b:Source>
  <b:Source>
    <b:Tag>MOR05</b:Tag>
    <b:SourceType>InternetSite</b:SourceType>
    <b:Guid>{BC463B2A-CB77-48F7-85C1-96DE068ECB69}</b:Guid>
    <b:Author>
      <b:Author>
        <b:Corporate>MORI Scotland for BBC Scotland</b:Corporate>
      </b:Author>
    </b:Author>
    <b:Title>Habridean windfarm plans</b:Title>
    <b:Year>2005</b:Year>
    <b:InternetSiteTitle>http://www.ipsos-mori.com</b:InternetSiteTitle>
    <b:YearAccessed>2016</b:YearAccessed>
    <b:MonthAccessed>January</b:MonthAccessed>
    <b:DayAccessed>19</b:DayAccessed>
    <b:URL>http://www.ipsos-mori.com/polls/2005/bbcscotland.shtml</b:URL>
    <b:RefOrder>45</b:RefOrder>
  </b:Source>
  <b:Source>
    <b:Tag>Gor10</b:Tag>
    <b:SourceType>InternetSite</b:SourceType>
    <b:Guid>{A52DE7E9-F539-4DA3-8703-4F511B8CC6F6}</b:Guid>
    <b:Author>
      <b:Author>
        <b:NameList>
          <b:Person>
            <b:Last>Gordon</b:Last>
            <b:First>W.</b:First>
          </b:Person>
        </b:NameList>
      </b:Author>
    </b:Author>
    <b:Title>The philosophy of social science</b:Title>
    <b:Year>2010</b:Year>
    <b:InternetSiteTitle>http://www.iep.utm.edu</b:InternetSiteTitle>
    <b:YearAccessed>2016</b:YearAccessed>
    <b:MonthAccessed>January</b:MonthAccessed>
    <b:DayAccessed>26</b:DayAccessed>
    <b:URL>http://www.iep.utm.edu/soc-sci/</b:URL>
    <b:RefOrder>46</b:RefOrder>
  </b:Source>
  <b:Source>
    <b:Tag>USD06</b:Tag>
    <b:SourceType>Report</b:SourceType>
    <b:Guid>{5C853DE8-2D75-4B12-BDB3-AF57E092D516}</b:Guid>
    <b:Author>
      <b:Author>
        <b:Corporate>US Department of Energy</b:Corporate>
      </b:Author>
    </b:Author>
    <b:Title>DOE solar energy technologies program: overview and highlights</b:Title>
    <b:Year>2006</b:Year>
    <b:Publisher>US Department of Energy</b:Publisher>
    <b:City>Oak Ridge</b:City>
    <b:RefOrder>47</b:RefOrder>
  </b:Source>
  <b:Source>
    <b:Tag>UNI12</b:Tag>
    <b:SourceType>Report</b:SourceType>
    <b:Guid>{80EADC3D-5A2C-49B5-A789-8E9E9C19F7DB}</b:Guid>
    <b:Author>
      <b:Author>
        <b:Corporate>UNIDO</b:Corporate>
      </b:Author>
    </b:Author>
    <b:Title>Clean energy and environmental stewardship</b:Title>
    <b:Year>2012</b:Year>
    <b:Publisher>The United Nations Industrial Development Organization</b:Publisher>
    <b:City>Vienna, Austria</b:City>
    <b:Pages>1-24</b:Pages>
    <b:RefOrder>48</b:RefOrder>
  </b:Source>
  <b:Source>
    <b:Tag>Dos05</b:Tag>
    <b:SourceType>Report</b:SourceType>
    <b:Guid>{E5C42DC7-7EC8-4015-A775-FE8644D917DD}</b:Guid>
    <b:Author>
      <b:Author>
        <b:NameList>
          <b:Person>
            <b:Last>Doss</b:Last>
            <b:First>C.</b:First>
          </b:Person>
        </b:NameList>
      </b:Author>
    </b:Author>
    <b:Title>Analyzing technology adoption: challenges and limitations of micro-studies</b:Title>
    <b:Year>2005</b:Year>
    <b:Publisher>Yale Centre for International and Area Studies</b:Publisher>
    <b:City>New Haven, USA</b:City>
    <b:RefOrder>49</b:RefOrder>
  </b:Source>
  <b:Source>
    <b:Tag>Sta10</b:Tag>
    <b:SourceType>JournalArticle</b:SourceType>
    <b:Guid>{FB4173C1-FF2F-424C-A79C-1C7DA58F9618}</b:Guid>
    <b:Author>
      <b:Author>
        <b:Corporate>State of Wisconsin</b:Corporate>
      </b:Author>
    </b:Author>
    <b:Title>Senate journals 2009-2010 session</b:Title>
    <b:Year>2010</b:Year>
    <b:JournalName>Journal of the Senate</b:JournalName>
    <b:Pages>1-933</b:Pages>
    <b:RefOrder>50</b:RefOrder>
  </b:Source>
  <b:Source>
    <b:Tag>UND13</b:Tag>
    <b:SourceType>Report</b:SourceType>
    <b:Guid>{AE69A0F7-09BF-43EC-BF31-46467CAE0F55}</b:Guid>
    <b:Author>
      <b:Author>
        <b:Corporate>UN-DESA</b:Corporate>
      </b:Author>
    </b:Author>
    <b:Title>World economic and social survey: sustainable development challenges</b:Title>
    <b:Year>2013</b:Year>
    <b:Publisher>The United Nations</b:Publisher>
    <b:City>New York</b:City>
    <b:RefOrder>51</b:RefOrder>
  </b:Source>
  <b:Source>
    <b:Tag>Lar09</b:Tag>
    <b:SourceType>Report</b:SourceType>
    <b:Guid>{5C363706-8D49-4514-9BF8-4FBDDDC707C3}</b:Guid>
    <b:Author>
      <b:Author>
        <b:NameList>
          <b:Person>
            <b:Last>Larusdottir</b:Last>
            <b:First>M.</b:First>
          </b:Person>
        </b:NameList>
      </b:Author>
    </b:Author>
    <b:Title>Listen to your users: the effect of usability evaluation on software development practice</b:Title>
    <b:Year>2009</b:Year>
    <b:Publisher>Uppsala University</b:Publisher>
    <b:City>Uppsala, Sweden</b:City>
    <b:RefOrder>52</b:RefOrder>
  </b:Source>
  <b:Source>
    <b:Tag>DeV01</b:Tag>
    <b:SourceType>Book</b:SourceType>
    <b:Guid>{66FA6095-B789-4797-8084-9F8C65BE0FFB}</b:Guid>
    <b:Author>
      <b:Author>
        <b:NameList>
          <b:Person>
            <b:Last>De Vaus</b:Last>
            <b:First>D.</b:First>
          </b:Person>
        </b:NameList>
      </b:Author>
    </b:Author>
    <b:Title>Research design in social research</b:Title>
    <b:Year>2001</b:Year>
    <b:City>London</b:City>
    <b:Publisher>Sage</b:Publisher>
    <b:RefOrder>53</b:RefOrder>
  </b:Source>
  <b:Source>
    <b:Tag>Jae88</b:Tag>
    <b:SourceType>Book</b:SourceType>
    <b:Guid>{EFD07000-7DF0-485C-9070-88F0FEAE05FF}</b:Guid>
    <b:Author>
      <b:Author>
        <b:NameList>
          <b:Person>
            <b:Last>Jaeger</b:Last>
            <b:First>R.</b:First>
          </b:Person>
        </b:NameList>
      </b:Author>
    </b:Author>
    <b:Title>Survey methods in educational research</b:Title>
    <b:Year>1988</b:Year>
    <b:City>Washingtin, DC</b:City>
    <b:Publisher>Brooking Institution Press</b:Publisher>
    <b:RefOrder>54</b:RefOrder>
  </b:Source>
  <b:Source>
    <b:Tag>KNB10</b:Tag>
    <b:SourceType>Report</b:SourceType>
    <b:Guid>{ED0EE0AB-0C40-432F-BECF-5C10D64642E7}</b:Guid>
    <b:Author>
      <b:Author>
        <b:NameList>
          <b:Person>
            <b:Last>KNBS</b:Last>
          </b:Person>
        </b:NameList>
      </b:Author>
    </b:Author>
    <b:Title>The 2009 population and housing census</b:Title>
    <b:Year>2010</b:Year>
    <b:Publisher>Kenya National Bureau of Statistics</b:Publisher>
    <b:City>Nairobi</b:City>
    <b:RefOrder>55</b:RefOrder>
  </b:Source>
  <b:Source>
    <b:Tag>Waj13</b:Tag>
    <b:SourceType>Report</b:SourceType>
    <b:Guid>{482AAD84-FC5D-44DB-934E-C620FA2AE1BC}</b:Guid>
    <b:Author>
      <b:Author>
        <b:Corporate>Wajir County Government</b:Corporate>
      </b:Author>
    </b:Author>
    <b:Title>First county integrated development plan 2013-2017</b:Title>
    <b:Year>2013</b:Year>
    <b:Publisher>Republic of Kenya</b:Publisher>
    <b:City>Nairobi</b:City>
    <b:RefOrder>56</b:RefOrder>
  </b:Source>
  <b:Source>
    <b:Tag>Vih13</b:Tag>
    <b:SourceType>Report</b:SourceType>
    <b:Guid>{3420BA3B-E499-472A-9878-19963F2BBAF9}</b:Guid>
    <b:Author>
      <b:Author>
        <b:Corporate>Vihiga County Government</b:Corporate>
      </b:Author>
    </b:Author>
    <b:Title>First County Integrated Development Plan 2013-2017</b:Title>
    <b:Year>2013</b:Year>
    <b:Publisher>Republic of Kenya</b:Publisher>
    <b:City>Nairobi</b:City>
    <b:RefOrder>57</b:RefOrder>
  </b:Source>
  <b:Source>
    <b:Tag>KNB13</b:Tag>
    <b:SourceType>BookSection</b:SourceType>
    <b:Guid>{05437EDB-881C-4198-8DD5-8560080BD921}</b:Guid>
    <b:Author>
      <b:Author>
        <b:NameList>
          <b:Person>
            <b:Last>KNBS</b:Last>
          </b:Person>
        </b:NameList>
      </b:Author>
    </b:Author>
    <b:Title>Kenya population projections</b:Title>
    <b:Year>2013</b:Year>
    <b:City>Nairobi</b:City>
    <b:Publisher>Kenya National Bureau of Statistics</b:Publisher>
    <b:RefOrder>58</b:RefOrder>
  </b:Source>
  <b:Source>
    <b:Tag>Kit14</b:Tag>
    <b:SourceType>Report</b:SourceType>
    <b:Guid>{CDA13A28-0076-4FC9-8A34-A930E0CB954E}</b:Guid>
    <b:Author>
      <b:Author>
        <b:Corporate>Kitui County Government</b:Corporate>
      </b:Author>
    </b:Author>
    <b:Title>County integrated development plan 2013-2017</b:Title>
    <b:Year>2014</b:Year>
    <b:City>Nairobi</b:City>
    <b:Publisher>Republic of Kenya</b:Publisher>
    <b:RefOrder>59</b:RefOrder>
  </b:Source>
  <b:Source>
    <b:Tag>Kaj131</b:Tag>
    <b:SourceType>Report</b:SourceType>
    <b:Guid>{97C4B23B-1610-4887-82C8-17A5446C1758}</b:Guid>
    <b:Author>
      <b:Author>
        <b:Corporate>Kajiado County Government</b:Corporate>
      </b:Author>
    </b:Author>
    <b:Title>First county integrated development plan 2013-2017</b:Title>
    <b:Year>2013</b:Year>
    <b:Publisher>Republic of Kenya</b:Publisher>
    <b:City>Nairobi</b:City>
    <b:RefOrder>60</b:RefOrder>
  </b:Source>
  <b:Source>
    <b:Tag>Muned</b:Tag>
    <b:SourceType>DocumentFromInternetSite</b:SourceType>
    <b:Guid>{4236C3E0-7F33-49C5-8C37-88CFAE24D0EA}</b:Guid>
    <b:Author>
      <b:Author>
        <b:NameList>
          <b:Person>
            <b:Last>Munene</b:Last>
            <b:First>F.</b:First>
          </b:Person>
        </b:NameList>
      </b:Author>
    </b:Author>
    <b:Title>Household population and housing characteristics</b:Title>
    <b:Year>Undated</b:Year>
    <b:InternetSiteTitle>http://dhsprogram.com</b:InternetSiteTitle>
    <b:YearAccessed>2016</b:YearAccessed>
    <b:MonthAccessed>January</b:MonthAccessed>
    <b:DayAccessed>23</b:DayAccessed>
    <b:URL>http://dhsprogram.com/pubs/pdf/FR151/02Chapter02.pdf</b:URL>
    <b:RefOrder>61</b:RefOrder>
  </b:Source>
  <b:Source>
    <b:Tag>Kum89</b:Tag>
    <b:SourceType>Report</b:SourceType>
    <b:Guid>{0509EEF7-158B-43A7-9F50-39ED2762698C}</b:Guid>
    <b:Author>
      <b:Author>
        <b:NameList>
          <b:Person>
            <b:Last>Kumar</b:Last>
            <b:First>K.</b:First>
          </b:Person>
        </b:NameList>
      </b:Author>
    </b:Author>
    <b:Title>Conducting key informant interviews in developing countries</b:Title>
    <b:Year>1989</b:Year>
    <b:City>Washington, DC</b:City>
    <b:Publisher>Agency for International Development</b:Publisher>
    <b:RefOrder>62</b:RefOrder>
  </b:Source>
  <b:Source>
    <b:Tag>Kot85</b:Tag>
    <b:SourceType>Book</b:SourceType>
    <b:Guid>{10EC706C-1ED6-41FC-93FC-2AD546466C63}</b:Guid>
    <b:Author>
      <b:Author>
        <b:NameList>
          <b:Person>
            <b:Last>Kothari</b:Last>
            <b:First>C.</b:First>
          </b:Person>
        </b:NameList>
      </b:Author>
    </b:Author>
    <b:Title>Research methodology: Methods and techniques</b:Title>
    <b:Year>1985</b:Year>
    <b:Publisher>Wiley Eastern Ltd.</b:Publisher>
    <b:City>New Delhi</b:City>
    <b:RefOrder>63</b:RefOrder>
  </b:Source>
  <b:Source>
    <b:Tag>Lab14</b:Tag>
    <b:SourceType>InternetSite</b:SourceType>
    <b:Guid>{73FE5E20-56D3-478F-BDB5-81CE41A7A432}</b:Guid>
    <b:Author>
      <b:Author>
        <b:NameList>
          <b:Person>
            <b:Last>Labaree</b:Last>
            <b:First>R.</b:First>
          </b:Person>
        </b:NameList>
      </b:Author>
    </b:Author>
    <b:Title>http://libguides.usc.edu/content.php?pid=83009&amp;sid=616083</b:Title>
    <b:Year>2014</b:Year>
    <b:InternetSiteTitle>http://libguides.usc.edu</b:InternetSiteTitle>
    <b:Month>July</b:Month>
    <b:Day>28</b:Day>
    <b:YearAccessed>2014</b:YearAccessed>
    <b:MonthAccessed>July</b:MonthAccessed>
    <b:DayAccessed>30</b:DayAccessed>
    <b:URL>http://libguides.usc.edu/content.php?pid=83009&amp;sid=616083</b:URL>
    <b:RefOrder>64</b:RefOrder>
  </b:Source>
  <b:Source>
    <b:Tag>Ele08</b:Tag>
    <b:SourceType>InternetSite</b:SourceType>
    <b:Guid>{10ADA73D-40D0-4DCD-B75B-761EEC312ACC}</b:Guid>
    <b:Author>
      <b:Author>
        <b:NameList>
          <b:Person>
            <b:Last>Elert</b:Last>
            <b:First>G.</b:First>
          </b:Person>
        </b:NameList>
      </b:Author>
    </b:Author>
    <b:Title>The Physics hypertextbook</b:Title>
    <b:Year>2008</b:Year>
    <b:InternetSiteTitle>http://physics.info</b:InternetSiteTitle>
    <b:YearAccessed>2015</b:YearAccessed>
    <b:MonthAccessed>November</b:MonthAccessed>
    <b:DayAccessed>15</b:DayAccessed>
    <b:URL>http://physics.info/energy/</b:URL>
    <b:RefOrder>65</b:RefOrder>
  </b:Source>
  <b:Source>
    <b:Tag>Leh73</b:Tag>
    <b:SourceType>JournalArticle</b:SourceType>
    <b:Guid>{BDD8F673-41DE-48FC-8568-36EB6D768224}</b:Guid>
    <b:Author>
      <b:Author>
        <b:NameList>
          <b:Person>
            <b:Last>Lehrman</b:Last>
            <b:First>R.L.</b:First>
          </b:Person>
        </b:NameList>
      </b:Author>
    </b:Author>
    <b:Title>Energy is not the ability to do work</b:Title>
    <b:Year>1973</b:Year>
    <b:JournalName>The Physics Teacher</b:JournalName>
    <b:Pages>15-18</b:Pages>
    <b:RefOrder>66</b:RefOrder>
  </b:Source>
  <b:Source>
    <b:Tag>Erw62</b:Tag>
    <b:SourceType>Book</b:SourceType>
    <b:Guid>{D4893841-6374-4500-BBF7-966F7649AAFD}</b:Guid>
    <b:Author>
      <b:Author>
        <b:NameList>
          <b:Person>
            <b:Last>Erwin</b:Last>
            <b:First>N.H.</b:First>
          </b:Person>
        </b:NameList>
      </b:Author>
    </b:Author>
    <b:Title>Historical roots of the principle of conservation of energy</b:Title>
    <b:Year>1962</b:Year>
    <b:Pages>73-86</b:Pages>
    <b:City>Madison</b:City>
    <b:Publisher>University of Wisconsin Press</b:Publisher>
    <b:RefOrder>67</b:RefOrder>
  </b:Source>
  <b:Source>
    <b:Tag>Cri00</b:Tag>
    <b:SourceType>Book</b:SourceType>
    <b:Guid>{ED97F063-D3DE-4460-B2AE-B92A676E77BD}</b:Guid>
    <b:Author>
      <b:Author>
        <b:NameList>
          <b:Person>
            <b:Last>Crisp</b:Last>
            <b:First>R.</b:First>
          </b:Person>
        </b:NameList>
      </b:Author>
    </b:Author>
    <b:Title>Aristotle: Nicomechean ethics</b:Title>
    <b:Year>2000</b:Year>
    <b:City>Cambridge</b:City>
    <b:Publisher>Cambridge University Press</b:Publisher>
    <b:Pages>1-22</b:Pages>
    <b:RefOrder>68</b:RefOrder>
  </b:Source>
  <b:Source>
    <b:Tag>Kuh59</b:Tag>
    <b:SourceType>BookSection</b:SourceType>
    <b:Guid>{C2DFC83A-1CC3-4D59-8A40-57FE5F180B2E}</b:Guid>
    <b:Author>
      <b:Author>
        <b:NameList>
          <b:Person>
            <b:Last>Kuhn</b:Last>
            <b:First>T.S.</b:First>
          </b:Person>
        </b:NameList>
      </b:Author>
      <b:BookAuthor>
        <b:NameList>
          <b:Person>
            <b:Last>Glagett</b:Last>
            <b:First>M.</b:First>
          </b:Person>
        </b:NameList>
      </b:BookAuthor>
    </b:Author>
    <b:Title>Energy conversion as an example of simultaneous discovery</b:Title>
    <b:Year>1959</b:Year>
    <b:City>Madison</b:City>
    <b:Publisher>University of Wisconsin Press</b:Publisher>
    <b:BookTitle>Critical problems in the history of science</b:BookTitle>
    <b:Pages>333-350</b:Pages>
    <b:RefOrder>69</b:RefOrder>
  </b:Source>
  <b:Source>
    <b:Tag>Sir61</b:Tag>
    <b:SourceType>Book</b:SourceType>
    <b:Guid>{EAE38C7F-A203-4453-BC97-D125FBE578EF}</b:Guid>
    <b:Author>
      <b:Author>
        <b:NameList>
          <b:Person>
            <b:Last>Sir William</b:Last>
            <b:First>C.D.</b:First>
          </b:Person>
        </b:NameList>
      </b:Author>
    </b:Author>
    <b:Title>A history of science and its relations with philosophy and religion</b:Title>
    <b:Year>1961</b:Year>
    <b:Pages>204</b:Pages>
    <b:City>Cambridge</b:City>
    <b:Publisher>Cambridge University Press</b:Publisher>
    <b:Edition>4th</b:Edition>
    <b:RefOrder>70</b:RefOrder>
  </b:Source>
  <b:Source>
    <b:Tag>UN15</b:Tag>
    <b:SourceType>InternetSite</b:SourceType>
    <b:Guid>{76999370-30F9-4B62-A940-BA9FD6ADFD00}</b:Guid>
    <b:Author>
      <b:Author>
        <b:Corporate>UN</b:Corporate>
      </b:Author>
    </b:Author>
    <b:Title>A/69/L.85 - Draft outcome document of the United Nations summit for the adoption of the post-2015 development agenda</b:Title>
    <b:InternetSiteTitle>https://sustainabledevelopment.un.org/topics/energy/decisions</b:InternetSiteTitle>
    <b:Year>2015</b:Year>
    <b:YearAccessed>2015</b:YearAccessed>
    <b:MonthAccessed>October</b:MonthAccessed>
    <b:DayAccessed>28</b:DayAccessed>
    <b:RefOrder>71</b:RefOrder>
  </b:Source>
  <b:Source>
    <b:Tag>IPCC14</b:Tag>
    <b:SourceType>DocumentFromInternetSite</b:SourceType>
    <b:Guid>{8CA5187E-1FC1-4EA5-B355-07BCF5FDA803}</b:Guid>
    <b:Author>
      <b:Author>
        <b:Corporate>IPCC</b:Corporate>
      </b:Author>
    </b:Author>
    <b:Title>IPCC WGII AR5 Summary for policy makers - Climate change 2014: Impacts, Adaptation, and Vulnerability</b:Title>
    <b:InternetSiteTitle>https://ipcc-wg2.gov</b:InternetSiteTitle>
    <b:Year>2014</b:Year>
    <b:Month>March</b:Month>
    <b:Day>31</b:Day>
    <b:YearAccessed>2015</b:YearAccessed>
    <b:MonthAccessed>November</b:MonthAccessed>
    <b:DayAccessed>28</b:DayAccessed>
    <b:URL>https://ipcc-wg2.gov/AR5/images/uploads/IPCC_WG2AR5_SPM_Approved.pdf</b:URL>
    <b:RefOrder>72</b:RefOrder>
  </b:Source>
  <b:Source>
    <b:Tag>UN92</b:Tag>
    <b:SourceType>Report</b:SourceType>
    <b:Guid>{65045B44-036F-4A8A-A317-E3FC080739FA}</b:Guid>
    <b:Author>
      <b:Author>
        <b:Corporate>UN</b:Corporate>
      </b:Author>
    </b:Author>
    <b:Title>United Nations Framework Convention on Climate Change</b:Title>
    <b:Year>1992</b:Year>
    <b:Publisher>United Nations</b:Publisher>
    <b:City>New York, USA</b:City>
    <b:ShortTitle>Entry into force: 21 March 1994</b:ShortTitle>
    <b:RefOrder>73</b:RefOrder>
  </b:Source>
  <b:Source>
    <b:Tag>Fou13</b:Tag>
    <b:SourceType>Book</b:SourceType>
    <b:Guid>{770E84D3-1321-4301-AB5C-32009E6BD3E0}</b:Guid>
    <b:Author>
      <b:Author>
        <b:NameList>
          <b:Person>
            <b:Last>Fouquet</b:Last>
            <b:First>R.</b:First>
            <b:Middle>(Ed.)</b:Middle>
          </b:Person>
        </b:NameList>
      </b:Author>
    </b:Author>
    <b:Title>Handbook on energy and climate change</b:Title>
    <b:Year>2013</b:Year>
    <b:City>Cheltenham, UK.</b:City>
    <b:Publisher>Edward Elgar Publishing Limited</b:Publisher>
    <b:RefOrder>74</b:RefOrder>
  </b:Source>
  <b:Source>
    <b:Tag>OEC15</b:Tag>
    <b:SourceType>InternetSite</b:SourceType>
    <b:Guid>{4ADC9C6F-DD58-4333-96FE-60000A3E025C}</b:Guid>
    <b:Author>
      <b:Author>
        <b:NameList>
          <b:Person>
            <b:Last>OECD/IEA</b:Last>
          </b:Person>
        </b:NameList>
      </b:Author>
    </b:Author>
    <b:Title>World Electricity Demand Since 1990, with Related Total and Regional CO2 Emissions</b:Title>
    <b:Year>2015</b:Year>
    <b:InternetSiteTitle>http://www.iea.org/newsroomandevents/graphics/world-electricity-demand-since-1990-with-related-total-and-regional-co2-emissio.html</b:InternetSiteTitle>
    <b:YearAccessed>2015</b:YearAccessed>
    <b:MonthAccessed>October</b:MonthAccessed>
    <b:DayAccessed>28</b:DayAccessed>
    <b:RefOrder>75</b:RefOrder>
  </b:Source>
  <b:Source>
    <b:Tag>Rep11</b:Tag>
    <b:SourceType>Report</b:SourceType>
    <b:Guid>{270DDA64-2F52-45BB-BE5D-50C4972A48FA}</b:Guid>
    <b:Author>
      <b:Author>
        <b:Corporate>Republic of Kenya</b:Corporate>
      </b:Author>
    </b:Author>
    <b:Title>Scaling-Up Renewable Energy Programme (SREP) Investment Plan for Kenya</b:Title>
    <b:Year>2011</b:Year>
    <b:Publisher>Government of Kenya</b:Publisher>
    <b:City>Nairobi, Kenya</b:City>
    <b:RefOrder>76</b:RefOrder>
  </b:Source>
  <b:Source>
    <b:Tag>Sol14</b:Tag>
    <b:SourceType>DocumentFromInternetSite</b:SourceType>
    <b:Guid>{9139B0B7-89A9-4DB8-AA63-55E91DAF232B}</b:Guid>
    <b:Author>
      <b:Author>
        <b:Corporate>Solar Aid</b:Corporate>
      </b:Author>
    </b:Author>
    <b:Title>Kenya Country Report</b:Title>
    <b:Year>2014</b:Year>
    <b:InternetSiteTitle>http://sunnymoney.org</b:InternetSiteTitle>
    <b:YearAccessed>2015</b:YearAccessed>
    <b:MonthAccessed>November</b:MonthAccessed>
    <b:DayAccessed>28</b:DayAccessed>
    <b:URL>http://sunnymoney.org/assets/Uploads/PDFs/Kenya-report-2014-1.pdf</b:URL>
    <b:RefOrder>77</b:RefOrder>
  </b:Source>
  <b:Source>
    <b:Tag>Lad11</b:Tag>
    <b:SourceType>Report</b:SourceType>
    <b:Guid>{E0FBC46D-8C0E-4744-95DA-FBBAF481C0C7}</b:Guid>
    <b:Author>
      <b:Author>
        <b:NameList>
          <b:Person>
            <b:Last>Ladislaw</b:Last>
            <b:First>S.</b:First>
          </b:Person>
        </b:NameList>
      </b:Author>
    </b:Author>
    <b:Title>Energy and Development Trends: The Role of Rapidly Emerging Countries</b:Title>
    <b:Year>2011</b:Year>
    <b:City>Washington DC</b:City>
    <b:Publisher>Centre for Strategic and International Studies (CSIS)</b:Publisher>
    <b:RefOrder>78</b:RefOrder>
  </b:Source>
  <b:Source>
    <b:Tag>Dew84</b:Tag>
    <b:SourceType>Report</b:SourceType>
    <b:Guid>{9F4F5E6D-BE05-4590-9902-8BDC1847F696}</b:Guid>
    <b:Author>
      <b:Author>
        <b:NameList>
          <b:Person>
            <b:Last>Dewees</b:Last>
            <b:First>P.A.</b:First>
          </b:Person>
        </b:NameList>
      </b:Author>
    </b:Author>
    <b:Title>Renewable Energy Technologies in Kenya: A Place in the Sun for the Private Sector? The Framework for a Market Study of Renewable Energy Technologies for Small-Scale Irrigation in Kenya (Working Paper No. 402)</b:Title>
    <b:Year>1984</b:Year>
    <b:Publisher>Institute for Development Studies, University of Nairobi</b:Publisher>
    <b:City>Nairobi, Kenya</b:City>
    <b:RefOrder>79</b:RefOrder>
  </b:Source>
  <b:Source>
    <b:Tag>San10</b:Tag>
    <b:SourceType>ConferenceProceedings</b:SourceType>
    <b:Guid>{315151F4-7547-4F74-8CF6-E9626B824EF6}</b:Guid>
    <b:Author>
      <b:Author>
        <b:NameList>
          <b:Person>
            <b:Last>Sanchez</b:Last>
            <b:First>T.</b:First>
          </b:Person>
        </b:NameList>
      </b:Author>
    </b:Author>
    <b:Title>Energy delivery models</b:Title>
    <b:Year>2010</b:Year>
    <b:Publisher>Practical Action</b:Publisher>
    <b:City>Brescia</b:City>
    <b:Pages>1-20</b:Pages>
    <b:ConferenceName>Energy access for the poor in developing countries, opportunities and challenges</b:ConferenceName>
    <b:RefOrder>80</b:RefOrder>
  </b:Source>
  <b:Source>
    <b:Tag>Wor14</b:Tag>
    <b:SourceType>InternetSite</b:SourceType>
    <b:Guid>{1A996FC4-25D5-43AA-94A0-DC6CE26B77A9}</b:Guid>
    <b:Author>
      <b:Author>
        <b:Corporate>World Bank</b:Corporate>
      </b:Author>
    </b:Author>
    <b:Title>World development indicators: Electricity production, sources, and access</b:Title>
    <b:Year>2014</b:Year>
    <b:InternetSiteTitle>http://wdi.worldbank.org</b:InternetSiteTitle>
    <b:YearAccessed>2015</b:YearAccessed>
    <b:MonthAccessed>December</b:MonthAccessed>
    <b:DayAccessed>3</b:DayAccessed>
    <b:URL>http://wdi.worldbank.org/table/3.7</b:URL>
    <b:RefOrder>81</b:RefOrder>
  </b:Source>
  <b:Source>
    <b:Tag>Wor13</b:Tag>
    <b:SourceType>InternetSite</b:SourceType>
    <b:Guid>{A0F2CDB5-6EB9-4518-839D-07F243F96D2B}</b:Guid>
    <b:Author>
      <b:Author>
        <b:Corporate>World Bank</b:Corporate>
      </b:Author>
    </b:Author>
    <b:Title>The green electricity project aims to connect one and a half million more proplr and businesses</b:Title>
    <b:InternetSiteTitle>http://web.worldbank.org</b:InternetSiteTitle>
    <b:Year>2013</b:Year>
    <b:YearAccessed>2015</b:YearAccessed>
    <b:MonthAccessed>December</b:MonthAccessed>
    <b:DayAccessed>3</b:DayAccessed>
    <b:URL>http://web.worldbank.org/WBSITE/EXTERNAL/COUNTRIES/AFRICAEXT/0,,contentMDK:22742085~menuPK:258659~pagePK:2865106~piPK:2865128~theSitePK:258644,00.html</b:URL>
    <b:RefOrder>82</b:RefOrder>
  </b:Source>
  <b:Source>
    <b:Tag>The15</b:Tag>
    <b:SourceType>InternetSite</b:SourceType>
    <b:Guid>{188ED30E-2728-4731-BDDC-A1D528DDCA87}</b:Guid>
    <b:Author>
      <b:Author>
        <b:Corporate>The Guardian</b:Corporate>
      </b:Author>
    </b:Author>
    <b:Title>Global development: Energy poverty deprives 1 billion of adequate healthcare, says report</b:Title>
    <b:InternetSiteTitle>http://www.theguardian.com</b:InternetSiteTitle>
    <b:Year>2015</b:Year>
    <b:YearAccessed>2015</b:YearAccessed>
    <b:MonthAccessed>December</b:MonthAccessed>
    <b:DayAccessed>3</b:DayAccessed>
    <b:URL>http://www.theguardian.com/global-development/2013/mar/07/energy-poverty-deprives-billion-adequate-healthcare</b:URL>
    <b:RefOrder>83</b:RefOrder>
  </b:Source>
  <b:Source>
    <b:Tag>Rob94</b:Tag>
    <b:SourceType>JournalArticle</b:SourceType>
    <b:Guid>{31130FA1-8A1B-418F-81AD-7D6DEBE7496D}</b:Guid>
    <b:Author>
      <b:Author>
        <b:NameList>
          <b:Person>
            <b:Last>Plas</b:Last>
            <b:First>Robert</b:First>
            <b:Middle>van der</b:Middle>
          </b:Person>
        </b:NameList>
      </b:Author>
    </b:Author>
    <b:Title>Solar energy answer to rural power in Africa - The World Bank Note FPD No. 6</b:Title>
    <b:Year>1994</b:Year>
    <b:Pages>1-5</b:Pages>
    <b:JournalName>Public Policy for the Private Sector</b:JournalName>
    <b:RefOrder>84</b:RefOrder>
  </b:Source>
  <b:Source>
    <b:Tag>Man93</b:Tag>
    <b:SourceType>JournalArticle</b:SourceType>
    <b:Guid>{DCA9D930-8374-42DC-BE4B-63E6F937A03E}</b:Guid>
    <b:Author>
      <b:Author>
        <b:NameList>
          <b:Person>
            <b:Last>Manski</b:Last>
            <b:First>C.F.</b:First>
          </b:Person>
        </b:NameList>
      </b:Author>
    </b:Author>
    <b:Title>Identification of endogenous social effects: The reflection problem</b:Title>
    <b:JournalName>The Review of Economic Studies</b:JournalName>
    <b:Year>1993</b:Year>
    <b:Pages>531-542</b:Pages>
    <b:Volume>60</b:Volume>
    <b:Issue>3</b:Issue>
    <b:RefOrder>85</b:RefOrder>
  </b:Source>
  <b:Source>
    <b:Tag>Hin13</b:Tag>
    <b:SourceType>ConferenceProceedings</b:SourceType>
    <b:Guid>{E147847D-698C-4178-A466-AB9EBAD9C02A}</b:Guid>
    <b:Author>
      <b:Author>
        <b:NameList>
          <b:Person>
            <b:Last>Hinsch</b:Last>
            <b:First>A.</b:First>
          </b:Person>
        </b:NameList>
      </b:Author>
    </b:Author>
    <b:Title>Status of the dye solar technology (DSC) as a guide for further research</b:Title>
    <b:Year>2013</b:Year>
    <b:Pages>1-9</b:Pages>
    <b:ConferenceName>28th European PV Solar Conference and Exhibition, 30 September - 4 October</b:ConferenceName>
    <b:City>Paris</b:City>
    <b:Publisher>Fraunhofer</b:Publisher>
    <b:RefOrder>86</b:RefOrder>
  </b:Source>
  <b:Source>
    <b:Tag>Kam14</b:Tag>
    <b:SourceType>Report</b:SourceType>
    <b:Guid>{6B39C053-9EB4-4301-B95A-7575EBB28023}</b:Guid>
    <b:Author>
      <b:Author>
        <b:NameList>
          <b:Person>
            <b:Last>Kamara</b:Last>
            <b:First>A.</b:First>
          </b:Person>
        </b:NameList>
      </b:Author>
    </b:Author>
    <b:Title>United Nations Decade for Sustainable Energy for All (UN-SE4ALL 2014-2014) Begins with Asia Regional Launch</b:Title>
    <b:Year>2014</b:Year>
    <b:City>Vienna, Austria</b:City>
    <b:Publisher>http://www.se4all.org/2014/02/05/united-nations-decade-sustainable-energy-un-se4all-2014-2024-begins-asia-regional-launch/</b:Publisher>
    <b:RefOrder>87</b:RefOrder>
  </b:Source>
  <b:Source>
    <b:Tag>Bec48</b:Tag>
    <b:SourceType>JournalArticle</b:SourceType>
    <b:Guid>{A4C53A26-329F-4EF9-B63E-4B210ABBE6AD}</b:Guid>
    <b:Author>
      <b:Author>
        <b:NameList>
          <b:Person>
            <b:Last>Becquerel</b:Last>
            <b:First>E.</b:First>
          </b:Person>
        </b:NameList>
      </b:Author>
    </b:Author>
    <b:Title>On the coloured photographic image of the solar spectrum</b:Title>
    <b:JournalName>Journal of the Franklin Institute</b:JournalName>
    <b:Year>1848</b:Year>
    <b:RefOrder>88</b:RefOrder>
  </b:Source>
  <b:Source>
    <b:Tag>Grä01</b:Tag>
    <b:SourceType>JournalArticle</b:SourceType>
    <b:Guid>{5BD4D152-97ED-4F46-9713-F6BD1F82DC73}</b:Guid>
    <b:Author>
      <b:Author>
        <b:NameList>
          <b:Person>
            <b:Last>Grätzel</b:Last>
            <b:First>M.</b:First>
          </b:Person>
        </b:NameList>
      </b:Author>
    </b:Author>
    <b:Title>Photoelectrochemical cells</b:Title>
    <b:Year>2001</b:Year>
    <b:JournalName>Nature</b:JournalName>
    <b:Pages>338-344</b:Pages>
    <b:Volume>414</b:Volume>
    <b:RefOrder>89</b:RefOrder>
  </b:Source>
  <b:Source>
    <b:Tag>Mar02</b:Tag>
    <b:SourceType>ConferenceProceedings</b:SourceType>
    <b:Guid>{644C6710-CE6D-4B6B-83FF-24A0C0398903}</b:Guid>
    <b:Author>
      <b:Author>
        <b:NameList>
          <b:Person>
            <b:Last>Markvart</b:Last>
            <b:First>T.</b:First>
          </b:Person>
        </b:NameList>
      </b:Author>
    </b:Author>
    <b:Title>Photovoltaic solar energy conversion</b:Title>
    <b:Year>2002</b:Year>
    <b:Pages>1-19</b:Pages>
    <b:ConferenceName>European Summer University: Energy for Europe, 7-14</b:ConferenceName>
    <b:City>Strabourg</b:City>
    <b:RefOrder>90</b:RefOrder>
  </b:Source>
  <b:Source>
    <b:Tag>Bar85</b:Tag>
    <b:SourceType>JournalArticle</b:SourceType>
    <b:Guid>{F5034A20-E928-4BD8-A742-D4277FE9AF31}</b:Guid>
    <b:Author>
      <b:Author>
        <b:NameList>
          <b:Person>
            <b:Last>Baruch</b:Last>
            <b:First>P.</b:First>
          </b:Person>
        </b:NameList>
      </b:Author>
    </b:Author>
    <b:Title>A two-level system as a model for a photovoltaic solar cell</b:Title>
    <b:Year>1985</b:Year>
    <b:JournalName>Journal of Applied Physics</b:JournalName>
    <b:Pages>1347</b:Pages>
    <b:Volume>57</b:Volume>
    <b:RefOrder>91</b:RefOrder>
  </b:Source>
  <b:Source>
    <b:Tag>Sze61</b:Tag>
    <b:SourceType>Book</b:SourceType>
    <b:Guid>{8779FD57-792F-4AC9-8A00-4D06E7C4C90D}</b:Guid>
    <b:Author>
      <b:Author>
        <b:NameList>
          <b:Person>
            <b:Last>Sze</b:Last>
            <b:First>S.M.</b:First>
          </b:Person>
        </b:NameList>
      </b:Author>
    </b:Author>
    <b:Title>Physics of semiconductor devices</b:Title>
    <b:Year>1981</b:Year>
    <b:Pages>264</b:Pages>
    <b:City>New York</b:City>
    <b:Publisher>John Wiley &amp; Sons</b:Publisher>
    <b:RefOrder>92</b:RefOrder>
  </b:Source>
  <b:Source>
    <b:Tag>Str93</b:Tag>
    <b:SourceType>Book</b:SourceType>
    <b:Guid>{7097472D-F1EB-4792-B388-8F0E6AD586FF}</b:Guid>
    <b:Author>
      <b:Author>
        <b:NameList>
          <b:Person>
            <b:Last>Streetman</b:Last>
            <b:First>B.</b:First>
          </b:Person>
        </b:NameList>
      </b:Author>
    </b:Author>
    <b:Title>Solid state electronic devices</b:Title>
    <b:Year>1993</b:Year>
    <b:City>New Delhi</b:City>
    <b:Publisher>Prentice Hall of India</b:Publisher>
    <b:RefOrder>93</b:RefOrder>
  </b:Source>
  <b:Source>
    <b:Tag>New11</b:Tag>
    <b:SourceType>Report</b:SourceType>
    <b:Guid>{999BB75C-8F5D-4471-88AE-E69B610641E4}</b:Guid>
    <b:Author>
      <b:Author>
        <b:Corporate>Newport Corporation</b:Corporate>
      </b:Author>
    </b:Author>
    <b:Title>The challenge of making reliable solar cell measurements</b:Title>
    <b:Year>2011</b:Year>
    <b:Publisher>Technology and Applications Centre</b:Publisher>
    <b:City>NewYork</b:City>
    <b:RefOrder>94</b:RefOrder>
  </b:Source>
  <b:Source>
    <b:Tag>Bou08</b:Tag>
    <b:SourceType>Report</b:SourceType>
    <b:Guid>{DA94DE3A-5BB5-42B1-B183-E8E42CBEB3C3}</b:Guid>
    <b:Author>
      <b:Author>
        <b:NameList>
          <b:Person>
            <b:Last>Boucher</b:Last>
            <b:First>C.</b:First>
          </b:Person>
        </b:NameList>
      </b:Author>
    </b:Author>
    <b:Title>Solar cell industry - trends and opportunities</b:Title>
    <b:Year>2008</b:Year>
    <b:Publisher>Boucher-Lensch Associates</b:Publisher>
    <b:City>New York</b:City>
    <b:RefOrder>95</b:RefOrder>
  </b:Source>
  <b:Source>
    <b:Tag>Pro11</b:Tag>
    <b:SourceType>Report</b:SourceType>
    <b:Guid>{0137D8DA-7890-4CF9-A1D2-90EB56F7A660}</b:Guid>
    <b:Author>
      <b:Author>
        <b:NameList>
          <b:Person>
            <b:Last>Proulx</b:Last>
            <b:First>T.</b:First>
          </b:Person>
        </b:NameList>
      </b:Author>
    </b:Author>
    <b:Title>Experimental mechanics on emerging energy systems and materials</b:Title>
    <b:Year>2011</b:Year>
    <b:Pages>5, 205-210</b:Pages>
    <b:Publisher>The Society for Experimental Mechanics Inc.</b:Publisher>
    <b:City>New York</b:City>
    <b:RefOrder>96</b:RefOrder>
  </b:Source>
  <b:Source>
    <b:Tag>Ile01</b:Tag>
    <b:SourceType>JournalArticle</b:SourceType>
    <b:Guid>{1DBA4228-57AC-45DB-9FC7-9DD21D8245C3}</b:Guid>
    <b:Author>
      <b:Author>
        <b:NameList>
          <b:Person>
            <b:Last>Iles</b:Last>
            <b:First>P.</b:First>
          </b:Person>
        </b:NameList>
      </b:Author>
    </b:Author>
    <b:Title>Evolution of Space Solar Cells</b:Title>
    <b:Year>2001</b:Year>
    <b:JournalName>Solar Energy Materials and Solar Cell</b:JournalName>
    <b:Pages>1 – 13.</b:Pages>
    <b:Volume>68</b:Volume>
    <b:RefOrder>97</b:RefOrder>
  </b:Source>
  <b:Source>
    <b:Tag>Rub11</b:Tag>
    <b:SourceType>JournalArticle</b:SourceType>
    <b:Guid>{59D42686-B5D4-4D3D-8535-4B940584AB8F}</b:Guid>
    <b:Author>
      <b:Author>
        <b:NameList>
          <b:Person>
            <b:Last>Ruby</b:Last>
            <b:First>D.</b:First>
          </b:Person>
        </b:NameList>
      </b:Author>
    </b:Author>
    <b:Title>Major Cost Components of PV Cells and Current Efforts to Reduce them</b:Title>
    <b:JournalName>PV Expert</b:JournalName>
    <b:Year>2011</b:Year>
    <b:Pages>1-134</b:Pages>
    <b:RefOrder>98</b:RefOrder>
  </b:Source>
  <b:Source>
    <b:Tag>Kat10</b:Tag>
    <b:SourceType>Report</b:SourceType>
    <b:Guid>{50E6AF22-E258-4119-AEA2-0703C7572619}</b:Guid>
    <b:Author>
      <b:Author>
        <b:NameList>
          <b:Person>
            <b:Last>Katherine</b:Last>
            <b:First>L.</b:First>
          </b:Person>
        </b:NameList>
      </b:Author>
    </b:Author>
    <b:Title>Photovoltaic cell efficiency at elevated temperatures</b:Title>
    <b:Year>2010</b:Year>
    <b:Publisher>Department of Mechanical Engineering, Massechussets Institute of Technology</b:Publisher>
    <b:City>Massechussets</b:City>
    <b:RefOrder>99</b:RefOrder>
  </b:Source>
  <b:Source>
    <b:Tag>Kat08</b:Tag>
    <b:SourceType>Report</b:SourceType>
    <b:Guid>{46684400-E8C0-4C8D-B89A-8BC0D0AF2EA0}</b:Guid>
    <b:Author>
      <b:Author>
        <b:NameList>
          <b:Person>
            <b:Last>Katrine</b:Last>
            <b:First>F.</b:First>
          </b:Person>
        </b:NameList>
      </b:Author>
    </b:Author>
    <b:Title>Performance comparison of a DSSC and a silicon solar cell under idealized and outdoor conditions</b:Title>
    <b:Year>2008</b:Year>
    <b:Publisher>MSc. Thesis for the Technical University of Denmark</b:Publisher>
    <b:RefOrder>100</b:RefOrder>
  </b:Source>
  <b:Source>
    <b:Tag>Rot12</b:Tag>
    <b:SourceType>InternetSite</b:SourceType>
    <b:Guid>{E61C3ECD-2044-40E2-8671-DEE930A607CA}</b:Guid>
    <b:Author>
      <b:Author>
        <b:NameList>
          <b:Person>
            <b:Last>Rotman</b:Last>
            <b:First>D.</b:First>
          </b:Person>
        </b:NameList>
      </b:Author>
    </b:Author>
    <b:Title>Alta devices: Finding a solar solution, in technology review – Massechussets Institute of Technology</b:Title>
    <b:Year>2012</b:Year>
    <b:YearAccessed>05</b:YearAccessed>
    <b:MonthAccessed>January</b:MonthAccessed>
    <b:DayAccessed>2016</b:DayAccessed>
    <b:URL>http://m.technologyreview.com/energy/39649/</b:URL>
    <b:RefOrder>101</b:RefOrder>
  </b:Source>
  <b:Source>
    <b:Tag>Sig10</b:Tag>
    <b:SourceType>Report</b:SourceType>
    <b:Guid>{DD821497-6457-40FF-9E73-26F040C7996B}</b:Guid>
    <b:Author>
      <b:Author>
        <b:NameList>
          <b:Person>
            <b:Last>Sigrist</b:Last>
            <b:First>M.</b:First>
          </b:Person>
        </b:NameList>
      </b:Author>
    </b:Author>
    <b:Title>Solid state theory</b:Title>
    <b:Year>2010</b:Year>
    <b:Publisher>Institute für Theoretische Physik HIT K23</b:Publisher>
    <b:Pages>1-134</b:Pages>
    <b:Volume>8</b:Volume>
    <b:RefOrder>102</b:RefOrder>
  </b:Source>
  <b:Source>
    <b:Tag>Lil75</b:Tag>
    <b:SourceType>JournalArticle</b:SourceType>
    <b:Guid>{F11115B8-FC39-4A74-B393-E0F556B126FC}</b:Guid>
    <b:Author>
      <b:Author>
        <b:NameList>
          <b:Person>
            <b:Last>Lillich</b:Last>
            <b:First>R.</b:First>
          </b:Person>
        </b:NameList>
      </b:Author>
    </b:Author>
    <b:Title>Economic coercion and the international legal order</b:Title>
    <b:Year>1975</b:Year>
    <b:JournalName>Royal Institute of International Affairs</b:JournalName>
    <b:Pages>358-371</b:Pages>
    <b:Volume>51</b:Volume>
    <b:Issue>3</b:Issue>
    <b:RefOrder>103</b:RefOrder>
  </b:Source>
  <b:Source>
    <b:Tag>Kao12</b:Tag>
    <b:SourceType>JournalArticle</b:SourceType>
    <b:Guid>{375F170C-6E02-4410-8F0E-190DAE56AA6C}</b:Guid>
    <b:Author>
      <b:Author>
        <b:NameList>
          <b:Person>
            <b:Last>Kao</b:Last>
            <b:First>Z.</b:First>
          </b:Person>
          <b:Person>
            <b:Last>Naghavi</b:Last>
            <b:First>N.</b:First>
          </b:Person>
          <b:Person>
            <b:Last>Erforth</b:Last>
            <b:First>F.</b:First>
          </b:Person>
          <b:Person>
            <b:Last>Guillemoles</b:Last>
            <b:First>J</b:First>
          </b:Person>
          <b:Person>
            <b:First>Gẽvard,</b:First>
            <b:Middle>T.</b:Middle>
          </b:Person>
          <b:Person>
            <b:Last>Etcheberry</b:Last>
            <b:First>A.</b:First>
          </b:Person>
          <b:Person>
            <b:Last>Pelouard</b:Last>
            <b:First>J.</b:First>
          </b:Person>
          <b:Person>
            <b:Last>Collin</b:Last>
            <b:First>S.</b:First>
          </b:Person>
          <b:Person>
            <b:Last>Voorwinden</b:Last>
            <b:First>G.</b:First>
          </b:Person>
          <b:Person>
            <b:Last>Lincot</b:Last>
            <b:First>D.</b:First>
          </b:Person>
        </b:NameList>
      </b:Author>
    </b:Author>
    <b:Title>Towards ultrathin Copper Indium GaSe2 solar cells: proof of concept study by chemical etching and gold back contact engineering</b:Title>
    <b:JournalName>Progress in Photovoltaics: Research and Applications</b:JournalName>
    <b:Year>2012</b:Year>
    <b:Pages>DOI:10.1002/pip.2162</b:Pages>
    <b:RefOrder>104</b:RefOrder>
  </b:Source>
  <b:Source>
    <b:Tag>Res11</b:Tag>
    <b:SourceType>Report</b:SourceType>
    <b:Guid>{4D55CAAC-2DD2-46A9-B98D-8CD4A01FA4CE}</b:Guid>
    <b:Author>
      <b:Author>
        <b:Corporate>Resnick Institute</b:Corporate>
      </b:Author>
    </b:Author>
    <b:Title>Critical Materials for Sustainable Energy Applications</b:Title>
    <b:Year>2011</b:Year>
    <b:Publisher>California Institute of Technology</b:Publisher>
    <b:City>California, USA</b:City>
    <b:RefOrder>105</b:RefOrder>
  </b:Source>
  <b:Source>
    <b:Tag>Wes74</b:Tag>
    <b:SourceType>ConferenceProceedings</b:SourceType>
    <b:Guid>{D56A148C-B07D-4C50-AAB6-E68B4151E7B8}</b:Guid>
    <b:Author>
      <b:Author>
        <b:NameList>
          <b:Person>
            <b:Last>West</b:Last>
            <b:First>W.</b:First>
          </b:Person>
        </b:NameList>
      </b:Author>
    </b:Author>
    <b:Title>Photographic science and engineering</b:Title>
    <b:Year>1974</b:Year>
    <b:Pages>18-35</b:Pages>
    <b:ConferenceName>Vogel Centennial Symposium</b:ConferenceName>
    <b:RefOrder>106</b:RefOrder>
  </b:Source>
  <b:Source>
    <b:Tag>Mos87</b:Tag>
    <b:SourceType>JournalArticle</b:SourceType>
    <b:Guid>{002DE695-0F44-4F92-8458-3DA9292A06F1}</b:Guid>
    <b:Author>
      <b:Author>
        <b:NameList>
          <b:Person>
            <b:Last>Moser</b:Last>
            <b:First>J.</b:First>
          </b:Person>
        </b:NameList>
      </b:Author>
    </b:Author>
    <b:Title>Monatsh chemistry</b:Title>
    <b:Pages>373</b:Pages>
    <b:Year>1887</b:Year>
    <b:JournalName>Journal of Physical Chemistry</b:JournalName>
    <b:Volume>8</b:Volume>
    <b:RefOrder>107</b:RefOrder>
  </b:Source>
  <b:Source>
    <b:Tag>Grä031</b:Tag>
    <b:SourceType>JournalArticle</b:SourceType>
    <b:Guid>{FA620E64-3481-44B7-9D89-1AB07AF37CC2}</b:Guid>
    <b:Author>
      <b:Author>
        <b:NameList>
          <b:Person>
            <b:Last>Grätzel</b:Last>
            <b:First>M.</b:First>
          </b:Person>
        </b:NameList>
      </b:Author>
    </b:Author>
    <b:Title>Review: dye sensitized solar cells</b:Title>
    <b:JournalName>Journal of Photochemistry and Photobiology c: Photochemistry Reviews</b:JournalName>
    <b:Year>2003</b:Year>
    <b:Pages>145-153</b:Pages>
    <b:Volume>4</b:Volume>
    <b:RefOrder>108</b:RefOrder>
  </b:Source>
  <b:Source>
    <b:Tag>Mat14</b:Tag>
    <b:SourceType>JournalArticle</b:SourceType>
    <b:Guid>{AEB8501B-3CCD-407D-8C58-FA27C7B31CAD}</b:Guid>
    <b:Author>
      <b:Author>
        <b:NameList>
          <b:Person>
            <b:Last>Mathew</b:Last>
            <b:First>S.</b:First>
          </b:Person>
          <b:Person>
            <b:Last>Yella</b:Last>
            <b:First>A.</b:First>
          </b:Person>
          <b:Person>
            <b:Last>Gao</b:Last>
            <b:First>P.</b:First>
          </b:Person>
          <b:Person>
            <b:Last>Humphry-Baker</b:Last>
            <b:First>R.</b:First>
          </b:Person>
          <b:Person>
            <b:Last>Curchod</b:Last>
            <b:First>B.F.E.</b:First>
          </b:Person>
          <b:Person>
            <b:Last>Ashari-Astani</b:Last>
            <b:First>N.</b:First>
          </b:Person>
          <b:Person>
            <b:Last>Tavernelli</b:Last>
            <b:First>I.</b:First>
          </b:Person>
          <b:Person>
            <b:Last>Rothlisberger</b:Last>
            <b:First>U.</b:First>
          </b:Person>
          <b:Person>
            <b:Last>Nazeeruddin</b:Last>
            <b:First>Md.</b:First>
            <b:Middle>K.</b:Middle>
          </b:Person>
          <b:Person>
            <b:Last>Grätzel</b:Last>
            <b:First>M.</b:First>
          </b:Person>
        </b:NameList>
      </b:Author>
    </b:Author>
    <b:Title>Dye sensitized solar cells with 13% efficiency achieved through the molecular engineering of porphyrin sensitizers</b:Title>
    <b:JournalName>Nature Chemistry</b:JournalName>
    <b:Year>2014</b:Year>
    <b:Pages>242-247</b:Pages>
    <b:Volume>6</b:Volume>
    <b:RefOrder>109</b:RefOrder>
  </b:Source>
  <b:Source>
    <b:Tag>Grä09</b:Tag>
    <b:SourceType>JournalArticle</b:SourceType>
    <b:Guid>{2DBDFDFA-DE10-4653-BBC0-7CA16DECFCB1}</b:Guid>
    <b:Author>
      <b:Author>
        <b:NameList>
          <b:Person>
            <b:Last>Grätzel</b:Last>
            <b:First>M.</b:First>
          </b:Person>
        </b:NameList>
      </b:Author>
    </b:Author>
    <b:Title>Recent Advances in Sensitized Mesoscopic Solar Cells</b:Title>
    <b:Year>2009</b:Year>
    <b:Pages>1788 – 1798.</b:Pages>
    <b:JournalName>Accounts of Chemical Research</b:JournalName>
    <b:Volume>42</b:Volume>
    <b:RefOrder>110</b:RefOrder>
  </b:Source>
  <b:Source>
    <b:Tag>Hal02</b:Tag>
    <b:SourceType>Report</b:SourceType>
    <b:Guid>{4A1BB731-FEEC-4116-BF58-BB75EEC0D340}</b:Guid>
    <b:Author>
      <b:Author>
        <b:NameList>
          <b:Person>
            <b:Last>Halme</b:Last>
            <b:First>J.</b:First>
          </b:Person>
        </b:NameList>
      </b:Author>
    </b:Author>
    <b:Title>Dye-Sensitized Nanostructured and Organic Cells: Technical Review and Preliminary Tests</b:Title>
    <b:Year>2002</b:Year>
    <b:Publisher>Helsinki University of Technology</b:Publisher>
    <b:City>Helsinki</b:City>
    <b:RefOrder>111</b:RefOrder>
  </b:Source>
  <b:Source>
    <b:Tag>Bec481</b:Tag>
    <b:SourceType>JournalArticle</b:SourceType>
    <b:Guid>{01D8F46A-1AE9-4C15-9CFA-2CBBE8DBCBF9}</b:Guid>
    <b:Author>
      <b:Author>
        <b:NameList>
          <b:Person>
            <b:Last>Becquerel</b:Last>
            <b:First>E.</b:First>
          </b:Person>
        </b:NameList>
      </b:Author>
    </b:Author>
    <b:Title>On the coloured photographic image of the solar spectrum</b:Title>
    <b:JournalName>Journal of the Franklin Institute</b:JournalName>
    <b:Year>1848</b:Year>
    <b:Pages>238</b:Pages>
    <b:RefOrder>112</b:RefOrder>
  </b:Source>
  <b:Source>
    <b:Tag>Dag38</b:Tag>
    <b:SourceType>JournalArticle</b:SourceType>
    <b:Guid>{0462506D-5772-4302-8343-7674369D77F9}</b:Guid>
    <b:Author>
      <b:Author>
        <b:NameList>
          <b:Person>
            <b:Last>Daguerre</b:Last>
            <b:First>L.</b:First>
          </b:Person>
        </b:NameList>
      </b:Author>
    </b:Author>
    <b:Title>Practical definition of daguerreotype</b:Title>
    <b:JournalName>Journal of the Franklin Institute</b:JournalName>
    <b:Year>1838</b:Year>
    <b:Pages>3.</b:Pages>
    <b:Volume>33</b:Volume>
    <b:RefOrder>113</b:RefOrder>
  </b:Source>
  <b:Source>
    <b:Tag>Vog73</b:Tag>
    <b:SourceType>JournalArticle</b:SourceType>
    <b:Guid>{FC948ED9-0502-4C9B-A505-A0464F7C384A}</b:Guid>
    <b:Author>
      <b:Author>
        <b:NameList>
          <b:Person>
            <b:Last>Vogel</b:Last>
            <b:First>H.</b:First>
          </b:Person>
        </b:NameList>
      </b:Author>
    </b:Author>
    <b:Title>On the sensitiveness of bromide of silver to the so-called chemically inactive colors</b:Title>
    <b:JournalName>Photographische Mittheilungen</b:JournalName>
    <b:Year>1873</b:Year>
    <b:Pages>233-237.</b:Pages>
    <b:Volume>10</b:Volume>
    <b:Issue>117</b:Issue>
    <b:RefOrder>114</b:RefOrder>
  </b:Source>
  <b:Source>
    <b:Tag>Wil60</b:Tag>
    <b:SourceType>JournalArticle</b:SourceType>
    <b:Guid>{88DCFC07-511B-489A-A395-290EACA9D066}</b:Guid>
    <b:Author>
      <b:Author>
        <b:NameList>
          <b:Person>
            <b:Last>Williams</b:Last>
            <b:First>R.</b:First>
          </b:Person>
        </b:NameList>
      </b:Author>
    </b:Author>
    <b:Title>Becquerel photovoltaic effect in binary compounds</b:Title>
    <b:JournalName>Journal of Physical Chemistry</b:JournalName>
    <b:Year>1960</b:Year>
    <b:Pages>1505.</b:Pages>
    <b:Volume>32</b:Volume>
    <b:Issue>5</b:Issue>
    <b:RefOrder>115</b:RefOrder>
  </b:Source>
  <b:Source>
    <b:Tag>Tri71</b:Tag>
    <b:SourceType>JournalArticle</b:SourceType>
    <b:Guid>{E11A149B-5C55-404E-B217-BBA9DEC2686A}</b:Guid>
    <b:Author>
      <b:Author>
        <b:NameList>
          <b:Person>
            <b:Last>Tributsch</b:Last>
            <b:First>H.</b:First>
          </b:Person>
        </b:NameList>
      </b:Author>
    </b:Author>
    <b:Title>Application of electrochemical kinetics to photosynthesis and oxidative phosphorylation: The redox element hypothesis and the principle of parametric energy coupling</b:Title>
    <b:JournalName>Bioenergetics</b:JournalName>
    <b:Year>1971</b:Year>
    <b:Pages>249.</b:Pages>
    <b:Volume>2</b:Volume>
    <b:RefOrder>116</b:RefOrder>
  </b:Source>
  <b:Source>
    <b:Tag>Gao08</b:Tag>
    <b:SourceType>JournalArticle</b:SourceType>
    <b:Guid>{80D75B77-D03E-498D-ABED-4074F7937007}</b:Guid>
    <b:Author>
      <b:Author>
        <b:NameList>
          <b:Person>
            <b:Last>Gao</b:Last>
            <b:First>F.</b:First>
          </b:Person>
          <b:Person>
            <b:Last>Wang</b:Last>
            <b:First>Y.</b:First>
          </b:Person>
          <b:Person>
            <b:Last>Shi</b:Last>
            <b:First>D.</b:First>
          </b:Person>
          <b:Person>
            <b:Last>Zhang</b:Last>
            <b:First>J.</b:First>
          </b:Person>
          <b:Person>
            <b:Last>Wang</b:Last>
            <b:First>M.</b:First>
          </b:Person>
          <b:Person>
            <b:Last>Jing</b:Last>
            <b:First>X.</b:First>
          </b:Person>
          <b:Person>
            <b:Last>Humphry-Baker</b:Last>
            <b:First>R.</b:First>
          </b:Person>
          <b:Person>
            <b:Last>Wang</b:Last>
            <b:First>P.</b:First>
          </b:Person>
          <b:Person>
            <b:Last>Zakeeruddin</b:Last>
            <b:First>S.</b:First>
          </b:Person>
          <b:Person>
            <b:Last>Grätzel</b:Last>
            <b:First>M.</b:First>
          </b:Person>
        </b:NameList>
      </b:Author>
    </b:Author>
    <b:Title>Enhance the optical absorptivity of nanocrystalline TiO2 film with high molar extinction coefficient ruthenium sensitizers for high performance dye-sensitized solar cells</b:Title>
    <b:Year>2008</b:Year>
    <b:JournalName>Journal of American Chemical Society</b:JournalName>
    <b:Pages>10720 – 10728</b:Pages>
    <b:Volume>130</b:Volume>
    <b:RefOrder>117</b:RefOrder>
  </b:Source>
  <b:Source>
    <b:Tag>Pul84</b:Tag>
    <b:SourceType>JournalArticle</b:SourceType>
    <b:Guid>{CA02A244-8689-4925-8700-65E55712F79C}</b:Guid>
    <b:Author>
      <b:Author>
        <b:NameList>
          <b:Person>
            <b:Last>Pulka</b:Last>
            <b:First>H.</b:First>
          </b:Person>
        </b:NameList>
      </b:Author>
    </b:Author>
    <b:Title>Coatings on glasses</b:Title>
    <b:JournalName>Thin Film Science and Technology</b:JournalName>
    <b:Year>1984</b:Year>
    <b:Pages>254</b:Pages>
    <b:Volume>6</b:Volume>
    <b:RefOrder>118</b:RefOrder>
  </b:Source>
  <b:Source>
    <b:Tag>Grä03</b:Tag>
    <b:SourceType>JournalArticle</b:SourceType>
    <b:Guid>{71ECBE64-DD3E-4328-9A52-1BC69DC6BF32}</b:Guid>
    <b:Author>
      <b:Author>
        <b:NameList>
          <b:Person>
            <b:Last>Grätzel</b:Last>
            <b:First>M.</b:First>
          </b:Person>
        </b:NameList>
      </b:Author>
    </b:Author>
    <b:Title>Dye-sensitized solar cells</b:Title>
    <b:JournalName>Journal of Photochemistry and Photobiology C: Photochemistry Reviews</b:JournalName>
    <b:Year>2003</b:Year>
    <b:Pages>145 – 153.</b:Pages>
    <b:Volume>4</b:Volume>
    <b:RefOrder>119</b:RefOrder>
  </b:Source>
  <b:Source>
    <b:Tag>HeL12</b:Tag>
    <b:SourceType>JournalArticle</b:SourceType>
    <b:Guid>{26EB87C5-FDE7-4D36-83F6-6CA28BFF810D}</b:Guid>
    <b:Author>
      <b:Author>
        <b:NameList>
          <b:Person>
            <b:Last>He</b:Last>
            <b:First>L.</b:First>
          </b:Person>
          <b:Person>
            <b:Last>Jiang</b:Last>
            <b:First>C.</b:First>
          </b:Person>
          <b:Person>
            <b:Last>Wang</b:Last>
            <b:First>H.</b:First>
          </b:Person>
          <b:Person>
            <b:Last>Lai</b:Last>
            <b:First>D.</b:First>
          </b:Person>
          <b:Person>
            <b:Last>Tan</b:Last>
            <b:First>Y.</b:First>
          </b:Person>
          <b:Person>
            <b:Last>Tan</b:Last>
            <b:First>C.</b:First>
          </b:Person>
          <b:Person>
            <b:Last>Rusli</b:Last>
            <b:First>L.</b:First>
            <b:Middle>H.</b:Middle>
          </b:Person>
        </b:NameList>
      </b:Author>
    </b:Author>
    <b:Title>Effects of nanowire texturing on the performance of Si/organic hybrid solar cells fabricated with 2.2 µm thin film Si absorber</b:Title>
    <b:JournalName>Applied Physics Letters</b:JournalName>
    <b:Year>2012</b:Year>
    <b:Pages>103104</b:Pages>
    <b:Volume>100</b:Volume>
    <b:Issue>10</b:Issue>
    <b:RefOrder>120</b:RefOrder>
  </b:Source>
  <b:Source>
    <b:Tag>Jun10</b:Tag>
    <b:SourceType>JournalArticle</b:SourceType>
    <b:Guid>{AE94F501-90E7-4A0F-946C-778F3C264725}</b:Guid>
    <b:Author>
      <b:Author>
        <b:NameList>
          <b:Person>
            <b:Last>Jun-Ho</b:Last>
            <b:First>Y.</b:First>
          </b:Person>
          <b:Person>
            <b:Last>Humphry-Baker</b:Last>
            <b:First>R.</b:First>
          </b:Person>
          <b:Person>
            <b:Last>Shaik</b:Last>
            <b:First>M.</b:First>
          </b:Person>
          <b:Person>
            <b:Last>Zakeeruddin</b:Last>
            <b:First>S.</b:First>
          </b:Person>
          <b:Person>
            <b:Last>Mohammed</b:Last>
            <b:First>K.</b:First>
          </b:Person>
          <b:Person>
            <b:Last>Nazeeruddin</b:Last>
            <b:First>Md.</b:First>
          </b:Person>
          <b:Person>
            <b:Last>Grätzel</b:Last>
            <b:First>M.</b:First>
          </b:Person>
        </b:NameList>
      </b:Author>
    </b:Author>
    <b:Title>Effects of heat and light on the performance of DSSCs based on organic sensitizers and nanostructured TiO2</b:Title>
    <b:JournalName>Nano Today</b:JournalName>
    <b:Year>2010</b:Year>
    <b:Pages>91-98</b:Pages>
    <b:Volume>5</b:Volume>
    <b:RefOrder>121</b:RefOrder>
  </b:Source>
  <b:Source>
    <b:Tag>Hin09</b:Tag>
    <b:SourceType>JournalArticle</b:SourceType>
    <b:Guid>{3AE1A3DF-7E33-4558-A0F3-7592537AA227}</b:Guid>
    <b:Author>
      <b:Author>
        <b:NameList>
          <b:Person>
            <b:Last>Hinsch</b:Last>
            <b:First>A.</b:First>
          </b:Person>
          <b:Person>
            <b:Last>Brandt</b:Last>
            <b:First>H.</b:First>
          </b:Person>
          <b:Person>
            <b:Last>Veurman</b:Last>
            <b:First>W.</b:First>
          </b:Person>
          <b:Person>
            <b:Last>Hemming</b:Last>
            <b:First>S.</b:First>
          </b:Person>
          <b:Person>
            <b:Last>Nittel</b:Last>
            <b:First>M.</b:First>
          </b:Person>
          <b:Person>
            <b:Last>Würfel</b:Last>
            <b:First>U.</b:First>
          </b:Person>
          <b:Person>
            <b:Last>Putyra</b:Last>
            <b:First>P.</b:First>
          </b:Person>
          <b:Person>
            <b:Last>Lang-Koetz</b:Last>
            <b:First>C.</b:First>
          </b:Person>
          <b:Person>
            <b:Last>Stabe</b:Last>
            <b:First>M.</b:First>
          </b:Person>
          <b:Person>
            <b:Last>Beucker</b:Last>
            <b:First>S.</b:First>
          </b:Person>
          <b:Person>
            <b:Last>Fichter</b:Last>
            <b:First>K.</b:First>
          </b:Person>
        </b:NameList>
      </b:Author>
    </b:Author>
    <b:Title>Dye solar modules forfaçade applications: recent results from project Colour sol.</b:Title>
    <b:JournalName>Solar Energy Materials &amp; Solar Cells</b:JournalName>
    <b:Year>2009</b:Year>
    <b:Pages>820-824</b:Pages>
    <b:Volume>93</b:Volume>
    <b:RefOrder>122</b:RefOrder>
  </b:Source>
  <b:Source>
    <b:Tag>Fri01</b:Tag>
    <b:SourceType>ConferenceProceedings</b:SourceType>
    <b:Guid>{87C874DE-7645-45E6-9458-59FEA8169CF2}</b:Guid>
    <b:Author>
      <b:Author>
        <b:NameList>
          <b:Person>
            <b:Last>Fritzsche</b:Last>
            <b:First>H.</b:First>
          </b:Person>
        </b:NameList>
      </b:Author>
    </b:Author>
    <b:Title>Early research on amorphous silicon: errors and missed opportunities, 609 A17.1</b:Title>
    <b:Year>2001</b:Year>
    <b:Pages>1-12</b:Pages>
    <b:ConferenceName>Materials Research Society Symposium Proceedings</b:ConferenceName>
    <b:City>Kansas</b:City>
    <b:Publisher>Journal of Materials Research Society</b:Publisher>
    <b:RefOrder>123</b:RefOrder>
  </b:Source>
  <b:Source>
    <b:Tag>Shu94</b:Tag>
    <b:SourceType>ConferenceProceedings</b:SourceType>
    <b:Guid>{1B69B4D7-E57E-4A99-921E-ADF76305B9A2}</b:Guid>
    <b:Author>
      <b:Author>
        <b:NameList>
          <b:Person>
            <b:Last>Shugar</b:Last>
            <b:First>D.</b:First>
          </b:Person>
        </b:NameList>
      </b:Author>
    </b:Author>
    <b:Title>Applications of amorphous silicon photovoltaics: myths and facts</b:Title>
    <b:Pages>670</b:Pages>
    <b:Year>1994</b:Year>
    <b:ConferenceName>24th IEEE First World Conference on Photovoltaic Energy Conversion, December 5-9</b:ConferenceName>
    <b:City>Hawai</b:City>
    <b:Publisher>IEEC Electron Devices Society</b:Publisher>
    <b:RefOrder>124</b:RefOrder>
  </b:Source>
  <b:Source>
    <b:Tag>Eme96</b:Tag>
    <b:SourceType>ConferenceProceedings</b:SourceType>
    <b:Guid>{C44DC3F1-0776-4EB1-815D-E1417AF55113}</b:Guid>
    <b:Author>
      <b:Author>
        <b:NameList>
          <b:Person>
            <b:Last>Emery</b:Last>
            <b:First>E.</b:First>
          </b:Person>
          <b:Person>
            <b:Last>Burdick</b:Last>
            <b:First>J.</b:First>
          </b:Person>
          <b:Person>
            <b:Last>Caiyem</b:Last>
            <b:First>Y</b:First>
          </b:Person>
          <b:Person>
            <b:Last>Dunlavy</b:Last>
            <b:First>D.</b:First>
          </b:Person>
          <b:Person>
            <b:Last>Field</b:Last>
            <b:First>H.</b:First>
          </b:Person>
          <b:Person>
            <b:Last>Kroposki</b:Last>
            <b:First>B.</b:First>
          </b:Person>
          <b:Person>
            <b:Last>Moriarty</b:Last>
            <b:First>T.</b:First>
          </b:Person>
          <b:Person>
            <b:Last>Ottoson</b:Last>
            <b:First>L.</b:First>
          </b:Person>
          <b:Person>
            <b:Last>Rummel</b:Last>
            <b:First>S.</b:First>
          </b:Person>
          <b:Person>
            <b:Last>Strand</b:Last>
            <b:First>T.</b:First>
          </b:Person>
          <b:Person>
            <b:Last>Wanlass</b:Last>
            <b:First>M.</b:First>
          </b:Person>
        </b:NameList>
      </b:Author>
    </b:Author>
    <b:Title>Temperature dependence of photovoltaic cells, modules, and systems</b:Title>
    <b:Pages>1275-1278</b:Pages>
    <b:Year>1996</b:Year>
    <b:ConferenceName>Proceedings of the 25th IEEE Photovoltaic Specialists Conference, Washington</b:ConferenceName>
    <b:City>New York</b:City>
    <b:Publisher>IEEE</b:Publisher>
    <b:RefOrder>125</b:RefOrder>
  </b:Source>
  <b:Source>
    <b:Tag>Gho11</b:Tag>
    <b:SourceType>JournalArticle</b:SourceType>
    <b:Guid>{05C24AFA-3811-403F-8051-C4450601567F}</b:Guid>
    <b:Author>
      <b:Author>
        <b:NameList>
          <b:Person>
            <b:Last>Ghoneim</b:Last>
            <b:First>A.</b:First>
          </b:Person>
          <b:Person>
            <b:Last>Kandil</b:Last>
            <b:First>K.</b:First>
          </b:Person>
          <b:Person>
            <b:Last>Al-Hassan</b:Last>
            <b:First>A.</b:First>
          </b:Person>
          <b:Person>
            <b:Last>Al-Touq</b:Last>
            <b:First>M.</b:First>
          </b:Person>
          <b:Person>
            <b:Last>Al-Asaad</b:Last>
            <b:First>A.</b:First>
          </b:Person>
          <b:Person>
            <b:Last>Al-Shamari</b:Last>
            <b:First>L.</b:First>
          </b:Person>
          <b:Person>
            <b:Last>Shamsaldein</b:Last>
            <b:First>A.</b:First>
          </b:Person>
        </b:NameList>
      </b:Author>
    </b:Author>
    <b:Title>Analysis of performance parameters of amorphous silicon modules under different environmental conditions</b:Title>
    <b:Year>2011</b:Year>
    <b:JournalName>Energy Science and Technology</b:JournalName>
    <b:Pages>43-50</b:Pages>
    <b:Volume>2</b:Volume>
    <b:Issue>1</b:Issue>
    <b:RefOrder>126</b:RefOrder>
  </b:Source>
  <b:Source>
    <b:Tag>Honed</b:Tag>
    <b:SourceType>InternetSite</b:SourceType>
    <b:Guid>{ECEEFB44-3BDD-4BCE-A3EC-AF6F264D05A6}</b:Guid>
    <b:Author>
      <b:Author>
        <b:NameList>
          <b:Person>
            <b:Last>Honsberg</b:Last>
            <b:First>C.</b:First>
          </b:Person>
          <b:Person>
            <b:Last>Bowden</b:Last>
            <b:First>S.</b:First>
          </b:Person>
        </b:NameList>
      </b:Author>
    </b:Author>
    <b:Title>Effect of temperature</b:Title>
    <b:Year>Undated</b:Year>
    <b:InternetSiteTitle>http://www.pveducation.org</b:InternetSiteTitle>
    <b:YearAccessed>2016</b:YearAccessed>
    <b:MonthAccessed>January</b:MonthAccessed>
    <b:DayAccessed>10</b:DayAccessed>
    <b:URL>http://www.pveducation.org/pvcdrom/solar-cell-operation/effect-of-temperature</b:URL>
    <b:RefOrder>127</b:RefOrder>
  </b:Source>
  <b:Source>
    <b:Tag>Ose12</b:Tag>
    <b:SourceType>Report</b:SourceType>
    <b:Guid>{405344BD-86CB-4B42-9610-05443415A440}</b:Guid>
    <b:Author>
      <b:Author>
        <b:NameList>
          <b:Person>
            <b:Last>Oseni</b:Last>
            <b:First>M.O.</b:First>
          </b:Person>
        </b:NameList>
      </b:Author>
    </b:Author>
    <b:Title>Power Outages and the Costs of Unsupplied Electricity: Evidence from Backup Generation among Firms in Africa</b:Title>
    <b:Year>2012</b:Year>
    <b:Publisher>Judge Business School, University of Cambridge</b:Publisher>
    <b:City>Cambridge, UK</b:City>
    <b:RefOrder>128</b:RefOrder>
  </b:Source>
  <b:Source>
    <b:Tag>Wor121</b:Tag>
    <b:SourceType>InternetSite</b:SourceType>
    <b:Guid>{D1A5B89C-66FE-41B0-BC84-9BF7EE9BE546}</b:Guid>
    <b:Author>
      <b:Author>
        <b:Corporate>World Bank</b:Corporate>
      </b:Author>
    </b:Author>
    <b:Title>http://www.enterprisesurveys.org/</b:Title>
    <b:Year>2012</b:Year>
    <b:YearAccessed>2015</b:YearAccessed>
    <b:MonthAccessed>September</b:MonthAccessed>
    <b:DayAccessed>29</b:DayAccessed>
    <b:RefOrder>129</b:RefOrder>
  </b:Source>
  <b:Source>
    <b:Tag>Gro09</b:Tag>
    <b:SourceType>Report</b:SourceType>
    <b:Guid>{E9EB897C-658D-4391-B258-0130425DF15D}</b:Guid>
    <b:Author>
      <b:Author>
        <b:NameList>
          <b:Person>
            <b:Last>Gronewold</b:Last>
            <b:First>N.</b:First>
          </b:Person>
        </b:NameList>
      </b:Author>
    </b:Author>
    <b:Title>One Quarter of the World's Population Lacks Electricity</b:Title>
    <b:Year>2009</b:Year>
    <b:Publisher>Sceintific American</b:Publisher>
    <b:City>http://www.scientificamerican.com/article/electricity-gap-developing-countries-energy-wood-charcoal/ (Accessed on 29 September 2015)</b:City>
    <b:RefOrder>130</b:RefOrder>
  </b:Source>
  <b:Source>
    <b:Tag>Sim11</b:Tag>
    <b:SourceType>Book</b:SourceType>
    <b:Guid>{0D56CAB9-10F9-414B-BBB7-FAF5AE2A02E1}</b:Guid>
    <b:Author>
      <b:Author>
        <b:NameList>
          <b:Person>
            <b:Last>Simon</b:Last>
            <b:First>M.K.</b:First>
          </b:Person>
        </b:NameList>
      </b:Author>
    </b:Author>
    <b:Title>Dissertation and scholarly research: Recipes for success (2011 Edition)</b:Title>
    <b:Year>2011</b:Year>
    <b:City>Seattle, WA</b:City>
    <b:Publisher>Dissertation Success, LLC</b:Publisher>
    <b:RefOrder>131</b:RefOrder>
  </b:Source>
  <b:Source>
    <b:Tag>KNB15</b:Tag>
    <b:SourceType>InternetSite</b:SourceType>
    <b:Guid>{2052F18F-84E9-43A7-9B7D-BA5AE7D799ED}</b:Guid>
    <b:Author>
      <b:Author>
        <b:Corporate>KNBS</b:Corporate>
      </b:Author>
    </b:Author>
    <b:Title>County statistics</b:Title>
    <b:Year>2015</b:Year>
    <b:InternetSiteTitle>http://www.knbs.or.ke</b:InternetSiteTitle>
    <b:YearAccessed>2015</b:YearAccessed>
    <b:MonthAccessed>December</b:MonthAccessed>
    <b:DayAccessed>5</b:DayAccessed>
    <b:URL>http://www.knbs.or.ke/index.php?option=com_content&amp;view=article&amp;id=176&amp;Itemid=645</b:URL>
    <b:RefOrder>132</b:RefOrder>
  </b:Source>
  <b:Source>
    <b:Tag>Tur14</b:Tag>
    <b:SourceType>ConferenceProceedings</b:SourceType>
    <b:Guid>{1F17E46A-EB52-4230-9BDB-7E7C75492C24}</b:Guid>
    <b:Author>
      <b:Author>
        <b:NameList>
          <b:Person>
            <b:Last>Turner</b:Last>
            <b:First>G.</b:First>
          </b:Person>
        </b:NameList>
      </b:Author>
    </b:Author>
    <b:Title>Student data management and analysis</b:Title>
    <b:Pages>1-14</b:Pages>
    <b:Year>2014</b:Year>
    <b:ConferenceName>Is it statistically significant? The chi-square test</b:ConferenceName>
    <b:Publisher>http://www.ox.ac.uk/media/global/wwwoxacuk/localsites/uasconference/presentations/P8_Is_it_statistically_significant.pdf</b:Publisher>
    <b:RefOrder>133</b:RefOrder>
  </b:Source>
  <b:Source>
    <b:Tag>Nyb15</b:Tag>
    <b:SourceType>InternetSite</b:SourceType>
    <b:Guid>{83453E7A-4A0C-4770-AFDF-06391724437E}</b:Guid>
    <b:Author>
      <b:Author>
        <b:NameList>
          <b:Person>
            <b:Last>Nyborg</b:Last>
            <b:First>T.</b:First>
          </b:Person>
        </b:NameList>
      </b:Author>
    </b:Author>
    <b:Title>Young savers face yawning reality gap</b:Title>
    <b:Year>2015</b:Year>
    <b:InternetSiteTitle>http://www.nowpensions.com</b:InternetSiteTitle>
    <b:Month>May</b:Month>
    <b:Day>5</b:Day>
    <b:YearAccessed>2015</b:YearAccessed>
    <b:MonthAccessed>December</b:MonthAccessed>
    <b:DayAccessed>8</b:DayAccessed>
    <b:URL>http://www.nowpensions.com/blog/young-savers-face-yawning-reality-gap/</b:URL>
    <b:RefOrder>134</b:RefOrder>
  </b:Source>
  <b:Source>
    <b:Tag>Ken15</b:Tag>
    <b:SourceType>InternetSite</b:SourceType>
    <b:Guid>{744C8F1B-B5EB-4681-8D3C-0F0BB3A0B950}</b:Guid>
    <b:Author>
      <b:Author>
        <b:NameList>
          <b:Person>
            <b:Last>Kenyatta</b:Last>
            <b:First>U.</b:First>
          </b:Person>
        </b:NameList>
      </b:Author>
    </b:Author>
    <b:Title>President's Award Scheme strategic plan launched</b:Title>
    <b:InternetSiteTitle>http://www.president.go.ke</b:InternetSiteTitle>
    <b:Year>2015</b:Year>
    <b:Month>October</b:Month>
    <b:Day>8</b:Day>
    <b:YearAccessed>2015</b:YearAccessed>
    <b:MonthAccessed>December</b:MonthAccessed>
    <b:DayAccessed>5</b:DayAccessed>
    <b:URL>http://www.president.go.ke/2015/10/08/presidents-award-scheme-strategic-plan-launched/</b:URL>
    <b:RefOrder>135</b:RefOrder>
  </b:Source>
  <b:Source>
    <b:Tag>Pop11</b:Tag>
    <b:SourceType>DocumentFromInternetSite</b:SourceType>
    <b:Guid>{6F26A2EB-0A62-4913-9793-50CB1F28F652}</b:Guid>
    <b:Author>
      <b:Author>
        <b:Corporate>Population Reference Bureau</b:Corporate>
      </b:Author>
    </b:Author>
    <b:Title>Kenya population data sheet 2011</b:Title>
    <b:InternetSiteTitle>http://www.prb.org</b:InternetSiteTitle>
    <b:Year>2011</b:Year>
    <b:YearAccessed>2015</b:YearAccessed>
    <b:MonthAccessed>December</b:MonthAccessed>
    <b:DayAccessed>8</b:DayAccessed>
    <b:URL>http://www.prb.org/pdf11/kenya-population-data-sheet-2011.pdf</b:URL>
    <b:RefOrder>136</b:RefOrder>
  </b:Source>
  <b:Source>
    <b:Tag>Kie12</b:Tag>
    <b:SourceType>DocumentFromInternetSite</b:SourceType>
    <b:Guid>{0EB8B635-7468-4D01-B30D-C3E175B020C0}</b:Guid>
    <b:Author>
      <b:Author>
        <b:NameList>
          <b:Person>
            <b:Last>Kiel</b:Last>
            <b:First>R.</b:First>
          </b:Person>
        </b:NameList>
      </b:Author>
    </b:Author>
    <b:Title>An investigation into consumer caution on photovoltaic markets</b:Title>
    <b:Year>2012</b:Year>
    <b:InternetSiteTitle>http://www.solarchoice.net.au</b:InternetSiteTitle>
    <b:Month>October</b:Month>
    <b:Day>17</b:Day>
    <b:YearAccessed>2015</b:YearAccessed>
    <b:MonthAccessed>December</b:MonthAccessed>
    <b:DayAccessed>7</b:DayAccessed>
    <b:URL>http://www.solarchoice.net.au/blog/an-investigation-into-customer-caution-on-photovoltaic-markets/</b:URL>
    <b:RefOrder>137</b:RefOrder>
  </b:Source>
  <b:Source>
    <b:Tag>Dou92</b:Tag>
    <b:SourceType>Book</b:SourceType>
    <b:Guid>{411A013C-8EFF-4F50-AECC-161CDA6F0C28}</b:Guid>
    <b:Author>
      <b:Author>
        <b:NameList>
          <b:Person>
            <b:Last>Douglas</b:Last>
            <b:First>M.</b:First>
          </b:Person>
        </b:NameList>
      </b:Author>
    </b:Author>
    <b:Title>Risk and blame</b:Title>
    <b:Year>1992</b:Year>
    <b:City>London</b:City>
    <b:Publisher>Routledge</b:Publisher>
    <b:RefOrder>138</b:RefOrder>
  </b:Source>
  <b:Source>
    <b:Tag>Tre15</b:Tag>
    <b:SourceType>InternetSite</b:SourceType>
    <b:Guid>{7F55F3E7-0597-4819-B7D4-AB1155C3D56B}</b:Guid>
    <b:Author>
      <b:Author>
        <b:NameList>
          <b:Person>
            <b:Last>Treadwell</b:Last>
            <b:First>T.</b:First>
          </b:Person>
        </b:NameList>
      </b:Author>
    </b:Author>
    <b:Title>Political ideology effects on purchasing solar photovoltaics</b:Title>
    <b:Year>2015</b:Year>
    <b:InternetSiteTitle>https://energycenter.org</b:InternetSiteTitle>
    <b:Month>January</b:Month>
    <b:Day>22</b:Day>
    <b:YearAccessed>2015</b:YearAccessed>
    <b:MonthAccessed>December</b:MonthAccessed>
    <b:DayAccessed>8</b:DayAccessed>
    <b:URL>https://energycenter.org/blog/political-ideology-effects-purchasing-solar-photovoltaics</b:URL>
    <b:RefOrder>139</b:RefOrder>
  </b:Source>
  <b:Source>
    <b:Tag>Mar95</b:Tag>
    <b:SourceType>JournalArticle</b:SourceType>
    <b:Guid>{133E86FB-8684-4D6F-B665-4CDBED604DF6}</b:Guid>
    <b:Author>
      <b:Author>
        <b:NameList>
          <b:Person>
            <b:Last>Martisen</b:Last>
            <b:First>O.</b:First>
          </b:Person>
        </b:NameList>
      </b:Author>
    </b:Author>
    <b:Title>Cognitive styles and experiences in solving insight problems: Replication and extension</b:Title>
    <b:Year>1995</b:Year>
    <b:JournalName>Creative Research Journal</b:JournalName>
    <b:Pages>291-298</b:Pages>
    <b:Volume>8</b:Volume>
    <b:RefOrder>140</b:RefOrder>
  </b:Source>
  <b:Source>
    <b:Tag>Rob09</b:Tag>
    <b:SourceType>DocumentFromInternetSite</b:SourceType>
    <b:Guid>{CFF4FE6C-B090-4C94-97FA-2671D05CBD01}</b:Guid>
    <b:Author>
      <b:Author>
        <b:NameList>
          <b:Person>
            <b:Last>Robinson</b:Last>
            <b:First>L.</b:First>
          </b:Person>
        </b:NameList>
      </b:Author>
    </b:Author>
    <b:Title>A summary of diffusion of innovations</b:Title>
    <b:Year>2009</b:Year>
    <b:InternetSiteTitle>http://www.enablingchange.com.au</b:InternetSiteTitle>
    <b:Month>January</b:Month>
    <b:YearAccessed>2015</b:YearAccessed>
    <b:MonthAccessed>December</b:MonthAccessed>
    <b:DayAccessed>14</b:DayAccessed>
    <b:URL>http://www.enablingchange.com.au/Summary_Diffusion_Theory.pdf</b:URL>
    <b:RefOrder>141</b:RefOrder>
  </b:Source>
  <b:Source>
    <b:Tag>Sch13</b:Tag>
    <b:SourceType>JournalArticle</b:SourceType>
    <b:Guid>{DE00FB23-E6E4-4904-B37D-3A64C2F5882F}</b:Guid>
    <b:Author>
      <b:Author>
        <b:NameList>
          <b:Person>
            <b:Last>Schwingshackl</b:Last>
            <b:First>C.</b:First>
          </b:Person>
          <b:Person>
            <b:Last>Petitta</b:Last>
            <b:First>M.</b:First>
          </b:Person>
          <b:Person>
            <b:Last>Wagner</b:Last>
            <b:First>J.E.</b:First>
          </b:Person>
          <b:Person>
            <b:Last>Belluardo</b:Last>
            <b:First>G.</b:First>
          </b:Person>
          <b:Person>
            <b:Last>Moser</b:Last>
            <b:First>D.</b:First>
          </b:Person>
          <b:Person>
            <b:Last>Casteli</b:Last>
            <b:First>M.</b:First>
          </b:Person>
          <b:Person>
            <b:Last>Zebisch</b:Last>
            <b:First>M.</b:First>
          </b:Person>
          <b:Person>
            <b:Last>Tetzlaff</b:Last>
            <b:First>A.</b:First>
          </b:Person>
        </b:NameList>
      </b:Author>
    </b:Author>
    <b:Title>Wind effect on PV module temperature: Analysis of different techniques for an accurate estimation</b:Title>
    <b:JournalName>Energy Procedia</b:JournalName>
    <b:Year>2013</b:Year>
    <b:Pages>77-86</b:Pages>
    <b:Volume>40</b:Volume>
    <b:RefOrder>142</b:RefOrder>
  </b:Source>
  <b:Source>
    <b:Tag>Sch47</b:Tag>
    <b:SourceType>JournalArticle</b:SourceType>
    <b:Guid>{05E7734E-9FC1-4CC5-AF87-5146D38476E6}</b:Guid>
    <b:Author>
      <b:Author>
        <b:NameList>
          <b:Person>
            <b:Last>Scheneider-Carius</b:Last>
            <b:First>K.</b:First>
          </b:Person>
        </b:NameList>
      </b:Author>
    </b:Author>
    <b:Title>Der schchtenbau der troposphȁre</b:Title>
    <b:JournalName>Met. Rundsch.</b:JournalName>
    <b:Year>1947</b:Year>
    <b:Pages>79-83</b:Pages>
    <b:Volume>1</b:Volume>
    <b:RefOrder>143</b:RefOrder>
  </b:Source>
  <b:Source>
    <b:Tag>Wei131</b:Tag>
    <b:SourceType>JournalArticle</b:SourceType>
    <b:Guid>{7BAAA4DB-1FF8-4E24-A8AB-1394EE75A5C1}</b:Guid>
    <b:Author>
      <b:Author>
        <b:NameList>
          <b:Person>
            <b:Last>Weintrit</b:Last>
            <b:First>A.</b:First>
          </b:Person>
        </b:NameList>
      </b:Author>
    </b:Author>
    <b:Title>So, What is Actually the Distance from the Equator to the Pole?–Overview of the Meridian Distance Approximations</b:Title>
    <b:JournalName>TransNav: International Journal on Marine Navigation and Safety of Sea Transportation</b:JournalName>
    <b:Year>2013</b:Year>
    <b:Pages>259-271</b:Pages>
    <b:Volume>7</b:Volume>
    <b:Issue>2</b:Issue>
    <b:RefOrder>144</b:RefOrder>
  </b:Source>
  <b:Source>
    <b:Tag>Gra101</b:Tag>
    <b:SourceType>JournalArticle</b:SourceType>
    <b:Guid>{6D26849D-F936-4D8C-9E83-642D47724886}</b:Guid>
    <b:Author>
      <b:Author>
        <b:NameList>
          <b:Person>
            <b:Last>Gray</b:Last>
            <b:First>L.</b:First>
          </b:Person>
          <b:Person>
            <b:Last>Beer</b:Last>
            <b:First>L.</b:First>
          </b:Person>
          <b:Person>
            <b:Last>Haigh</b:Last>
            <b:First>J.</b:First>
          </b:Person>
          <b:Person>
            <b:Last>Lockwood</b:Last>
            <b:First>M.</b:First>
          </b:Person>
          <b:Person>
            <b:Last>Matthes</b:Last>
            <b:First>K.</b:First>
          </b:Person>
          <b:Person>
            <b:Last>Cubasg</b:Last>
            <b:First>U.</b:First>
          </b:Person>
          <b:Person>
            <b:Last>Fleitmann</b:Last>
            <b:First>D.</b:First>
          </b:Person>
          <b:Person>
            <b:Last>Harrison</b:Last>
            <b:First>G.</b:First>
          </b:Person>
          <b:Person>
            <b:Last>Hood</b:Last>
            <b:First>L.</b:First>
          </b:Person>
          <b:Person>
            <b:Last>Luterbacher</b:Last>
            <b:First>J.</b:First>
          </b:Person>
          <b:Person>
            <b:Last>Meehl</b:Last>
            <b:First>G.</b:First>
          </b:Person>
          <b:Person>
            <b:Last>Shindell</b:Last>
            <b:First>D.</b:First>
          </b:Person>
          <b:Person>
            <b:Last>van-Geel</b:Last>
            <b:First>B.</b:First>
          </b:Person>
          <b:Person>
            <b:Last>White</b:Last>
            <b:First>W.</b:First>
          </b:Person>
        </b:NameList>
      </b:Author>
    </b:Author>
    <b:Title>Solar Influences on Climate</b:Title>
    <b:JournalName>Reviews in Geophysics</b:JournalName>
    <b:Year>2010</b:Year>
    <b:Pages>1-110</b:Pages>
    <b:RefOrder>145</b:RefOrder>
  </b:Source>
  <b:Source>
    <b:Tag>Che11</b:Tag>
    <b:SourceType>Book</b:SourceType>
    <b:Guid>{7780230F-B9E4-477A-A7B0-1BA6F5B344D6}</b:Guid>
    <b:Author>
      <b:Author>
        <b:NameList>
          <b:Person>
            <b:Last>Chen</b:Last>
            <b:First>C.</b:First>
          </b:Person>
        </b:NameList>
      </b:Author>
    </b:Author>
    <b:Title>Physics of Solar Energy</b:Title>
    <b:Year>2011</b:Year>
    <b:City>Hoboken, New Jersey</b:City>
    <b:Publisher>John Wiley &amp; Sons, Inc.</b:Publisher>
    <b:RefOrder>146</b:RefOrder>
  </b:Source>
  <b:Source>
    <b:Tag>Lon11</b:Tag>
    <b:SourceType>Book</b:SourceType>
    <b:Guid>{59EFDFC1-CA5F-4A16-B94F-CA5951433D45}</b:Guid>
    <b:Author>
      <b:Author>
        <b:NameList>
          <b:Person>
            <b:Last>Long</b:Last>
            <b:First>K.</b:First>
          </b:Person>
        </b:NameList>
      </b:Author>
    </b:Author>
    <b:Title>Deep Space Propulsion: A Roadmap to Interstellar Flight</b:Title>
    <b:Year>2011</b:Year>
    <b:City>New York</b:City>
    <b:Publisher>Springer Publishing Company</b:Publisher>
    <b:RefOrder>147</b:RefOrder>
  </b:Source>
  <b:Source>
    <b:Tag>Dia09</b:Tag>
    <b:SourceType>JournalArticle</b:SourceType>
    <b:Guid>{00160D1A-7EF6-4E46-A430-BEE2244EE0D3}</b:Guid>
    <b:Author>
      <b:Author>
        <b:NameList>
          <b:Person>
            <b:Last>Diane</b:Last>
            <b:First>L.</b:First>
          </b:Person>
        </b:NameList>
      </b:Author>
    </b:Author>
    <b:Title>Solar Energy Lesson Plans</b:Title>
    <b:Year>2009</b:Year>
    <b:Publisher>Emanuel Fievish and Max Rosenberg (EFMR) Monitoring Group, Inc.</b:Publisher>
    <b:JournalName>Emanuel Fievish and Max Rosenberg (EFMR)</b:JournalName>
    <b:Pages>1-22</b:Pages>
    <b:RefOrder>148</b:RefOrder>
  </b:Source>
  <b:Source>
    <b:Tag>Ste93</b:Tag>
    <b:SourceType>JournalArticle</b:SourceType>
    <b:Guid>{D7D9A72C-2717-4F65-8E8C-F35CEB227044}</b:Guid>
    <b:Author>
      <b:Author>
        <b:NameList>
          <b:Person>
            <b:Last>Stern</b:Last>
            <b:First>D.</b:First>
          </b:Person>
        </b:NameList>
      </b:Author>
    </b:Author>
    <b:Title>Energy Use and Economic Growth in the USA: A Multivariate Approach</b:Title>
    <b:JournalName>Energy Economics</b:JournalName>
    <b:Year>1993</b:Year>
    <b:Pages>137-150</b:Pages>
    <b:Volume>15</b:Volume>
    <b:RefOrder>149</b:RefOrder>
  </b:Source>
  <b:Source>
    <b:Tag>Abd07</b:Tag>
    <b:SourceType>Report</b:SourceType>
    <b:Guid>{3F7D3026-A45D-4A35-A274-19359A84860F}</b:Guid>
    <b:Author>
      <b:Author>
        <b:NameList>
          <b:Person>
            <b:Last>Abdallah</b:Last>
            <b:First>K.</b:First>
          </b:Person>
        </b:NameList>
      </b:Author>
    </b:Author>
    <b:Title>Indicators for Sustainable Development: Country Studies in Brazil, Cuba, Lthuania, Mexico, Russian Federation, Slovakia and Thailand</b:Title>
    <b:Year>2007</b:Year>
    <b:City>Geneva</b:City>
    <b:Publisher>International Atomic Energy Agency (IAEA), United Nations (UN)</b:Publisher>
    <b:RefOrder>150</b:RefOrder>
  </b:Source>
  <b:Source>
    <b:Tag>Bel13</b:Tag>
    <b:SourceType>Report</b:SourceType>
    <b:Guid>{CC240199-7F7D-416B-AD14-71EA22C8B589}</b:Guid>
    <b:Author>
      <b:Author>
        <b:NameList>
          <b:Person>
            <b:Last>Bellanca</b:Last>
            <b:First>R.</b:First>
          </b:Person>
          <b:Person>
            <b:Last>Garside</b:Last>
            <b:First>B.</b:First>
          </b:Person>
        </b:NameList>
      </b:Author>
    </b:Author>
    <b:Title>An approach to designing energy delivery models that work for people living in poverty</b:Title>
    <b:Pages>1-32</b:Pages>
    <b:Year>2013</b:Year>
    <b:City>London</b:City>
    <b:Publisher>Catholic Agency for Overseas Development (CAFOD) &amp; International Institute for Environment and Development (IIED)</b:Publisher>
    <b:RefOrder>151</b:RefOrder>
  </b:Source>
  <b:Source>
    <b:Tag>Wil12</b:Tag>
    <b:SourceType>Report</b:SourceType>
    <b:Guid>{9FBB8117-A617-4AB1-9FF9-1978AA8CA30A}</b:Guid>
    <b:Author>
      <b:Author>
        <b:NameList>
          <b:Person>
            <b:Last>Wilson</b:Last>
            <b:First>E.</b:First>
          </b:Person>
          <b:Person>
            <b:Last>Wood</b:Last>
            <b:First>G.</b:First>
          </b:Person>
          <b:Person>
            <b:Last>Garside</b:Last>
            <b:First>B.</b:First>
          </b:Person>
        </b:NameList>
      </b:Author>
    </b:Author>
    <b:Title>Sustainable markets: Sustainable energy for all? Linking poor communities to modern energy services</b:Title>
    <b:Year>2012</b:Year>
    <b:Publisher>International Institute for Environment and Development (IIED)</b:Publisher>
    <b:City>London</b:City>
    <b:Pages>1-32</b:Pages>
    <b:ThesisType>Working Paper No. 1</b:ThesisType>
    <b:RefOrder>152</b:RefOrder>
  </b:Source>
  <b:Source>
    <b:Tag>Uni14</b:Tag>
    <b:SourceType>InternetSite</b:SourceType>
    <b:Guid>{26788D3F-55DD-41F3-AA23-47604A1D1440}</b:Guid>
    <b:Author>
      <b:Author>
        <b:Corporate>United Nations Development Programme (UNDP)</b:Corporate>
      </b:Author>
    </b:Author>
    <b:Title>http://www.undp.org/content/undp/en/home/ourwork/environmentandenergy/focus_areas/sustainable-energy.html</b:Title>
    <b:InternetSiteTitle>http://www.undp.org</b:InternetSiteTitle>
    <b:Year>2014</b:Year>
    <b:YearAccessed>2014</b:YearAccessed>
    <b:MonthAccessed>July</b:MonthAccessed>
    <b:DayAccessed>10</b:DayAccessed>
    <b:URL>http://www.undp.org/content/undp/en/home/ourwork/environmentandenergy/focus_areas/sustainable-energy.html</b:URL>
    <b:RefOrder>153</b:RefOrder>
  </b:Source>
  <b:Source>
    <b:Tag>Dav07</b:Tag>
    <b:SourceType>Report</b:SourceType>
    <b:Guid>{B4E20E77-7F11-4ADF-836C-C24B527BA6D0}</b:Guid>
    <b:Author>
      <b:Author>
        <b:NameList>
          <b:Person>
            <b:Last>Davidson</b:Last>
            <b:First>O.</b:First>
          </b:Person>
          <b:Person>
            <b:Last>Chenene</b:Last>
            <b:First>M.</b:First>
          </b:Person>
          <b:Person>
            <b:Last>Kituyi</b:Last>
            <b:First>E.</b:First>
          </b:Person>
          <b:Person>
            <b:Last>Nkomo</b:Last>
            <b:First>J.</b:First>
          </b:Person>
          <b:Person>
            <b:Last>Turner</b:Last>
            <b:First>C.</b:First>
          </b:Person>
          <b:Person>
            <b:Last>Sebitosi</b:Last>
            <b:First>B.</b:First>
          </b:Person>
        </b:NameList>
      </b:Author>
    </b:Author>
    <b:Title>Sustainable energy in sub-Saharan Africa</b:Title>
    <b:Year>2007</b:Year>
    <b:Publisher>International Council for Science (ICSU) Regional Office for Africa</b:Publisher>
    <b:City>Pretoria, South Africa</b:City>
    <b:RefOrder>154</b:RefOrder>
  </b:Source>
  <b:Source>
    <b:Tag>Ken101</b:Tag>
    <b:SourceType>Report</b:SourceType>
    <b:Guid>{FE642900-4DD5-4927-949D-379B645E6288}</b:Guid>
    <b:Author>
      <b:Author>
        <b:Corporate>Kenya Institute for Public Policy Research and Analysis (KIPPRA)</b:Corporate>
      </b:Author>
    </b:Author>
    <b:Title>A comprehensive study and analysis on energy consumption patterns in Kenya</b:Title>
    <b:Pages>1-40</b:Pages>
    <b:Year>2010</b:Year>
    <b:City>Nairobi</b:City>
    <b:Publisher>KIPPRA</b:Publisher>
    <b:RefOrder>155</b:RefOrder>
  </b:Source>
  <b:Source>
    <b:Tag>Lee05</b:Tag>
    <b:SourceType>JournalArticle</b:SourceType>
    <b:Guid>{4468826B-01B8-405C-ABBC-0251653FFA6D}</b:Guid>
    <b:Author>
      <b:Author>
        <b:NameList>
          <b:Person>
            <b:Last>Lee</b:Last>
            <b:First>C.</b:First>
          </b:Person>
        </b:NameList>
      </b:Author>
    </b:Author>
    <b:Title>Energy consumption and GDP in developing countries: A cointegrated analysis</b:Title>
    <b:Year>2005</b:Year>
    <b:JournalName>Journal of Energy Policy</b:JournalName>
    <b:Pages>415-427</b:Pages>
    <b:Volume>27</b:Volume>
    <b:Issue>3</b:Issue>
    <b:RefOrder>156</b:RefOrder>
  </b:Source>
  <b:Source>
    <b:Tag>Meh06</b:Tag>
    <b:SourceType>JournalArticle</b:SourceType>
    <b:Guid>{5759F7AE-9CBC-4BB1-94CA-F5A25B7159DA}</b:Guid>
    <b:Author>
      <b:Author>
        <b:NameList>
          <b:Person>
            <b:Last>Mehra</b:Last>
            <b:First>M.</b:First>
          </b:Person>
        </b:NameList>
      </b:Author>
    </b:Author>
    <b:Title>Energy consumption and economic growth: The case of oil exporting countries</b:Title>
    <b:JournalName>journal of Energy Policy</b:JournalName>
    <b:Year>2006</b:Year>
    <b:Pages>2939-2945</b:Pages>
    <b:Volume>35</b:Volume>
    <b:Issue>5</b:Issue>
    <b:RefOrder>157</b:RefOrder>
  </b:Source>
  <b:Source>
    <b:Tag>Che07</b:Tag>
    <b:SourceType>JournalArticle</b:SourceType>
    <b:Guid>{66B8D9AB-8CAC-4744-B694-91E6F7D03C35}</b:Guid>
    <b:Author>
      <b:Author>
        <b:NameList>
          <b:Person>
            <b:Last>Chen</b:Last>
            <b:First>S.</b:First>
          </b:Person>
          <b:Person>
            <b:Last>Kuo</b:Last>
            <b:First>H.</b:First>
          </b:Person>
          <b:Person>
            <b:Last>Chen</b:Last>
            <b:First>C.</b:First>
          </b:Person>
        </b:NameList>
      </b:Author>
    </b:Author>
    <b:Title>The relationship between GDP and electricity consumption in 10 Asian countries</b:Title>
    <b:JournalName>Journal of Energy Policy</b:JournalName>
    <b:Year>2007</b:Year>
    <b:Pages>2611-2621</b:Pages>
    <b:Volume>35</b:Volume>
    <b:Issue>4</b:Issue>
    <b:RefOrder>158</b:RefOrder>
  </b:Source>
  <b:Source>
    <b:Tag>Cia08</b:Tag>
    <b:SourceType>Report</b:SourceType>
    <b:Guid>{8CEA0C4C-A77D-49BE-9F27-F6D58DEF1F03}</b:Guid>
    <b:Author>
      <b:Author>
        <b:NameList>
          <b:Person>
            <b:Last>Ciarreta</b:Last>
            <b:First>A.</b:First>
          </b:Person>
          <b:Person>
            <b:Last>Zarranga</b:Last>
            <b:First>A.</b:First>
          </b:Person>
        </b:NameList>
      </b:Author>
    </b:Author>
    <b:Title>Economic growth and electricity consumption in 12 European countries: A causality analysis using panel data</b:Title>
    <b:Year>2008</b:Year>
    <b:Publisher>Department of Applied Economics III (Econometrics and Statistics), University of Basque Country</b:Publisher>
    <b:ThesisType>Working Paper</b:ThesisType>
    <b:RefOrder>159</b:RefOrder>
  </b:Source>
  <b:Source>
    <b:Tag>Lee08</b:Tag>
    <b:SourceType>JournalArticle</b:SourceType>
    <b:Guid>{6CF9FDB4-0392-4468-B88B-64A81637AD0D}</b:Guid>
    <b:Author>
      <b:Author>
        <b:NameList>
          <b:Person>
            <b:Last>Lee</b:Last>
            <b:First>C.</b:First>
          </b:Person>
          <b:Person>
            <b:Last>Chen</b:Last>
            <b:First>P.</b:First>
          </b:Person>
        </b:NameList>
      </b:Author>
    </b:Author>
    <b:Title>Energy-income causality in OECD countries revisited: The role of capital stock</b:Title>
    <b:Year>2008</b:Year>
    <b:JournalName>Journal of Energy Economics</b:JournalName>
    <b:Pages>2359-2373</b:Pages>
    <b:Volume>30</b:Volume>
    <b:Issue>5</b:Issue>
    <b:RefOrder>160</b:RefOrder>
  </b:Source>
  <b:Source>
    <b:Tag>Ape09</b:Tag>
    <b:SourceType>JournalArticle</b:SourceType>
    <b:Guid>{A1DCC8EA-BD9A-4E57-AFFB-517B78A43779}</b:Guid>
    <b:Author>
      <b:Author>
        <b:NameList>
          <b:Person>
            <b:Last>Apergis</b:Last>
            <b:First>N.</b:First>
          </b:Person>
          <b:Person>
            <b:Last>Payne</b:Last>
            <b:First>J.</b:First>
          </b:Person>
        </b:NameList>
      </b:Author>
    </b:Author>
    <b:Title>Energy consumption and economic growth: Evidence from the Commonwealth of Independent States</b:Title>
    <b:JournalName>Journal of Energy Economics</b:JournalName>
    <b:Year>2009</b:Year>
    <b:Pages>641-647</b:Pages>
    <b:Volume>31</b:Volume>
    <b:Issue>5</b:Issue>
    <b:RefOrder>161</b:RefOrder>
  </b:Source>
  <b:Source>
    <b:Tag>Ape10</b:Tag>
    <b:SourceType>JournalArticle</b:SourceType>
    <b:Guid>{E1BF85AA-549D-423A-B6BF-C7567725F7AA}</b:Guid>
    <b:Author>
      <b:Author>
        <b:NameList>
          <b:Person>
            <b:Last>Apergis</b:Last>
            <b:First>N.</b:First>
          </b:Person>
          <b:Person>
            <b:Last>Payne</b:Last>
            <b:First>J.</b:First>
          </b:Person>
        </b:NameList>
      </b:Author>
    </b:Author>
    <b:Title>The emissions, energy consumption, and growth nexus: Evidence from the Commonwealth of Independent States</b:Title>
    <b:JournalName>Journal of Energy Policy</b:JournalName>
    <b:Year>2010</b:Year>
    <b:Pages>650-655</b:Pages>
    <b:Volume>38</b:Volume>
    <b:Issue>1</b:Issue>
    <b:RefOrder>162</b:RefOrder>
  </b:Source>
  <b:Source>
    <b:Tag>IEA10</b:Tag>
    <b:SourceType>Report</b:SourceType>
    <b:Guid>{2AFF7E6B-EE20-43A0-A383-E19E3BB0C0BD}</b:Guid>
    <b:Author>
      <b:Author>
        <b:Corporate>IEA; UNDP; UNIDO</b:Corporate>
      </b:Author>
    </b:Author>
    <b:Title>Energy poverty - How to make modern energy access universal</b:Title>
    <b:Year>2010</b:Year>
    <b:Publisher>International Energy Agency</b:Publisher>
    <b:City>Paris</b:City>
    <b:Comments>Special early excerpt of the World Energy Outlook 2010 for the UN General Assembly on the Millenium Development Goals</b:Comments>
    <b:RefOrder>163</b:RefOrder>
  </b:Source>
  <b:Source>
    <b:Tag>Ana97</b:Tag>
    <b:SourceType>Report</b:SourceType>
    <b:Guid>{5C4A4F52-D3D0-4FD3-931B-CA2ED29B01A4}</b:Guid>
    <b:Author>
      <b:Author>
        <b:NameList>
          <b:Person>
            <b:Last>Anand</b:Last>
            <b:First>S.</b:First>
          </b:Person>
          <b:Person>
            <b:Last>Sen</b:Last>
            <b:First>A.</b:First>
          </b:Person>
        </b:NameList>
      </b:Author>
    </b:Author>
    <b:Title>Concepts of human development and poverty: a multidimansional perspective</b:Title>
    <b:Year>1997</b:Year>
    <b:Publisher>UNDP</b:Publisher>
    <b:City>New Yorl</b:City>
    <b:ThesisType>UNDP Human Development Papers 1997</b:ThesisType>
    <b:RefOrder>164</b:RefOrder>
  </b:Source>
  <b:Source>
    <b:Tag>Sen99</b:Tag>
    <b:SourceType>Book</b:SourceType>
    <b:Guid>{6F9D11D8-EF54-4734-A9BC-6BAD87379631}</b:Guid>
    <b:Author>
      <b:Author>
        <b:NameList>
          <b:Person>
            <b:Last>Sen</b:Last>
            <b:First>A.</b:First>
          </b:Person>
        </b:NameList>
      </b:Author>
    </b:Author>
    <b:Title>Development as freedom</b:Title>
    <b:Year>1999</b:Year>
    <b:Publisher>Oxford University Press</b:Publisher>
    <b:City>Oxford</b:City>
    <b:RefOrder>165</b:RefOrder>
  </b:Source>
  <b:Source>
    <b:Tag>Rep14</b:Tag>
    <b:SourceType>Report</b:SourceType>
    <b:Guid>{B2926200-8C72-4EE5-BDEC-ADEE6C5C58B1}</b:Guid>
    <b:Author>
      <b:Author>
        <b:Corporate>Republic of Kenya</b:Corporate>
      </b:Author>
    </b:Author>
    <b:Title>Draft national energy policy</b:Title>
    <b:Year>2014</b:Year>
    <b:City>Nairobi</b:City>
    <b:Publisher>Ministry of Energy and Petroleum</b:Publisher>
    <b:RefOrder>166</b:RefOrder>
  </b:Source>
  <b:Source>
    <b:Tag>Nus11</b:Tag>
    <b:SourceType>Report</b:SourceType>
    <b:Guid>{633E8C03-61F6-4680-B3BF-102A7013F88E}</b:Guid>
    <b:Author>
      <b:Author>
        <b:NameList>
          <b:Person>
            <b:Last>Nussbaumer</b:Last>
            <b:First>P.</b:First>
          </b:Person>
          <b:Person>
            <b:Last>Bazilian</b:Last>
            <b:First>M.</b:First>
          </b:Person>
          <b:Person>
            <b:Last>Modi</b:Last>
            <b:First>V.</b:First>
          </b:Person>
          <b:Person>
            <b:Last>Yumkella</b:Last>
            <b:First>K.</b:First>
          </b:Person>
        </b:NameList>
      </b:Author>
    </b:Author>
    <b:Title>Measuring energy poverty: Focusing on what matters</b:Title>
    <b:Year>2011</b:Year>
    <b:Publisher>Oxford Poverty and Human Development Initiative (OPHI)</b:Publisher>
    <b:City>Oxford</b:City>
    <b:Pages>1-27</b:Pages>
    <b:ThesisType>Working Paper No. 42</b:ThesisType>
    <b:RefOrder>167</b:RefOrder>
  </b:Source>
  <b:Source>
    <b:Tag>Bra10</b:Tag>
    <b:SourceType>JournalArticle</b:SourceType>
    <b:Guid>{7565A87A-A5FC-4698-BB80-A0CD6B70672B}</b:Guid>
    <b:Author>
      <b:Author>
        <b:NameList>
          <b:Person>
            <b:Last>Bazilian</b:Last>
            <b:First>M.</b:First>
          </b:Person>
          <b:Person>
            <b:Last>Sagar</b:Last>
            <b:First>A.</b:First>
          </b:Person>
          <b:Person>
            <b:Last>Detchon</b:Last>
            <b:First>R.</b:First>
          </b:Person>
          <b:Person>
            <b:Last>Yumkella</b:Last>
            <b:First>K.</b:First>
          </b:Person>
        </b:NameList>
      </b:Author>
    </b:Author>
    <b:Title>More heat and light</b:Title>
    <b:Year>2010</b:Year>
    <b:JournalName>Journal of Energy Policy</b:JournalName>
    <b:Pages>5409-5412</b:Pages>
    <b:Volume>38</b:Volume>
    <b:Issue>10</b:Issue>
    <b:RefOrder>168</b:RefOrder>
  </b:Source>
  <b:Source>
    <b:Tag>UND01</b:Tag>
    <b:SourceType>Report</b:SourceType>
    <b:Guid>{855A5164-69B8-4DB3-8BEB-2DBFE448A6E1}</b:Guid>
    <b:Author>
      <b:Author>
        <b:Corporate>UNDP</b:Corporate>
      </b:Author>
    </b:Author>
    <b:Title>Human development report</b:Title>
    <b:Year>2001</b:Year>
    <b:Publisher>Oxford University Press</b:Publisher>
    <b:City>Now York</b:City>
    <b:RefOrder>169</b:RefOrder>
  </b:Source>
  <b:Source>
    <b:Tag>UND10</b:Tag>
    <b:SourceType>Report</b:SourceType>
    <b:Guid>{08DABBED-D5B3-4263-8CEC-CFBD9008248A}</b:Guid>
    <b:Author>
      <b:Author>
        <b:Corporate>UNDP</b:Corporate>
      </b:Author>
    </b:Author>
    <b:Title>UNDP Human Development  Indicators Report 2010</b:Title>
    <b:Year>2010</b:Year>
    <b:Publisher>United Nations Development Programme (UNDP)</b:Publisher>
    <b:City>New York, NY</b:City>
    <b:RefOrder>170</b:RefOrder>
  </b:Source>
  <b:Source>
    <b:Tag>Alk11</b:Tag>
    <b:SourceType>Report</b:SourceType>
    <b:Guid>{959308CC-97EF-4E12-8130-4EFEA4BCDBB7}</b:Guid>
    <b:Author>
      <b:Author>
        <b:NameList>
          <b:Person>
            <b:Last>Alkire</b:Last>
            <b:First>S.</b:First>
          </b:Person>
          <b:Person>
            <b:Last>Roche</b:Last>
            <b:First>J.</b:First>
          </b:Person>
          <b:Person>
            <b:Last>Santos</b:Last>
            <b:First>M.</b:First>
          </b:Person>
          <b:Person>
            <b:Last>Seth</b:Last>
            <b:First>S.</b:First>
          </b:Person>
        </b:NameList>
      </b:Author>
    </b:Author>
    <b:Title>Multidimensional Poverty Index: 2011 Data</b:Title>
    <b:Year>2011</b:Year>
    <b:Publisher>Alkire, S., J.M. Roche, M.E. Santos, and S. Seth, 2011: MultidimOxford Poverty and Human Development Initiative. www. ophi.org.uk/policy/multidimensional-poverty-index/ (accessed 4 March 2010).</b:Publisher>
    <b:Month>March</b:Month>
    <b:Day>4</b:Day>
    <b:YearAccessed>Alkire, S., J.M. Roche, M.E. Santos, and S. Seth, 2011: Multidimensional Poverty Index: 2011 Data. Oxford Poverty and Human Development Initiative. www. ophi.org.uk/policy/multidimensional-poverty-index/ (accessed 4 March 2010).</b:YearAccessed>
    <b:RefOrder>171</b:RefOrder>
  </b:Source>
  <b:Source>
    <b:Tag>IEA101</b:Tag>
    <b:SourceType>Report</b:SourceType>
    <b:Guid>{A0B0C43E-37A7-420B-9E02-19B8462D76FA}</b:Guid>
    <b:Author>
      <b:Author>
        <b:NameList>
          <b:Person>
            <b:Last>IEA</b:Last>
          </b:Person>
        </b:NameList>
      </b:Author>
    </b:Author>
    <b:Title>Energy poverty – how to make modern energy access universal? World energy outlook 2010</b:Title>
    <b:Year>2010</b:Year>
    <b:Publisher>International Energy Agency (IEA)</b:Publisher>
    <b:City>Paris</b:City>
    <b:RefOrder>172</b:RefOrder>
  </b:Source>
  <b:Source>
    <b:Tag>Cat12</b:Tag>
    <b:SourceType>ConferenceProceedings</b:SourceType>
    <b:Guid>{6B0B34D7-59F5-4254-A373-84CE62A8DFEF}</b:Guid>
    <b:Author>
      <b:Author>
        <b:NameList>
          <b:Person>
            <b:Last>Catherine</b:Last>
            <b:First>K.</b:First>
          </b:Person>
        </b:NameList>
      </b:Author>
    </b:Author>
    <b:Title>Kenya’s Energy Demand and the Role of Nuclear Energy in Future Energy Generation Mix</b:Title>
    <b:Year>2012</b:Year>
    <b:Publisher>IAEA Nuclear Energy Management School</b:Publisher>
    <b:City>Tokai-Mura</b:City>
    <b:RefOrder>173</b:RefOrder>
  </b:Source>
  <b:Source>
    <b:Tag>Ene11</b:Tag>
    <b:SourceType>Report</b:SourceType>
    <b:Guid>{D3CF83D4-3E6C-4154-96DD-9220BEBF662F}</b:Guid>
    <b:Author>
      <b:Author>
        <b:Corporate>Energy Regulatory Commission (ERC), Geothermal Development Company (GDC), Kenya Electricity Generating Company Limited (Kengen), Kenya Power and Lighting Company Limited (KPLC), Rural Electrification Agency (REA), Kenya Electricity Transmission Company </b:Corporate>
      </b:Author>
    </b:Author>
    <b:Title>Updated Least Cost Power Development Plan (LCPDP) study period 2011-2031</b:Title>
    <b:Year>2011</b:Year>
    <b:City>Nairobi</b:City>
    <b:Publisher>Republic of Kenya</b:Publisher>
    <b:RefOrder>174</b:RefOrder>
  </b:Source>
  <b:Source>
    <b:Tag>Cam59</b:Tag>
    <b:SourceType>JournalArticle</b:SourceType>
    <b:Guid>{AE2686EB-31D9-44B1-BE88-732A68C6ACE2}</b:Guid>
    <b:Author>
      <b:Author>
        <b:NameList>
          <b:Person>
            <b:Last>Campbell</b:Last>
            <b:First>D.</b:First>
          </b:Person>
          <b:Person>
            <b:Last>Fiske</b:Last>
            <b:First>D.</b:First>
          </b:Person>
        </b:NameList>
      </b:Author>
    </b:Author>
    <b:Title>Convergent and discriminant validation by the multitrait-multimethod matrix</b:Title>
    <b:Year>1959</b:Year>
    <b:JournalName>Psychological Bulletin</b:JournalName>
    <b:Pages>81-105</b:Pages>
    <b:RefOrder>175</b:RefOrder>
  </b:Source>
  <b:Source>
    <b:Tag>Bur97</b:Tag>
    <b:SourceType>Book</b:SourceType>
    <b:Guid>{FC238776-375A-49A0-8376-6791AE82CBA5}</b:Guid>
    <b:Author>
      <b:Author>
        <b:NameList>
          <b:Person>
            <b:Last>Burns</b:Last>
            <b:First>N.</b:First>
          </b:Person>
          <b:Person>
            <b:Last>Grove</b:Last>
            <b:First>S.</b:First>
          </b:Person>
        </b:NameList>
      </b:Author>
    </b:Author>
    <b:Title>The practice of nursing research: Critique and utilization</b:Title>
    <b:Year>1997</b:Year>
    <b:City>Philadelphia, PA</b:City>
    <b:Publisher>WA Saunders</b:Publisher>
    <b:Edition>3rd Edition</b:Edition>
    <b:RefOrder>176</b:RefOrder>
  </b:Source>
  <b:Source>
    <b:Tag>Gov101</b:Tag>
    <b:SourceType>Book</b:SourceType>
    <b:Guid>{8CFB3ACE-99F6-4936-B0A5-879753305798}</b:Guid>
    <b:Author>
      <b:Author>
        <b:Corporate>Republic of Kenya</b:Corporate>
      </b:Author>
    </b:Author>
    <b:Title>The Constitution of Kenya 2010</b:Title>
    <b:Year>2010</b:Year>
    <b:City>Nairobi</b:City>
    <b:Publisher>Government Printer</b:Publisher>
    <b:RefOrder>177</b:RefOrder>
  </b:Source>
  <b:Source>
    <b:Tag>Bah79</b:Tag>
    <b:SourceType>Book</b:SourceType>
    <b:Guid>{B2E890F7-E60A-4FBA-A65E-FDBAE9975810}</b:Guid>
    <b:Author>
      <b:Author>
        <b:NameList>
          <b:Person>
            <b:Last>Bahadori</b:Last>
            <b:First>M.N.</b:First>
          </b:Person>
        </b:NameList>
      </b:Author>
      <b:BookAuthor>
        <b:NameList>
          <b:Person>
            <b:Last>Bahadori</b:Last>
            <b:First>M.</b:First>
            <b:Middle>N.</b:Middle>
          </b:Person>
        </b:NameList>
      </b:BookAuthor>
      <b:Editor>
        <b:NameList>
          <b:Person>
            <b:Last>Leslie</b:Last>
            <b:First>A.E.</b:First>
            <b:Middle>Dixon and J.D.</b:Middle>
          </b:Person>
        </b:NameList>
      </b:Editor>
    </b:Author>
    <b:Title>Solar energy conversion: An introductory course</b:Title>
    <b:Pages>461</b:Pages>
    <b:Year>1979</b:Year>
    <b:City>New York</b:City>
    <b:Publisher>Pergamon</b:Publisher>
    <b:BookTitle>Solar energy</b:BookTitle>
    <b:RefOrder>178</b:RefOrder>
  </b:Source>
  <b:Source>
    <b:Tag>Gra91</b:Tag>
    <b:SourceType>BookSection</b:SourceType>
    <b:Guid>{48003B05-9A88-4BA5-8137-74FB146DF788}</b:Guid>
    <b:Author>
      <b:Author>
        <b:NameList>
          <b:Person>
            <b:Last>Granqvist</b:Last>
            <b:First>C.G.</b:First>
          </b:Person>
        </b:NameList>
      </b:Author>
      <b:BookAuthor>
        <b:NameList>
          <b:Person>
            <b:Last>plc</b:Last>
            <b:First>Pergamon</b:First>
            <b:Middle>Press</b:Middle>
          </b:Person>
        </b:NameList>
      </b:BookAuthor>
      <b:Editor>
        <b:NameList>
          <b:Person>
            <b:Last>C.G</b:Last>
            <b:First>Granqvist</b:First>
          </b:Person>
        </b:NameList>
      </b:Editor>
    </b:Author>
    <b:Title>Introduction to materials science for solar energy conversion systems</b:Title>
    <b:Year>1991</b:Year>
    <b:City>Oxford</b:City>
    <b:Publisher>Pergamon Press</b:Publisher>
    <b:BookTitle>Materials science for solar energy conversion systems</b:BookTitle>
    <b:Pages>p.2</b:Pages>
    <b:RefOrder>179</b:RefOrder>
  </b:Source>
  <b:Source>
    <b:Tag>Pet82</b:Tag>
    <b:SourceType>Book</b:SourceType>
    <b:Guid>{D4882BC8-07CE-4A06-9686-A2089A1B943A}</b:Guid>
    <b:Author>
      <b:Author>
        <b:NameList>
          <b:Person>
            <b:Last>Pettit</b:Last>
            <b:First>R.B.</b:First>
          </b:Person>
          <b:Person>
            <b:Last>Sweet</b:Last>
            <b:First>J.N.</b:First>
          </b:Person>
          <b:Person>
            <b:Last>Sowell</b:Last>
            <b:First>R.R.</b:First>
          </b:Person>
        </b:NameList>
      </b:Author>
      <b:Editor>
        <b:NameList>
          <b:Person>
            <b:Last>Abrams</b:Last>
            <b:First>H.</b:First>
          </b:Person>
          <b:Person>
            <b:Last>Clark</b:Last>
            <b:First>E.</b:First>
          </b:Person>
          <b:Person>
            <b:Last>Hood</b:Last>
            <b:First>J.</b:First>
          </b:Person>
          <b:Person>
            <b:Last>Seth</b:Last>
            <b:First>B.</b:First>
          </b:Person>
        </b:NameList>
      </b:Editor>
    </b:Author>
    <b:Title>MiCon 82: Optimization of processing, properties and service performance through microstructural control, ASTM STP 792</b:Title>
    <b:Year>1982</b:Year>
    <b:City>Philadelphia</b:City>
    <b:Publisher>American Society for Testing Materials (ASTM)</b:Publisher>
    <b:RefOrder>180</b:RefOrder>
  </b:Source>
  <b:Source>
    <b:Tag>Wol06</b:Tag>
    <b:SourceType>JournalArticle</b:SourceType>
    <b:Guid>{6C43BFC5-2B66-4414-95B4-13DE1EF7469E}</b:Guid>
    <b:Author>
      <b:Author>
        <b:NameList>
          <b:Person>
            <b:Last>Wolde-Rufael</b:Last>
            <b:First>Y.</b:First>
          </b:Person>
        </b:NameList>
      </b:Author>
    </b:Author>
    <b:Title>Electricity consumption and economic growth: a time series experience for 17 African countries</b:Title>
    <b:Year>2006</b:Year>
    <b:JournalName>Energy Policy</b:JournalName>
    <b:Pages>1106-1114</b:Pages>
    <b:Volume>34</b:Volume>
    <b:RefOrder>181</b:RefOrder>
  </b:Source>
  <b:Source>
    <b:Tag>Odh10</b:Tag>
    <b:SourceType>JournalArticle</b:SourceType>
    <b:Guid>{E4E4BCA6-CAD7-4757-ACCB-2FCC40598ED2}</b:Guid>
    <b:Author>
      <b:Author>
        <b:NameList>
          <b:Person>
            <b:Last>Odhiambo</b:Last>
            <b:First>N.</b:First>
          </b:Person>
        </b:NameList>
      </b:Author>
    </b:Author>
    <b:Title>Electricity consumption, labour force participation rate and economic growth in Kenya: an empirical investigation</b:Title>
    <b:JournalName>Problems and perspectives in management</b:JournalName>
    <b:Year>2010</b:Year>
    <b:Pages>31-38</b:Pages>
    <b:Volume>8</b:Volume>
    <b:Issue>1</b:Issue>
    <b:RefOrder>182</b:RefOrder>
  </b:Source>
  <b:Source>
    <b:Tag>Baz10</b:Tag>
    <b:SourceType>JournalArticle</b:SourceType>
    <b:Guid>{80EC2A9F-BF7B-4B5D-9A1C-A38CA9C6B6E9}</b:Guid>
    <b:Author>
      <b:Author>
        <b:NameList>
          <b:Person>
            <b:Last>Bazilian</b:Last>
            <b:First>M.</b:First>
          </b:Person>
          <b:Person>
            <b:Last>Nussbaumer</b:Last>
            <b:First>P.</b:First>
          </b:Person>
          <b:Person>
            <b:Last>Cabraal</b:Last>
            <b:First>A.</b:First>
          </b:Person>
          <b:Person>
            <b:Last>Gielen</b:Last>
            <b:First>D.</b:First>
          </b:Person>
          <b:Person>
            <b:Last>Rogner</b:Last>
            <b:First>H.</b:First>
          </b:Person>
          <b:Person>
            <b:Last>Howells</b:Last>
            <b:First>M.</b:First>
          </b:Person>
          <b:Person>
            <b:Last>McMahon</b:Last>
            <b:First>H.</b:First>
          </b:Person>
          <b:Person>
            <b:Last>Centurelli</b:Last>
            <b:First>R.</b:First>
          </b:Person>
          <b:Person>
            <b:Last>Detchon</b:Last>
            <b:First>R.</b:First>
          </b:Person>
          <b:Person>
            <b:Last>Modi</b:Last>
            <b:First>V.</b:First>
          </b:Person>
          <b:Person>
            <b:Last>Nakicenovic</b:Last>
            <b:First>N.</b:First>
          </b:Person>
          <b:Person>
            <b:Last>O'Gallachoir</b:Last>
            <b:First>B.</b:First>
          </b:Person>
          <b:Person>
            <b:Last>Radka</b:Last>
            <b:First>M.</b:First>
          </b:Person>
          <b:Person>
            <b:Last>Rijal</b:Last>
            <b:First>K.</b:First>
          </b:Person>
          <b:Person>
            <b:Last>Takada</b:Last>
            <b:First>M.</b:First>
          </b:Person>
          <b:Person>
            <b:Last>Ziegler</b:Last>
            <b:First>F.</b:First>
          </b:Person>
        </b:NameList>
      </b:Author>
    </b:Author>
    <b:Title>Measuring energy access: Supporting a global target</b:Title>
    <b:Year>2010</b:Year>
    <b:JournalName>The Earth Institute, Columbia University</b:JournalName>
    <b:Pages>1-22</b:Pages>
    <b:RefOrder>183</b:RefOrder>
  </b:Source>
  <b:Source>
    <b:Tag>Kar101</b:Tag>
    <b:SourceType>Book</b:SourceType>
    <b:Guid>{AEFAF367-C7B3-40EE-9710-7E1FCE2012B6}</b:Guid>
    <b:Author>
      <b:Author>
        <b:NameList>
          <b:Person>
            <b:Last>Karekezi</b:Last>
            <b:First>S.</b:First>
          </b:Person>
          <b:Person>
            <b:Last>McDade</b:Last>
            <b:First>S.</b:First>
          </b:Person>
          <b:Person>
            <b:Last>Boardman</b:Last>
            <b:First>B.</b:First>
          </b:Person>
          <b:Person>
            <b:Last>Kimani</b:Last>
            <b:First>J.</b:First>
          </b:Person>
        </b:NameList>
      </b:Author>
      <b:Editor>
        <b:NameList>
          <b:Person>
            <b:Last>Lustig</b:Last>
            <b:First>N.</b:First>
          </b:Person>
        </b:NameList>
      </b:Editor>
    </b:Author>
    <b:Title>Energy, Poverty, and Development</b:Title>
    <b:Year>2010</b:Year>
    <b:Pages>151-190</b:Pages>
    <b:City>Laxenburg</b:City>
    <b:Publisher>International Institute for Applied Systems Analysis</b:Publisher>
    <b:CountryRegion>Austria</b:CountryRegion>
    <b:RefOrder>184</b:RefOrder>
  </b:Source>
  <b:Source>
    <b:Tag>Pre00</b:Tag>
    <b:SourceType>Book</b:SourceType>
    <b:Guid>{51F5CBCA-9D98-4F93-B29D-C3CE10FFF8FC}</b:Guid>
    <b:Author>
      <b:Author>
        <b:Corporate>Oxford University Press</b:Corporate>
      </b:Author>
      <b:Editor>
        <b:NameList>
          <b:Person>
            <b:Last>Hanks</b:Last>
            <b:First>P.</b:First>
          </b:Person>
          <b:Person>
            <b:Last>M.</b:Last>
            <b:First>Waite</b:First>
          </b:Person>
          <b:Person>
            <b:Last>Hawker</b:Last>
            <b:First>S.</b:First>
          </b:Person>
          <b:Person>
            <b:Last>Bailey</b:Last>
            <b:First>C.</b:First>
          </b:Person>
          <b:Person>
            <b:Last>Coleman</b:Last>
            <b:First>M.</b:First>
          </b:Person>
          <b:Person>
            <b:Last>Cowley</b:Last>
            <b:First>C.</b:First>
          </b:Person>
          <b:Person>
            <b:Last>Coventry</b:Last>
            <b:First>L.</b:First>
          </b:Person>
          <b:Person>
            <b:Last>Edmond</b:Last>
            <b:First>D.</b:First>
          </b:Person>
          <b:Person>
            <b:Last>Summersgift</b:Last>
            <b:First>M.</b:First>
          </b:Person>
          <b:Person>
            <b:Last>Fairhust</b:Last>
            <b:First>V.</b:First>
          </b:Person>
        </b:NameList>
      </b:Editor>
    </b:Author>
    <b:Title>The New Oxford Thesaurus of English</b:Title>
    <b:Year>2000</b:Year>
    <b:City>New York</b:City>
    <b:Publisher>Oxford University Press, Inc.</b:Publisher>
    <b:RefOrder>185</b:RefOrder>
  </b:Source>
  <b:Source>
    <b:Tag>Gre14</b:Tag>
    <b:SourceType>DocumentFromInternetSite</b:SourceType>
    <b:Guid>{2DF59A97-3EC5-4FDA-9955-BCA7B5432F08}</b:Guid>
    <b:Author>
      <b:Author>
        <b:Corporate>GreenFacts</b:Corporate>
      </b:Author>
    </b:Author>
    <b:Title>http://www.millenniumassessment.org/documents/document.776.aspx.pdf</b:Title>
    <b:Year>2014</b:Year>
    <b:InternetSiteTitle>http://www.greenfacts.org/glossary/def/driver.htm</b:InternetSiteTitle>
    <b:YearAccessed>2014</b:YearAccessed>
    <b:MonthAccessed>October</b:MonthAccessed>
    <b:DayAccessed>06</b:DayAccessed>
    <b:URL>http://www.millenniumassessment.org/documents/document.776.aspx.pdf</b:URL>
    <b:RefOrder>186</b:RefOrder>
  </b:Source>
  <b:Source>
    <b:Tag>Gru88</b:Tag>
    <b:SourceType>BookSection</b:SourceType>
    <b:Guid>{7BC2357C-3D96-4CC6-AB7B-263128997963}</b:Guid>
    <b:Author>
      <b:Author>
        <b:NameList>
          <b:Person>
            <b:Last>Grubler</b:Last>
            <b:First>A.</b:First>
          </b:Person>
          <b:Person>
            <b:Last>Nakicenovic</b:Last>
            <b:First>N.</b:First>
          </b:Person>
        </b:NameList>
      </b:Author>
      <b:BookAuthor>
        <b:NameList>
          <b:Person>
            <b:Last>Lee</b:Last>
            <b:First>T.</b:First>
          </b:Person>
          <b:Person>
            <b:Last>Linden</b:Last>
            <b:First>H.</b:First>
          </b:Person>
          <b:Person>
            <b:Last>Dryefus</b:Last>
            <b:First>D.</b:First>
          </b:Person>
          <b:Person>
            <b:Last>Vasko</b:Last>
            <b:First>T.</b:First>
            <b:Middle>eds.</b:Middle>
          </b:Person>
        </b:NameList>
      </b:BookAuthor>
    </b:Author>
    <b:Title>The dynamic evolution of methane technologies</b:Title>
    <b:Year>1988</b:Year>
    <b:BookTitle>The methane age</b:BookTitle>
    <b:Pages>13-44</b:Pages>
    <b:City>Dordrecht</b:City>
    <b:Publisher>Kluwer Academic Publishers</b:Publisher>
    <b:RefOrder>187</b:RefOrder>
  </b:Source>
  <b:Source>
    <b:Tag>Shu97</b:Tag>
    <b:SourceType>ConferenceProceedings</b:SourceType>
    <b:Guid>{9621558C-8A4C-48BB-B1EC-3A01839DBBAA}</b:Guid>
    <b:Author>
      <b:Author>
        <b:NameList>
          <b:Person>
            <b:Last>Shukla</b:Last>
            <b:First>P.</b:First>
          </b:Person>
        </b:NameList>
      </b:Author>
    </b:Author>
    <b:Title>Biomass energy future for Inida</b:Title>
    <b:Year>1997</b:Year>
    <b:Pages>1-40</b:Pages>
    <b:City>Rio De Janeiro, Brazil</b:City>
    <b:Publisher>e2analytics</b:Publisher>
    <b:ConferenceName>Science and technology for a modern biomass civilization</b:ConferenceName>
    <b:RefOrder>188</b:RefOrder>
  </b:Source>
  <b:Source>
    <b:Tag>McK02</b:Tag>
    <b:SourceType>JournalArticle</b:SourceType>
    <b:Guid>{6EB788A4-D59F-4350-BB74-151FF01909C9}</b:Guid>
    <b:Author>
      <b:Author>
        <b:NameList>
          <b:Person>
            <b:Last>McKendry</b:Last>
            <b:First>P.</b:First>
          </b:Person>
        </b:NameList>
      </b:Author>
    </b:Author>
    <b:Title>Energy production from biomass (part 1): overview of biomass</b:Title>
    <b:Pages>37-43</b:Pages>
    <b:Year>2002</b:Year>
    <b:JournalName>Bioresource Technology</b:JournalName>
    <b:Volume>83</b:Volume>
    <b:RefOrder>189</b:RefOrder>
  </b:Source>
  <b:Source>
    <b:Tag>Gra102</b:Tag>
    <b:SourceType>DocumentFromInternetSite</b:SourceType>
    <b:Guid>{832C4DFE-AE75-41C4-BCAF-CE8345A09BD6}</b:Guid>
    <b:Author>
      <b:Author>
        <b:NameList>
          <b:Person>
            <b:Last>Grant</b:Last>
            <b:First>N.</b:First>
          </b:Person>
          <b:Person>
            <b:Last>Clarke</b:Last>
            <b:First>A.</b:First>
          </b:Person>
        </b:NameList>
      </b:Author>
    </b:Author>
    <b:Title>http://www.gardenofwales.org.uk/wp-content/uploads/2011/03/Biomass-A-Burning-Issue.pdf</b:Title>
    <b:Year>2010</b:Year>
    <b:InternetSiteTitle>http://www.gardenofwales.org.uk</b:InternetSiteTitle>
    <b:YearAccessed>2014</b:YearAccessed>
    <b:MonthAccessed>October</b:MonthAccessed>
    <b:DayAccessed>09</b:DayAccessed>
    <b:URL>http://www.gardenofwales.org.uk/wp-content/uploads/2011/03/Biomass-A-Burning-Issue.pdf</b:URL>
    <b:RefOrder>190</b:RefOrder>
  </b:Source>
  <b:Source>
    <b:Tag>Sin10</b:Tag>
    <b:SourceType>JournalArticle</b:SourceType>
    <b:Guid>{CA3850FA-69AB-4038-B50A-94CA17B3B6EE}</b:Guid>
    <b:Author>
      <b:Author>
        <b:NameList>
          <b:Person>
            <b:Last>Singh</b:Last>
            <b:First>J.</b:First>
          </b:Person>
          <b:Person>
            <b:Last>Gu</b:Last>
            <b:First>S.</b:First>
          </b:Person>
        </b:NameList>
      </b:Author>
    </b:Author>
    <b:Title>Biomass conversion to energy in India - A critique</b:Title>
    <b:Year>2010</b:Year>
    <b:JournalName>Renewable and Sustainable Energy Reviews</b:JournalName>
    <b:Pages>1367-1378</b:Pages>
    <b:Volume>14</b:Volume>
    <b:RefOrder>191</b:RefOrder>
  </b:Source>
  <b:Source>
    <b:Tag>Sea08</b:Tag>
    <b:SourceType>JournalArticle</b:SourceType>
    <b:Guid>{64126D02-A4EE-4194-A504-F09296E21E3B}</b:Guid>
    <b:Author>
      <b:Author>
        <b:NameList>
          <b:Person>
            <b:Last>Searchinger</b:Last>
            <b:First>T.</b:First>
          </b:Person>
          <b:Person>
            <b:Last>Heimlich</b:Last>
            <b:First>R.</b:First>
          </b:Person>
          <b:Person>
            <b:Last>Houghton</b:Last>
            <b:First>R.</b:First>
          </b:Person>
          <b:Person>
            <b:Last>Dong</b:Last>
            <b:First>F.</b:First>
          </b:Person>
          <b:Person>
            <b:Last>Elobeid</b:Last>
            <b:First>A.</b:First>
          </b:Person>
          <b:Person>
            <b:Last>Fabiosa</b:Last>
            <b:First>J.</b:First>
          </b:Person>
          <b:Person>
            <b:Last>Tokgoz</b:Last>
            <b:First>S.</b:First>
          </b:Person>
          <b:Person>
            <b:Last>Hayes</b:Last>
            <b:First>D.</b:First>
          </b:Person>
          <b:Person>
            <b:Last>Yu</b:Last>
            <b:First>T.</b:First>
          </b:Person>
        </b:NameList>
      </b:Author>
    </b:Author>
    <b:Title>Use of US croplands for biofuels increases greenhouse gases through emissions from land use change</b:Title>
    <b:JournalName>Science</b:JournalName>
    <b:Year>2008</b:Year>
    <b:Pages>1238-1240</b:Pages>
    <b:Volume>319</b:Volume>
    <b:Issue>5867</b:Issue>
    <b:RefOrder>192</b:RefOrder>
  </b:Source>
  <b:Source>
    <b:Tag>Sea09</b:Tag>
    <b:SourceType>JournalArticle</b:SourceType>
    <b:Guid>{4C031257-37F7-43BB-A6C1-037E40EB6BF5}</b:Guid>
    <b:Author>
      <b:Author>
        <b:NameList>
          <b:Person>
            <b:Last>Searchinger</b:Last>
            <b:First>T.</b:First>
          </b:Person>
          <b:Person>
            <b:Last>Hambunrg</b:Last>
            <b:First>S.</b:First>
          </b:Person>
          <b:Person>
            <b:Last>Melillo</b:Last>
            <b:First>J.</b:First>
          </b:Person>
          <b:Person>
            <b:Last>Chameides</b:Last>
            <b:First>W.</b:First>
          </b:Person>
          <b:Person>
            <b:Last>Havlick</b:Last>
            <b:First>P.</b:First>
          </b:Person>
          <b:Person>
            <b:Last>Kammen</b:Last>
            <b:First>D.</b:First>
          </b:Person>
          <b:Person>
            <b:Last>Likens</b:Last>
            <b:First>G.</b:First>
          </b:Person>
          <b:Person>
            <b:Last>Lubowski</b:Last>
            <b:First>R.</b:First>
          </b:Person>
          <b:Person>
            <b:Last>Obersteiner</b:Last>
            <b:First>M.</b:First>
          </b:Person>
          <b:Person>
            <b:Last>Oppenheimer</b:Last>
            <b:First>M.</b:First>
          </b:Person>
          <b:Person>
            <b:Last>Robertson</b:Last>
            <b:First>G.</b:First>
          </b:Person>
          <b:Person>
            <b:Last>Schlesinger</b:Last>
            <b:First>W.</b:First>
          </b:Person>
          <b:Person>
            <b:Last>Tilman</b:Last>
            <b:First>G.</b:First>
          </b:Person>
        </b:NameList>
      </b:Author>
    </b:Author>
    <b:Title>Fixing a critical climate accounting error</b:Title>
    <b:JournalName>Science</b:JournalName>
    <b:Year>2009</b:Year>
    <b:Pages>527-528</b:Pages>
    <b:Volume>326</b:Volume>
    <b:Issue>5952</b:Issue>
    <b:RefOrder>193</b:RefOrder>
  </b:Source>
  <b:Source>
    <b:Tag>Far08</b:Tag>
    <b:SourceType>JournalArticle</b:SourceType>
    <b:Guid>{BF8E153C-8DE0-4977-994C-8AC566C1AB5C}</b:Guid>
    <b:Author>
      <b:Author>
        <b:NameList>
          <b:Person>
            <b:Last>Fargione</b:Last>
            <b:First>J.</b:First>
          </b:Person>
          <b:Person>
            <b:Last>Hill</b:Last>
            <b:First>J.</b:First>
          </b:Person>
          <b:Person>
            <b:Last>Tilman</b:Last>
            <b:First>D.</b:First>
          </b:Person>
          <b:Person>
            <b:Last>Polasky</b:Last>
            <b:First>S.</b:First>
          </b:Person>
          <b:Person>
            <b:Last>Hawthorne</b:Last>
            <b:First>P.</b:First>
          </b:Person>
        </b:NameList>
      </b:Author>
    </b:Author>
    <b:Title>Land clearing and the biofuel carbon debt</b:Title>
    <b:JournalName>Science</b:JournalName>
    <b:Year>2008</b:Year>
    <b:Pages>1235-1238</b:Pages>
    <b:Volume>319</b:Volume>
    <b:Issue>5867</b:Issue>
    <b:RefOrder>194</b:RefOrder>
  </b:Source>
  <b:Source>
    <b:Tag>Smi93</b:Tag>
    <b:SourceType>JournalArticle</b:SourceType>
    <b:Guid>{3566EFBC-0E1D-4DF3-93A1-BF9C4360C559}</b:Guid>
    <b:Author>
      <b:Author>
        <b:NameList>
          <b:Person>
            <b:Last>Smith</b:Last>
            <b:First>K.</b:First>
          </b:Person>
        </b:NameList>
      </b:Author>
    </b:Author>
    <b:Title>Household fuels and health</b:Title>
    <b:JournalName>Urja Bharati</b:JournalName>
    <b:Year>1993</b:Year>
    <b:Volume>3</b:Volume>
    <b:Issue>3</b:Issue>
    <b:RefOrder>195</b:RefOrder>
  </b:Source>
  <b:Source>
    <b:Tag>Smi97</b:Tag>
    <b:SourceType>Book</b:SourceType>
    <b:Guid>{7C59A6F9-903C-4530-81EA-EA0C156CB7B3}</b:Guid>
    <b:Author>
      <b:Author>
        <b:NameList>
          <b:Person>
            <b:Last>Smith</b:Last>
            <b:First>K.</b:First>
          </b:Person>
        </b:NameList>
      </b:Author>
    </b:Author>
    <b:Title>Biofuels, air polution and health: a global review</b:Title>
    <b:Year>1997</b:Year>
    <b:City>New Delhi</b:City>
    <b:Publisher>Plenum Publishing Corporation</b:Publisher>
    <b:RefOrder>196</b:RefOrder>
  </b:Source>
  <b:Source>
    <b:Tag>Pat97</b:Tag>
    <b:SourceType>BookSection</b:SourceType>
    <b:Guid>{E8BEBFB8-647A-4D77-AB35-8C85C44FEA5C}</b:Guid>
    <b:Author>
      <b:Author>
        <b:NameList>
          <b:Person>
            <b:Last>Patel</b:Last>
            <b:First>T.</b:First>
          </b:Person>
          <b:Person>
            <b:Last>Raiyani</b:Last>
            <b:First>C.</b:First>
          </b:Person>
        </b:NameList>
      </b:Author>
      <b:BookAuthor>
        <b:NameList>
          <b:Person>
            <b:Last>Eds. Shukla</b:Last>
            <b:First>P.R.</b:First>
          </b:Person>
        </b:NameList>
      </b:BookAuthor>
    </b:Author>
    <b:Title>Indoor air quality: problems and perspectives</b:Title>
    <b:Year>1997</b:Year>
    <b:City>New Delhi</b:City>
    <b:Publisher>Allied Publishers</b:Publisher>
    <b:BookTitle>Energy strategy and greenhouse gas mitigation</b:BookTitle>
    <b:RefOrder>197</b:RefOrder>
  </b:Source>
  <b:Source>
    <b:Tag>UNE12</b:Tag>
    <b:SourceType>JournalArticle</b:SourceType>
    <b:Guid>{9F2C4184-A3F5-4972-A9B8-51347A55F9E5}</b:Guid>
    <b:Author>
      <b:Author>
        <b:Corporate>UNEP</b:Corporate>
      </b:Author>
    </b:Author>
    <b:Title>Waste agricultural biomass to energy work plan 2012-2013</b:Title>
    <b:Year>2012</b:Year>
    <b:Pages>1-15</b:Pages>
    <b:Publisher>UNEP Division of Technology, Industry and Economics (DTIE)</b:Publisher>
    <b:JournalName>International Environmental Technology Centre (IETC)</b:JournalName>
    <b:RefOrder>198</b:RefOrder>
  </b:Source>
  <b:Source>
    <b:Tag>NER09</b:Tag>
    <b:SourceType>JournalArticle</b:SourceType>
    <b:Guid>{00250F5C-374D-4672-A13E-5FF44193D3BA}</b:Guid>
    <b:Author>
      <b:Author>
        <b:NameList>
          <b:Person>
            <b:Last>NERSA</b:Last>
          </b:Person>
        </b:NameList>
      </b:Author>
    </b:Author>
    <b:Title>NERSA consultation paper: Renewable energy feed-in tariff phase 2</b:Title>
    <b:JournalName>National Energy Regulator of South Africa (NERSA)</b:JournalName>
    <b:Year>2009</b:Year>
    <b:Pages>1-99</b:Pages>
    <b:RefOrder>199</b:RefOrder>
  </b:Source>
  <b:Source>
    <b:Tag>ILO03</b:Tag>
    <b:SourceType>Book</b:SourceType>
    <b:Guid>{6A462A39-5AA7-4F1A-8703-D8F6247B6CCD}</b:Guid>
    <b:Author>
      <b:Author>
        <b:NameList>
          <b:Person>
            <b:Last>ILO</b:Last>
          </b:Person>
        </b:NameList>
      </b:Author>
    </b:Author>
    <b:Title>Challenges and opportunities facing public utilities</b:Title>
    <b:Year>2003</b:Year>
    <b:City>Geneva</b:City>
    <b:Publisher>International Labour Office</b:Publisher>
    <b:RefOrder>200</b:RefOrder>
  </b:Source>
  <b:Source>
    <b:Tag>ISO13</b:Tag>
    <b:SourceType>InternetSite</b:SourceType>
    <b:Guid>{E8217917-EE2D-47CF-8D0B-94AD69A49F92}</b:Guid>
    <b:Author>
      <b:Author>
        <b:Corporate>ISO</b:Corporate>
      </b:Author>
    </b:Author>
    <b:Title>https://www.iso.org/obp/ui/#iso:std:iso:ts:14067:ed-1:v1:en</b:Title>
    <b:InternetSiteTitle>https://www.iso.org</b:InternetSiteTitle>
    <b:Year>2013</b:Year>
    <b:YearAccessed>2014</b:YearAccessed>
    <b:MonthAccessed>October</b:MonthAccessed>
    <b:DayAccessed>10</b:DayAccessed>
    <b:URL>https://www.iso.org/obp/ui/#iso:std:iso:ts:14067:ed-1:v1:en</b:URL>
    <b:RefOrder>201</b:RefOrder>
  </b:Source>
  <b:Source>
    <b:Tag>Ste13</b:Tag>
    <b:SourceType>JournalArticle</b:SourceType>
    <b:Guid>{0E0B1070-0A12-4E4E-BBBD-7763DA78E66C}</b:Guid>
    <b:Author>
      <b:Author>
        <b:NameList>
          <b:Person>
            <b:Last>Stecher</b:Last>
            <b:First>K.</b:First>
          </b:Person>
          <b:Person>
            <b:Last>Brosowski</b:Last>
            <b:First>A.</b:First>
          </b:Person>
          <b:Person>
            <b:Last>Thrau</b:Last>
            <b:First>D.</b:First>
          </b:Person>
        </b:NameList>
      </b:Author>
    </b:Author>
    <b:Title>Biomass potential in Africa</b:Title>
    <b:Year>2013</b:Year>
    <b:JournalName>International Renewable Energy Agency (IRENA)</b:JournalName>
    <b:Pages>1-43</b:Pages>
    <b:RefOrder>202</b:RefOrder>
  </b:Source>
  <b:Source>
    <b:Tag>Cha08</b:Tag>
    <b:SourceType>BookSection</b:SourceType>
    <b:Guid>{A81A899A-B31C-4C32-A646-F2182B492C60}</b:Guid>
    <b:Author>
      <b:Author>
        <b:NameList>
          <b:Person>
            <b:Last>Champagne</b:Last>
            <b:First>P.</b:First>
          </b:Person>
        </b:NameList>
      </b:Author>
    </b:Author>
    <b:Title>Biomass</b:Title>
    <b:Year>2008</b:Year>
    <b:Pages>151-152</b:Pages>
    <b:BookTitle>Future energy: Improved, sustainable and clean options for our planet</b:BookTitle>
    <b:RefOrder>203</b:RefOrder>
  </b:Source>
  <b:Source>
    <b:Tag>Sac13</b:Tag>
    <b:SourceType>JournalArticle</b:SourceType>
    <b:Guid>{36DCDCC7-14E9-49BF-B12B-4F200A28C8E1}</b:Guid>
    <b:Author>
      <b:Author>
        <b:NameList>
          <b:Person>
            <b:Last>Sacchellis</b:Last>
            <b:First>A.</b:First>
          </b:Person>
          <b:Person>
            <b:Last>Fagarazzi</b:Last>
            <b:First>C.</b:First>
          </b:Person>
          <b:Person>
            <b:Last>Bernetti</b:Last>
            <b:First>L.</b:First>
          </b:Person>
        </b:NameList>
      </b:Author>
    </b:Author>
    <b:Title>Economic evaluation of forest biomass production in central Itally: A Scenario assessment based on spatial analysis tool</b:Title>
    <b:Year>2013</b:Year>
    <b:Pages>1-10</b:Pages>
    <b:JournalName>Biomass and Bioenergy</b:JournalName>
    <b:RefOrder>204</b:RefOrder>
  </b:Source>
  <b:Source>
    <b:Tag>Fed03</b:Tag>
    <b:SourceType>Report</b:SourceType>
    <b:Guid>{495DBFC7-71A8-49DB-ADDC-1923C0DA19B3}</b:Guid>
    <b:Author>
      <b:Author>
        <b:Corporate>Federal Republic of Nigeria</b:Corporate>
      </b:Author>
    </b:Author>
    <b:Title>National Energy Policy</b:Title>
    <b:Year>2003</b:Year>
    <b:Publisher>Energy Commission of Nigeria</b:Publisher>
    <b:City>Lagos</b:City>
    <b:RefOrder>205</b:RefOrder>
  </b:Source>
  <b:Source>
    <b:Tag>Eur14</b:Tag>
    <b:SourceType>InternetSite</b:SourceType>
    <b:Guid>{0F15172E-D1E1-4FE9-9C3A-A6B69E46E215}</b:Guid>
    <b:Author>
      <b:Author>
        <b:Corporate>EC</b:Corporate>
      </b:Author>
    </b:Author>
    <b:Title>http://biobs.jrc.ec.europa.eu/glossary/B</b:Title>
    <b:Year>2014</b:Year>
    <b:InternetSiteTitle>http://biobs.jrc.ec.europa.eu</b:InternetSiteTitle>
    <b:Month>October</b:Month>
    <b:Day>09</b:Day>
    <b:YearAccessed>10</b:YearAccessed>
    <b:MonthAccessed>October</b:MonthAccessed>
    <b:DayAccessed>2014</b:DayAccessed>
    <b:URL>http://biobs.jrc.ec.europa.eu/glossary/B</b:URL>
    <b:RefOrder>206</b:RefOrder>
  </b:Source>
  <b:Source xmlns:b="http://schemas.openxmlformats.org/officeDocument/2006/bibliography">
    <b:Tag>Rep141</b:Tag>
    <b:SourceType>Report</b:SourceType>
    <b:Guid>{DC5D165D-8E99-43B0-AF8D-19AD8DB72C37}</b:Guid>
    <b:Author>
      <b:Author>
        <b:Corporate>Republic of Kenya</b:Corporate>
      </b:Author>
    </b:Author>
    <b:Title>Energy bill 2013</b:Title>
    <b:Year>2014</b:Year>
    <b:Publisher>Government Printers</b:Publisher>
    <b:City>Nairobi</b:City>
    <b:RefOrder>207</b:RefOrder>
  </b:Source>
  <b:Source>
    <b:Tag>NRE14</b:Tag>
    <b:SourceType>InternetSite</b:SourceType>
    <b:Guid>{A1C040B3-BA17-4A1E-87E9-C6F068EE7CAF}</b:Guid>
    <b:Author>
      <b:Author>
        <b:Corporate>NREL</b:Corporate>
      </b:Author>
    </b:Author>
    <b:Title>http:www.nrel.gov/biomass/glossary.html#B</b:Title>
    <b:Year>2014</b:Year>
    <b:InternetSiteTitle>http:www.nrel.gov</b:InternetSiteTitle>
    <b:Month>March</b:Month>
    <b:Day>21</b:Day>
    <b:YearAccessed>2014</b:YearAccessed>
    <b:MonthAccessed>October</b:MonthAccessed>
    <b:DayAccessed>13</b:DayAccessed>
    <b:URL>http:www.nrel.gov/biomass/glossary.html#B</b:URL>
    <b:RefOrder>208</b:RefOrder>
  </b:Source>
  <b:Source>
    <b:Tag>Sho12</b:Tag>
    <b:SourceType>BookSection</b:SourceType>
    <b:Guid>{07BC7DF3-4151-4C65-9760-05BCABB0A2FB}</b:Guid>
    <b:Author>
      <b:Author>
        <b:NameList>
          <b:Person>
            <b:Last>Shortall</b:Last>
            <b:First>O.</b:First>
          </b:Person>
          <b:Person>
            <b:Last>Millar</b:Last>
            <b:First>K.</b:First>
          </b:Person>
        </b:NameList>
      </b:Author>
      <b:BookAuthor>
        <b:NameList>
          <b:Person>
            <b:Last>Eds. Potthast</b:Last>
            <b:First>T.</b:First>
          </b:Person>
          <b:Person>
            <b:Last>Meisch</b:Last>
            <b:First>S.</b:First>
          </b:Person>
        </b:NameList>
      </b:BookAuthor>
    </b:Author>
    <b:Title>The ethics of using agricultural land to produce biomass: using energy like it grows on trees</b:Title>
    <b:Year>2012</b:Year>
    <b:BookTitle>Climate change and sustainability development</b:BookTitle>
    <b:Pages>1-223</b:Pages>
    <b:City>Wageningen, the Netherlands</b:City>
    <b:Publisher>Wageningen Academic Publishers</b:Publisher>
    <b:RefOrder>209</b:RefOrder>
  </b:Source>
  <b:Source>
    <b:Tag>All141</b:Tag>
    <b:SourceType>ArticleInAPeriodical</b:SourceType>
    <b:Guid>{C03B342C-75FD-4AD0-B375-EFBD45623F4B}</b:Guid>
    <b:Author>
      <b:Author>
        <b:NameList>
          <b:Person>
            <b:Last>Alli</b:Last>
            <b:First>K.</b:First>
          </b:Person>
        </b:NameList>
      </b:Author>
    </b:Author>
    <b:Title>Advocates and critics examine field of biomass energy</b:Title>
    <b:Year>2014</b:Year>
    <b:Pages>www.telegram.com/article/20140420/NEWS/304209958/0</b:Pages>
    <b:PeriodicalTitle>News Telegram</b:PeriodicalTitle>
    <b:Month>April</b:Month>
    <b:Day>20</b:Day>
    <b:RefOrder>210</b:RefOrder>
  </b:Source>
  <b:Source>
    <b:Tag>UKD14</b:Tag>
    <b:SourceType>DocumentFromInternetSite</b:SourceType>
    <b:Guid>{7F6EC04D-8B20-46AA-B052-17C26090C17C}</b:Guid>
    <b:Author>
      <b:Author>
        <b:Corporate>UK Department of Energy and Climate Change</b:Corporate>
      </b:Author>
    </b:Author>
    <b:Title>http:www.gov.uk/government/publications/life-cycle-impacts-of-biomass-electricity-in-2020</b:Title>
    <b:Year>2014</b:Year>
    <b:Month>July</b:Month>
    <b:Day>24</b:Day>
    <b:InternetSiteTitle>http:www.gov.uk</b:InternetSiteTitle>
    <b:YearAccessed>2014</b:YearAccessed>
    <b:MonthAccessed>October</b:MonthAccessed>
    <b:DayAccessed>13</b:DayAccessed>
    <b:URL>http:www.gov.uk/government/publications/life-cycle-impacts-of-biomass-electricity-in-2020</b:URL>
    <b:RefOrder>211</b:RefOrder>
  </b:Source>
  <b:Source>
    <b:Tag>Mit97</b:Tag>
    <b:SourceType>Book</b:SourceType>
    <b:Guid>{7E642221-40FA-4BC1-9D04-BDA83224A849}</b:Guid>
    <b:Author>
      <b:Author>
        <b:NameList>
          <b:Person>
            <b:Last>Mital</b:Last>
            <b:First>K.</b:First>
          </b:Person>
        </b:NameList>
      </b:Author>
    </b:Author>
    <b:Title>Biogas systems: policies, progress and prospects</b:Title>
    <b:Year>1997</b:Year>
    <b:City>New Delhi, India</b:City>
    <b:Publisher>New Age International (P) Limited</b:Publisher>
    <b:Pages>1-78</b:Pages>
    <b:RefOrder>212</b:RefOrder>
  </b:Source>
  <b:Source>
    <b:Tag>LoK85</b:Tag>
    <b:SourceType>JournalArticle</b:SourceType>
    <b:Guid>{1144B8B3-3D9C-49F0-A071-46C81C683E9E}</b:Guid>
    <b:Author>
      <b:Author>
        <b:NameList>
          <b:Person>
            <b:Last>Lo</b:Last>
            <b:First>K.V.</b:First>
          </b:Person>
          <b:Person>
            <b:Last>Liao</b:Last>
            <b:First>P.H.</b:First>
          </b:Person>
          <b:Person>
            <b:Last>March</b:Last>
            <b:First>A.C.</b:First>
          </b:Person>
        </b:NameList>
      </b:Author>
    </b:Author>
    <b:Title>Thermophilic anaerobic digestion of screened dairy manure</b:Title>
    <b:Year>1985</b:Year>
    <b:Pages>301-315</b:Pages>
    <b:JournalName>Biomass</b:JournalName>
    <b:Volume>6</b:Volume>
    <b:RefOrder>213</b:RefOrder>
  </b:Source>
  <b:Source>
    <b:Tag>Par83</b:Tag>
    <b:SourceType>ConferenceProceedings</b:SourceType>
    <b:Guid>{58D34778-FA3F-4BAF-BC38-8C27B56EA762}</b:Guid>
    <b:Author>
      <b:Author>
        <b:NameList>
          <b:Person>
            <b:Last>Parkin</b:Last>
            <b:First>G.F.</b:First>
          </b:Person>
          <b:Person>
            <b:Last>Miller</b:Last>
            <b:First>S.W.</b:First>
          </b:Person>
        </b:NameList>
      </b:Author>
    </b:Author>
    <b:Title>Response of methane fermentation to continuous addition of selected industrial toxicants</b:Title>
    <b:Year>1983</b:Year>
    <b:ConferenceName>Proceedings of the 37th Purdue Industrial Waste Conference</b:ConferenceName>
    <b:City>West Lafayette, Ind.</b:City>
    <b:RefOrder>214</b:RefOrder>
  </b:Source>
  <b:Source>
    <b:Tag>Gho74</b:Tag>
    <b:SourceType>JournalArticle</b:SourceType>
    <b:Guid>{AC9071A7-6D86-4718-8E91-BF11460DD294}</b:Guid>
    <b:Author>
      <b:Author>
        <b:NameList>
          <b:Person>
            <b:Last>Ghosh</b:Last>
            <b:First>S.</b:First>
          </b:Person>
          <b:Person>
            <b:Last>Pohland</b:Last>
            <b:First>F.G.</b:First>
          </b:Person>
        </b:NameList>
      </b:Author>
    </b:Author>
    <b:Title>Kinetics of substrate assimilation and product formation in anaerobic digestion</b:Title>
    <b:Pages>748-759</b:Pages>
    <b:Year>1974</b:Year>
    <b:JournalName>Journal of Water pollution Control Federation</b:JournalName>
    <b:Volume>46</b:Volume>
    <b:RefOrder>215</b:RefOrder>
  </b:Source>
  <b:Source>
    <b:Tag>van97</b:Tag>
    <b:SourceType>JournalArticle</b:SourceType>
    <b:Guid>{8FE187BF-453F-452E-B928-489753A19736}</b:Guid>
    <b:Author>
      <b:Author>
        <b:NameList>
          <b:Person>
            <b:Last>van Staikenburg</b:Last>
            <b:First>W.</b:First>
          </b:Person>
        </b:NameList>
      </b:Author>
    </b:Author>
    <b:Title>Anaerobic treatment of wastewater: state of the art</b:Title>
    <b:JournalName>Microbiology</b:JournalName>
    <b:Year>1997</b:Year>
    <b:Pages>589-596</b:Pages>
    <b:Volume>66</b:Volume>
    <b:RefOrder>216</b:RefOrder>
  </b:Source>
  <b:Source>
    <b:Tag>Gup94</b:Tag>
    <b:SourceType>JournalArticle</b:SourceType>
    <b:Guid>{AACE5845-AE6E-4DE1-8E30-3DE3029BA92C}</b:Guid>
    <b:Author>
      <b:Author>
        <b:NameList>
          <b:Person>
            <b:Last>Gupta</b:Last>
            <b:First>A.</b:First>
          </b:Person>
          <b:Person>
            <b:Last>Flora</b:Last>
            <b:First>J.R.V.</b:First>
          </b:Person>
          <b:Person>
            <b:Last>Gupta</b:Last>
            <b:First>M.</b:First>
          </b:Person>
          <b:Person>
            <b:Last>Sayles</b:Last>
            <b:First>G.D.</b:First>
          </b:Person>
          <b:Person>
            <b:Last>Suidan</b:Last>
            <b:First>M.T.</b:First>
          </b:Person>
        </b:NameList>
      </b:Author>
    </b:Author>
    <b:Title>Methanogenesis and sulphate reduction in chemostats - 1: kinetic studies and experiments</b:Title>
    <b:JournalName>Water Research</b:JournalName>
    <b:Year>1994</b:Year>
    <b:Pages>781-793</b:Pages>
    <b:Volume>28</b:Volume>
    <b:RefOrder>217</b:RefOrder>
  </b:Source>
  <b:Source>
    <b:Tag>Dem02</b:Tag>
    <b:SourceType>JournalArticle</b:SourceType>
    <b:Guid>{9F312A17-7ADC-4CE2-A621-16800402A9E4}</b:Guid>
    <b:Author>
      <b:Author>
        <b:NameList>
          <b:Person>
            <b:Last>Demirel</b:Last>
            <b:First>B.</b:First>
          </b:Person>
          <b:Person>
            <b:Last>Yenigun</b:Last>
            <b:First>O.</b:First>
          </b:Person>
        </b:NameList>
      </b:Author>
    </b:Author>
    <b:Title>Two-phase anaerobic digestion process: a review</b:Title>
    <b:JournalName>Journal of Chemical Technology and Biotechnology</b:JournalName>
    <b:Year>2002</b:Year>
    <b:Pages>743-755</b:Pages>
    <b:Volume>77</b:Volume>
    <b:RefOrder>218</b:RefOrder>
  </b:Source>
  <b:Source>
    <b:Tag>Poh71</b:Tag>
    <b:SourceType>JournalArticle</b:SourceType>
    <b:Guid>{E5BA1F9B-8B7A-4261-BC07-4D937AE92AB9}</b:Guid>
    <b:Author>
      <b:Author>
        <b:NameList>
          <b:Person>
            <b:Last>Pohland</b:Last>
            <b:First>F.G.</b:First>
          </b:Person>
          <b:Person>
            <b:Last>Ghosh</b:Last>
            <b:First>S.</b:First>
          </b:Person>
        </b:NameList>
      </b:Author>
    </b:Author>
    <b:Title>Developments in anaerobic stabilization of organic wastes - the two-phase concept</b:Title>
    <b:JournalName>Environmental Letters</b:JournalName>
    <b:Year>1971</b:Year>
    <b:Pages>255-266</b:Pages>
    <b:Volume>1</b:Volume>
    <b:RefOrder>219</b:RefOrder>
  </b:Source>
  <b:Source>
    <b:Tag>Che08</b:Tag>
    <b:SourceType>JournalArticle</b:SourceType>
    <b:Guid>{B4EF2080-2A25-49C4-874D-5326E929449E}</b:Guid>
    <b:Author>
      <b:Author>
        <b:NameList>
          <b:Person>
            <b:Last>Chen</b:Last>
            <b:First>Y.</b:First>
          </b:Person>
          <b:Person>
            <b:Last>Cheng</b:Last>
            <b:First>J.J.</b:First>
          </b:Person>
          <b:Person>
            <b:Last>Creamer</b:Last>
            <b:First>K.S.</b:First>
          </b:Person>
        </b:NameList>
      </b:Author>
    </b:Author>
    <b:Title>Inhibition of anerobic digestion process: a review</b:Title>
    <b:JournalName>Bioresource Technology</b:JournalName>
    <b:Year>2008</b:Year>
    <b:Pages>4044-4064</b:Pages>
    <b:Volume>99</b:Volume>
    <b:RefOrder>220</b:RefOrder>
  </b:Source>
  <b:Source>
    <b:Tag>Kro79</b:Tag>
    <b:SourceType>JournalArticle</b:SourceType>
    <b:Guid>{2D4E596D-48CA-4F25-814E-21CD08D5CE6D}</b:Guid>
    <b:Author>
      <b:Author>
        <b:NameList>
          <b:Person>
            <b:Last>Kroeker</b:Last>
            <b:First>E.J.</b:First>
          </b:Person>
          <b:Person>
            <b:Last>Schulte</b:Last>
            <b:First>D.D.</b:First>
          </b:Person>
          <b:Person>
            <b:Last>Sparling</b:Last>
            <b:First>A.B.</b:First>
          </b:Person>
          <b:Person>
            <b:Last>Lapp</b:Last>
            <b:First>H.M.</b:First>
          </b:Person>
        </b:NameList>
      </b:Author>
    </b:Author>
    <b:Title>Anaerobic treatment process stability</b:Title>
    <b:JournalName>Journal of Water Pollution Control Federation</b:JournalName>
    <b:Year>1979</b:Year>
    <b:Pages>718-727</b:Pages>
    <b:Volume>51</b:Volume>
    <b:RefOrder>221</b:RefOrder>
  </b:Source>
  <b:Source>
    <b:Tag>Cho11</b:Tag>
    <b:SourceType>InternetSite</b:SourceType>
    <b:Guid>{30C7EDCF-2E64-4C82-A711-3BA8FA85CBBE}</b:Guid>
    <b:Author>
      <b:Author>
        <b:NameList>
          <b:Person>
            <b:Last>Cho</b:Last>
            <b:First>R.</b:First>
          </b:Person>
        </b:NameList>
      </b:Author>
    </b:Author>
    <b:Title>http://www.blogs.ei.columbia.edu/2011/08/18/is-biomass-really-renewable/</b:Title>
    <b:Year>2011</b:Year>
    <b:InternetSiteTitle>http://www.blogs.ei.columbia.edu</b:InternetSiteTitle>
    <b:Month>August</b:Month>
    <b:Day>18</b:Day>
    <b:YearAccessed>2014</b:YearAccessed>
    <b:MonthAccessed>October</b:MonthAccessed>
    <b:DayAccessed>14</b:DayAccessed>
    <b:URL>http://www.blogs.ei.columbia.edu/2011/08/18/is-biomass-really-renewable/</b:URL>
    <b:RefOrder>222</b:RefOrder>
  </b:Source>
  <b:Source>
    <b:Tag>PFP11</b:Tag>
    <b:SourceType>InternetSite</b:SourceType>
    <b:Guid>{153B63E0-1F49-410B-A67E-ADA76F8D7365}</b:Guid>
    <b:Author>
      <b:Author>
        <b:Corporate>PFPI</b:Corporate>
      </b:Author>
    </b:Author>
    <b:Title>http://www.pfpi.net/?page_id=155</b:Title>
    <b:InternetSiteTitle>http://www.pfpi.net</b:InternetSiteTitle>
    <b:Year>2011</b:Year>
    <b:Month>March</b:Month>
    <b:Day>17</b:Day>
    <b:YearAccessed>2014</b:YearAccessed>
    <b:MonthAccessed>October</b:MonthAccessed>
    <b:DayAccessed>14</b:DayAccessed>
    <b:URL>http://www.pfpi.net/?page_id=155</b:URL>
    <b:RefOrder>223</b:RefOrder>
  </b:Source>
  <b:Source>
    <b:Tag>Usl12</b:Tag>
    <b:SourceType>JournalArticle</b:SourceType>
    <b:Guid>{00576DFF-1E2E-484B-9F27-0A12C27A7F5D}</b:Guid>
    <b:Author>
      <b:Author>
        <b:NameList>
          <b:Person>
            <b:Last>Uslu</b:Last>
            <b:First>A.</b:First>
          </b:Person>
          <b:Person>
            <b:Last>van Stralen</b:Last>
            <b:First>J.</b:First>
          </b:Person>
        </b:NameList>
      </b:Author>
    </b:Author>
    <b:Title>Biomass futures scenario set-up and the methodology for analysis</b:Title>
    <b:Year>2012</b:Year>
    <b:JournalName>Biomass Futures</b:JournalName>
    <b:Pages>1-19</b:Pages>
    <b:RefOrder>224</b:RefOrder>
  </b:Source>
  <b:Source>
    <b:Tag>IEA02</b:Tag>
    <b:SourceType>Report</b:SourceType>
    <b:Guid>{7E71ED2C-99DB-4C64-AEB3-7521278BF71F}</b:Guid>
    <b:Author>
      <b:Author>
        <b:Corporate>IEA</b:Corporate>
      </b:Author>
    </b:Author>
    <b:Title>World energy outlook, 2002</b:Title>
    <b:Year>2002</b:Year>
    <b:Publisher>IEA</b:Publisher>
    <b:City>Paris</b:City>
    <b:RefOrder>225</b:RefOrder>
  </b:Source>
  <b:Source>
    <b:Tag>IEA98</b:Tag>
    <b:SourceType>Report</b:SourceType>
    <b:Guid>{DB7D31BB-F27B-4DB1-BDA9-D8D119148ED9}</b:Guid>
    <b:Author>
      <b:Author>
        <b:Corporate>IEA</b:Corporate>
      </b:Author>
    </b:Author>
    <b:Title>World energy outlook, 1998</b:Title>
    <b:Year>1998</b:Year>
    <b:Publisher>IEA</b:Publisher>
    <b:City>Paris</b:City>
    <b:RefOrder>226</b:RefOrder>
  </b:Source>
  <b:Source>
    <b:Tag>UND03</b:Tag>
    <b:SourceType>Report</b:SourceType>
    <b:Guid>{DFB48650-D388-4CC6-958D-ADD422FB76C1}</b:Guid>
    <b:Author>
      <b:Author>
        <b:Corporate>UNDP</b:Corporate>
      </b:Author>
    </b:Author>
    <b:Title>Human development report, 2003</b:Title>
    <b:Year>2003</b:Year>
    <b:Publisher>UNDP</b:Publisher>
    <b:City>New York</b:City>
    <b:RefOrder>227</b:RefOrder>
  </b:Source>
  <b:Source>
    <b:Tag>Yam01</b:Tag>
    <b:SourceType>JournalArticle</b:SourceType>
    <b:Guid>{B0B828E3-2FD3-40ED-8A41-19430819C0C2}</b:Guid>
    <b:Author>
      <b:Author>
        <b:NameList>
          <b:Person>
            <b:Last>Yamamoto</b:Last>
            <b:First>Y.</b:First>
          </b:Person>
          <b:Person>
            <b:Last>Fujino</b:Last>
            <b:First>J.</b:First>
          </b:Person>
          <b:Person>
            <b:Last>Yamaji</b:Last>
            <b:First>K.</b:First>
          </b:Person>
        </b:NameList>
      </b:Author>
    </b:Author>
    <b:Title>Evaluation of bioenergy potential with a multi-regional global-land-use-and-energy model</b:Title>
    <b:Year>2001</b:Year>
    <b:JournalName>Biomass and Bioenergy</b:JournalName>
    <b:Pages>185-203</b:Pages>
    <b:Volume>21</b:Volume>
    <b:RefOrder>228</b:RefOrder>
  </b:Source>
  <b:Source>
    <b:Tag>Hal98</b:Tag>
    <b:SourceType>Book</b:SourceType>
    <b:Guid>{B6908A2D-7E2C-4D49-9B6A-B86906513F65}</b:Guid>
    <b:Author>
      <b:Author>
        <b:NameList>
          <b:Person>
            <b:Last>Hall</b:Last>
            <b:First>D.O.</b:First>
          </b:Person>
          <b:Person>
            <b:Last>Rosillo-Calle</b:Last>
          </b:Person>
        </b:NameList>
      </b:Author>
    </b:Author>
    <b:Title>Evaluating environmental effects and carbon sources and sinks resulting from biomass production and use in developing countries</b:Title>
    <b:JournalName>Biomass: Data analysis and trends</b:JournalName>
    <b:Year>1998</b:Year>
    <b:Pages>213-314</b:Pages>
    <b:City>Paris</b:City>
    <b:Publisher>OECD/IEA</b:Publisher>
    <b:RefOrder>229</b:RefOrder>
  </b:Source>
  <b:Source>
    <b:Tag>IPC03</b:Tag>
    <b:SourceType>Book</b:SourceType>
    <b:Guid>{DC5E73AF-58F0-4702-847A-7BF9B5262FB7}</b:Guid>
    <b:Author>
      <b:Author>
        <b:NameList>
          <b:Person>
            <b:Last>Ghosh</b:Last>
            <b:First>T.K.</b:First>
          </b:Person>
          <b:Person>
            <b:Last>Prelas</b:Last>
            <b:First>M.A.</b:First>
          </b:Person>
        </b:NameList>
      </b:Author>
    </b:Author>
    <b:Title>Energy resources and systems: volume 2 renewable resources</b:Title>
    <b:Year>2011</b:Year>
    <b:InternetSiteTitle>http://www.grida.no</b:InternetSiteTitle>
    <b:YearAccessed>2014</b:YearAccessed>
    <b:MonthAccessed>October</b:MonthAccessed>
    <b:DayAccessed>15</b:DayAccessed>
    <b:URL>http://www.grida.no/climate/ippc-tar/</b:URL>
    <b:City>New York</b:City>
    <b:Publisher>Springer Science and Business Media</b:Publisher>
    <b:RefOrder>230</b:RefOrder>
  </b:Source>
  <b:Source>
    <b:Tag>Cav10</b:Tag>
    <b:SourceType>ArticleInAPeriodical</b:SourceType>
    <b:Guid>{A1EB7822-9327-44FC-AAD4-CFC99864F8FE}</b:Guid>
    <b:Author>
      <b:Author>
        <b:NameList>
          <b:Person>
            <b:Last>Cavanaugh</b:Last>
            <b:First>M.</b:First>
          </b:Person>
        </b:NameList>
      </b:Author>
    </b:Author>
    <b:Title>Net benefits of biomass power under scrutiny</b:Title>
    <b:Year>2010</b:Year>
    <b:PeriodicalTitle>The New York Times</b:PeriodicalTitle>
    <b:Month>June</b:Month>
    <b:Day>19</b:Day>
    <b:Pages>B1</b:Pages>
    <b:RefOrder>231</b:RefOrder>
  </b:Source>
  <b:Source>
    <b:Tag>Kar04</b:Tag>
    <b:SourceType>ConferenceProceedings</b:SourceType>
    <b:Guid>{0CA7CBC8-C2D3-4B63-8B31-02BF0A80467A}</b:Guid>
    <b:Author>
      <b:Author>
        <b:NameList>
          <b:Person>
            <b:Last>Karekezi</b:Last>
            <b:First>S.</b:First>
          </b:Person>
          <b:Person>
            <b:Last>Lata</b:Last>
            <b:First>K.</b:First>
          </b:Person>
          <b:Person>
            <b:Last>Coelho</b:Last>
            <b:First>S.T.</b:First>
          </b:Person>
        </b:NameList>
      </b:Author>
    </b:Author>
    <b:Title>Traditional biomas energy: improving its use and moving to modern energy use</b:Title>
    <b:Year>2004</b:Year>
    <b:Pages>1-56</b:Pages>
    <b:ConferenceName>International Conference for Renewable Energies</b:ConferenceName>
    <b:City>Bonn</b:City>
    <b:Publisher>International Conference for Renewable Energies</b:Publisher>
    <b:RefOrder>232</b:RefOrder>
  </b:Source>
  <b:Source>
    <b:Tag>Kar02</b:Tag>
    <b:SourceType>JournalArticle</b:SourceType>
    <b:Guid>{EC469BA8-291E-4C5C-831B-F539DD78BADC}</b:Guid>
    <b:Author>
      <b:Author>
        <b:NameList>
          <b:Person>
            <b:Last>Karekezi</b:Last>
            <b:First>S.</b:First>
          </b:Person>
          <b:Person>
            <b:Last>Teferra</b:Last>
            <b:First>M.</b:First>
          </b:Person>
          <b:Person>
            <b:Last>Mapako</b:Last>
            <b:First>M.</b:First>
          </b:Person>
        </b:NameList>
      </b:Author>
    </b:Author>
    <b:Title>Special issue - Africa: improving modern energy services for the poor</b:Title>
    <b:Pages>11-12</b:Pages>
    <b:Year>2002</b:Year>
    <b:JournalName>Energy Policy</b:JournalName>
    <b:Volume>30</b:Volume>
    <b:RefOrder>233</b:RefOrder>
  </b:Source>
  <b:Source>
    <b:Tag>Bes03</b:Tag>
    <b:SourceType>Report</b:SourceType>
    <b:Guid>{197D0A33-3C5A-4799-B61D-8A990AAD5BBC}</b:Guid>
    <b:Author>
      <b:Author>
        <b:NameList>
          <b:Person>
            <b:Last>Best</b:Last>
            <b:First>G.</b:First>
          </b:Person>
          <b:Person>
            <b:Last>Christensen</b:Last>
            <b:First>J.</b:First>
          </b:Person>
        </b:NameList>
      </b:Author>
    </b:Author>
    <b:Title>Role of biomass in global energy supply: Riso energy report 2</b:Title>
    <b:Year>2003</b:Year>
    <b:City>Riso, Denmark</b:City>
    <b:RefOrder>234</b:RefOrder>
  </b:Source>
  <b:Source>
    <b:Tag>Kar021</b:Tag>
    <b:SourceType>JournalArticle</b:SourceType>
    <b:Guid>{5A244CCE-95C1-4F19-B7E8-2C75C1F62891}</b:Guid>
    <b:Author>
      <b:Author>
        <b:NameList>
          <b:Person>
            <b:Last>Karekezi</b:Last>
            <b:First>S.</b:First>
          </b:Person>
          <b:Person>
            <b:Last>Kithyoma</b:Last>
            <b:First>W.</b:First>
          </b:Person>
        </b:NameList>
      </b:Author>
    </b:Author>
    <b:Title>Renewable energy strategies for rural Africa: is PV led reneable energy strategy the right approach for providing modern energy to the rural poor of sub-Saharan Africa?</b:Title>
    <b:Year>2002</b:Year>
    <b:JournalName>Energy Policy</b:JournalName>
    <b:Pages>1071-1086</b:Pages>
    <b:Volume>30</b:Volume>
    <b:Issue>11-12</b:Issue>
    <b:RefOrder>235</b:RefOrder>
  </b:Source>
  <b:Source>
    <b:Tag>Lea92</b:Tag>
    <b:SourceType>JournalArticle</b:SourceType>
    <b:Guid>{C25D5F10-F141-42E6-8723-65AEEC469F93}</b:Guid>
    <b:Author>
      <b:Author>
        <b:NameList>
          <b:Person>
            <b:Last>Leach</b:Last>
            <b:First>G.</b:First>
          </b:Person>
        </b:NameList>
      </b:Author>
    </b:Author>
    <b:Title>The energy transition</b:Title>
    <b:JournalName>Energy Policy</b:JournalName>
    <b:Year>1992</b:Year>
    <b:Pages>116-123</b:Pages>
    <b:RefOrder>236</b:RefOrder>
  </b:Source>
  <b:Source>
    <b:Tag>Hal91</b:Tag>
    <b:SourceType>JournalArticle</b:SourceType>
    <b:Guid>{98E422C6-5F81-4941-B682-A22BC7924183}</b:Guid>
    <b:Author>
      <b:Author>
        <b:NameList>
          <b:Person>
            <b:Last>Hall</b:Last>
            <b:First>D.O.</b:First>
          </b:Person>
        </b:NameList>
      </b:Author>
    </b:Author>
    <b:Title>Biomass energy</b:Title>
    <b:JournalName>Energy Policy</b:JournalName>
    <b:Year>1991</b:Year>
    <b:Volume>9</b:Volume>
    <b:Issue>10</b:Issue>
    <b:RefOrder>237</b:RefOrder>
  </b:Source>
  <b:Source>
    <b:Tag>Rep02</b:Tag>
    <b:SourceType>Report</b:SourceType>
    <b:Guid>{77F5476E-9E74-41D8-8E8A-713C85C34B35}</b:Guid>
    <b:Author>
      <b:Author>
        <b:Corporate>Republic of Kenya</b:Corporate>
      </b:Author>
    </b:Author>
    <b:Title>Study on Kenya's energy demand, supply and policy strategy for households, small-scale industries and service establishments</b:Title>
    <b:Year>2002</b:Year>
    <b:Publisher>Ministry of Energy</b:Publisher>
    <b:City>Nairobi, Kenya</b:City>
    <b:RefOrder>238</b:RefOrder>
  </b:Source>
  <b:Source>
    <b:Tag>The02</b:Tag>
    <b:SourceType>ConferenceProceedings</b:SourceType>
    <b:Guid>{D701C2D7-61E0-4F18-A667-D95A6E33647D}</b:Guid>
    <b:Author>
      <b:Author>
        <b:NameList>
          <b:Person>
            <b:Last>Theuri</b:Last>
            <b:First>K.</b:First>
          </b:Person>
        </b:NameList>
      </b:Author>
    </b:Author>
    <b:Title>Woodfuel policy and legislation in Kenya</b:Title>
    <b:Year>2002</b:Year>
    <b:City>ICRAF, Nairobi, Kenya</b:City>
    <b:ConferenceName>Regional workshop on woodfuel policy and legislation</b:ConferenceName>
    <b:RefOrder>239</b:RefOrder>
  </b:Source>
  <b:Source>
    <b:Tag>Kit08</b:Tag>
    <b:SourceType>JournalArticle</b:SourceType>
    <b:Guid>{A93E5420-A2E6-462A-BDA3-117F20D4B7E6}</b:Guid>
    <b:Author>
      <b:Author>
        <b:NameList>
          <b:Person>
            <b:Last>Kituyi</b:Last>
            <b:First>E.</b:First>
          </b:Person>
        </b:NameList>
      </b:Author>
    </b:Author>
    <b:Title>Climate change mitigation by schools in Kenya: policy options for scaling up sustainable fuelwood consumption and production</b:Title>
    <b:Year>2008</b:Year>
    <b:JournalName>Renewable Energy Assistance Programme, Policy Brief Series No. 1 of 2008, Nairobi, Kenya</b:JournalName>
    <b:RefOrder>240</b:RefOrder>
  </b:Source>
  <b:Source>
    <b:Tag>Git10</b:Tag>
    <b:SourceType>Book</b:SourceType>
    <b:Guid>{521D15DA-5D82-4F8D-8E89-3216D67D9113}</b:Guid>
    <b:Author>
      <b:Author>
        <b:NameList>
          <b:Person>
            <b:Last>Githiomi</b:Last>
            <b:First>J.</b:First>
          </b:Person>
        </b:NameList>
      </b:Author>
    </b:Author>
    <b:Title>Micro-level wood energy planning for Kiambu, Thika and Maragwa districts: a case study for decentralized wood plan in Kenya, PhD Thesis</b:Title>
    <b:Year>2010</b:Year>
    <b:Pages>176</b:Pages>
    <b:City>Nairobi, Kenya</b:City>
    <b:Publisher>Department of Environmental Studies, Kenyatta University</b:Publisher>
    <b:RefOrder>241</b:RefOrder>
  </b:Source>
  <b:Source>
    <b:Tag>Aki80</b:Tag>
    <b:SourceType>Report</b:SourceType>
    <b:Guid>{F0D3E175-170C-4EDD-8700-A8335ECBC7A2}</b:Guid>
    <b:Author>
      <b:Author>
        <b:NameList>
          <b:Person>
            <b:Last>Akinga</b:Last>
            <b:First>A.W.</b:First>
          </b:Person>
        </b:NameList>
      </b:Author>
    </b:Author>
    <b:Title>Woodfuel survey in Kenya</b:Title>
    <b:Year>1980</b:Year>
    <b:City>Nairobi, Kenya</b:City>
    <b:Publisher>Forestry Department, Ministry of Natural Resources</b:Publisher>
    <b:Pages>42</b:Pages>
    <b:RefOrder>242</b:RefOrder>
  </b:Source>
  <b:Source>
    <b:Tag>NEM04</b:Tag>
    <b:SourceType>Report</b:SourceType>
    <b:Guid>{DFC8C15C-7A24-4151-B2EF-1A6989DF975D}</b:Guid>
    <b:Author>
      <b:Author>
        <b:Corporate>NEMA</b:Corporate>
      </b:Author>
    </b:Author>
    <b:Title>State of environment report</b:Title>
    <b:Year>2004</b:Year>
    <b:Publisher>National Environmental Management Authority</b:Publisher>
    <b:City>Nairobi, Kenya</b:City>
    <b:RefOrder>243</b:RefOrder>
  </b:Source>
  <b:Source>
    <b:Tag>Rep07</b:Tag>
    <b:SourceType>Report</b:SourceType>
    <b:Guid>{658A9915-B6ED-41F1-8112-5EF82F7C8382}</b:Guid>
    <b:Author>
      <b:Author>
        <b:Corporate>Republic of Kenya</b:Corporate>
      </b:Author>
    </b:Author>
    <b:Title>Kenya Vision 2030</b:Title>
    <b:Year>2007</b:Year>
    <b:Publisher>Government Printers</b:Publisher>
    <b:City>Nairobi, Kenya</b:City>
    <b:RefOrder>244</b:RefOrder>
  </b:Source>
  <b:Source>
    <b:Tag>Git11</b:Tag>
    <b:SourceType>JournalArticle</b:SourceType>
    <b:Guid>{493B918E-CC83-4AFB-807F-D158C19BCC93}</b:Guid>
    <b:Author>
      <b:Author>
        <b:NameList>
          <b:Person>
            <b:Last>Githiomi</b:Last>
            <b:First>J.K.</b:First>
          </b:Person>
          <b:Person>
            <b:Last>Mugendi</b:Last>
            <b:First>D.N.</b:First>
          </b:Person>
          <b:Person>
            <b:Last>Kung'u</b:Last>
            <b:First>J.B.</b:First>
          </b:Person>
        </b:NameList>
      </b:Author>
    </b:Author>
    <b:Title>Household tree planting and its related constraints in meeting woodfuel production for Kiambu, Thika and Maragwa districts in Central Kenya</b:Title>
    <b:Year>2011</b:Year>
    <b:JournalName>Journal of Horticulture and Forestry</b:JournalName>
    <b:Pages>120-125</b:Pages>
    <b:Volume>4</b:Volume>
    <b:Issue>7</b:Issue>
    <b:RefOrder>245</b:RefOrder>
  </b:Source>
  <b:Source>
    <b:Tag>Mug01</b:Tag>
    <b:SourceType>ConferenceProceedings</b:SourceType>
    <b:Guid>{C3B5707A-6344-41C3-9622-F975795ED8DE}</b:Guid>
    <b:Author>
      <b:Author>
        <b:NameList>
          <b:Person>
            <b:Last>Mugo</b:Last>
            <b:First>F.W.</b:First>
          </b:Person>
        </b:NameList>
      </b:Author>
    </b:Author>
    <b:Title>The role of woodfuel conservation in sustainable supply of the resource: The case for Kenya</b:Title>
    <b:Year>2001</b:Year>
    <b:Pages>1-7</b:Pages>
    <b:ConferenceName>Charcoal stakeholders</b:ConferenceName>
    <b:City>Nairobi</b:City>
    <b:Publisher>Kenya</b:Publisher>
    <b:RefOrder>246</b:RefOrder>
  </b:Source>
  <b:Source>
    <b:Tag>UN12</b:Tag>
    <b:SourceType>Report</b:SourceType>
    <b:Guid>{1B115CD4-F216-43BA-98D4-65D5C9508786}</b:Guid>
    <b:Author>
      <b:Author>
        <b:Corporate>UN</b:Corporate>
      </b:Author>
    </b:Author>
    <b:Title>World population prospects: The 2012 revision volume II - demographic profiles</b:Title>
    <b:Year>2012</b:Year>
    <b:City>New York</b:City>
    <b:Publisher>United Nations Department of Economic ans Social Affairs/Population Division</b:Publisher>
    <b:RefOrder>247</b:RefOrder>
  </b:Source>
  <b:Source>
    <b:Tag>Mug10</b:Tag>
    <b:SourceType>ConferenceProceedings</b:SourceType>
    <b:Guid>{03A723B3-0637-498C-BBFE-F565830FDB37}</b:Guid>
    <b:Author>
      <b:Author>
        <b:NameList>
          <b:Person>
            <b:Last>Mugo</b:Last>
            <b:First>F.</b:First>
          </b:Person>
          <b:Person>
            <b:Last>Gathui</b:Last>
            <b:First>T.</b:First>
          </b:Person>
        </b:NameList>
      </b:Author>
    </b:Author>
    <b:Title>Biomass energy use in Kenya: a background paper prepared for the International Institute for Environment and Development (IIED)</b:Title>
    <b:Year>2010</b:Year>
    <b:Publisher>Practical Action, Nairobi, Kenya</b:Publisher>
    <b:City>Parliament House Hotel, Edinburg</b:City>
    <b:Pages>1-31</b:Pages>
    <b:ConferenceName>International ESPA Workshop on Biomass Energy</b:ConferenceName>
    <b:RefOrder>248</b:RefOrder>
  </b:Source>
  <b:Source>
    <b:Tag>Mbu09</b:Tag>
    <b:SourceType>Report</b:SourceType>
    <b:Guid>{1ED1CC49-E7DB-4876-B020-B7354B45E9D7}</b:Guid>
    <b:Author>
      <b:Author>
        <b:NameList>
          <b:Person>
            <b:Last>Mbuthi</b:Last>
            <b:First>P.N.</b:First>
          </b:Person>
        </b:NameList>
      </b:Author>
    </b:Author>
    <b:Title>Integrated woodfuel development strategy for Kenya, 2008-2012</b:Title>
    <b:Year>2009</b:Year>
    <b:City>Nairobi, Kenya</b:City>
    <b:Publisher>Ministry of Education</b:Publisher>
    <b:RefOrder>249</b:RefOrder>
  </b:Source>
  <b:Source>
    <b:Tag>Gat11</b:Tag>
    <b:SourceType>Book</b:SourceType>
    <b:Guid>{4103D9D5-7D9C-4A2B-9A16-E680D6B524A2}</b:Guid>
    <b:Author>
      <b:Author>
        <b:NameList>
          <b:Person>
            <b:Last>Gathui</b:Last>
            <b:First>T.</b:First>
          </b:Person>
          <b:Person>
            <b:Last>Mugo</b:Last>
            <b:First>F.</b:First>
          </b:Person>
          <b:Person>
            <b:Last>Ngugi</b:Last>
            <b:First>W.</b:First>
          </b:Person>
          <b:Person>
            <b:Last>Wanjiru</b:Last>
            <b:First>H.</b:First>
          </b:Person>
          <b:Person>
            <b:Last>Kamau</b:Last>
            <b:First>S.</b:First>
          </b:Person>
        </b:NameList>
      </b:Author>
    </b:Author>
    <b:Title>The Kenya charcoal handbook: current regulations for a sustainable charcoal sector</b:Title>
    <b:Year>2011</b:Year>
    <b:Publisher>Policy Innovation Systems for Clean Energy Security (PISCES)</b:Publisher>
    <b:City>Nairobi, Kenya</b:City>
    <b:Pages>1-32</b:Pages>
    <b:RefOrder>250</b:RefOrder>
  </b:Source>
  <b:Source>
    <b:Tag>Mut05</b:Tag>
    <b:SourceType>Report</b:SourceType>
    <b:Guid>{673F4884-46BD-4594-8555-311EB1BC87D0}</b:Guid>
    <b:Author>
      <b:Author>
        <b:NameList>
          <b:Person>
            <b:Last>Mutimba</b:Last>
            <b:First>S.</b:First>
          </b:Person>
          <b:Person>
            <b:Last>Murefu</b:Last>
            <b:First>B.</b:First>
          </b:Person>
        </b:NameList>
      </b:Author>
    </b:Author>
    <b:Title>National charcoal survey: exploring the potential for sustainable charcoal sector in Kenya</b:Title>
    <b:Year>2005</b:Year>
    <b:City>Nairobi, Kenya</b:City>
    <b:Publisher>Energy for Sustainable Development Africa (ESDA)</b:Publisher>
    <b:RefOrder>251</b:RefOrder>
  </b:Source>
  <b:Source>
    <b:Tag>Cun08</b:Tag>
    <b:SourceType>JournalArticle</b:SourceType>
    <b:Guid>{EDB1F3C8-4380-465B-900E-FD196F888CAB}</b:Guid>
    <b:Author>
      <b:Author>
        <b:NameList>
          <b:Person>
            <b:Last>Cunningham</b:Last>
            <b:First>A.</b:First>
          </b:Person>
          <b:Person>
            <b:Last>German</b:Last>
            <b:First>L.</b:First>
          </b:Person>
          <b:Person>
            <b:Last>Paumgarten</b:Last>
            <b:First>F.</b:First>
          </b:Person>
          <b:Person>
            <b:Last>Chikakula</b:Last>
            <b:First>M.</b:First>
          </b:Person>
          <b:Person>
            <b:Last>Barr</b:Last>
            <b:First>C.</b:First>
          </b:Person>
          <b:Person>
            <b:Last>Obidzinski</b:Last>
            <b:First>K.</b:First>
          </b:Person>
          <b:Person>
            <b:Last>van Noordwijk</b:Last>
            <b:First>M.</b:First>
          </b:Person>
          <b:Person>
            <b:Last>de Dam</b:Last>
            <b:First>Jungingera,</b:First>
            <b:Middle>Faaija, Jurgensb, Bestb, Fritschec</b:Middle>
          </b:Person>
        </b:NameList>
      </b:Author>
    </b:Author>
    <b:Title>Sustainable trade and management of forest products and services in the COMESA region: an issue Paper, Bogor, Indonesia</b:Title>
    <b:Year>2008</b:Year>
    <b:JournalName>Centre for International Forestry Research (CIFOR)</b:JournalName>
    <b:Pages>25</b:Pages>
    <b:RefOrder>252</b:RefOrder>
  </b:Source>
  <b:Source>
    <b:Tag>Hel11</b:Tag>
    <b:SourceType>Report</b:SourceType>
    <b:Guid>{BF6D3436-364F-4966-901E-241AA01540B0}</b:Guid>
    <b:Author>
      <b:Author>
        <b:NameList>
          <b:Person>
            <b:Last>Helsing</b:Last>
            <b:First>L.</b:First>
          </b:Person>
        </b:NameList>
      </b:Author>
    </b:Author>
    <b:Title>Certification of sustainable charcoal: implementing a certification process for Vi agroforestry</b:Title>
    <b:Year>2011</b:Year>
    <b:Publisher>Uppsala Univeristy</b:Publisher>
    <b:City>Uppsala, Sweden</b:City>
    <b:RefOrder>253</b:RefOrder>
  </b:Source>
  <b:Source>
    <b:Tag>Fuw93</b:Tag>
    <b:SourceType>JournalArticle</b:SourceType>
    <b:Guid>{1B1D7DFB-DB30-43DD-B3BA-D9B4D3A0CABC}</b:Guid>
    <b:Author>
      <b:Author>
        <b:NameList>
          <b:Person>
            <b:Last>Fuwape</b:Last>
            <b:First>J.A.</b:First>
          </b:Person>
        </b:NameList>
      </b:Author>
    </b:Author>
    <b:Title>Charcoal and fuel value of agroforestry tree crops</b:Title>
    <b:Year>1993</b:Year>
    <b:JournalName>Agroforestry Systems</b:JournalName>
    <b:Pages>175-179</b:Pages>
    <b:Volume>22</b:Volume>
    <b:Issue>3</b:Issue>
    <b:RefOrder>254</b:RefOrder>
  </b:Source>
  <b:Source>
    <b:Tag>Mut051</b:Tag>
    <b:SourceType>Report</b:SourceType>
    <b:Guid>{976BC259-BC97-41B8-8392-1DD4898FA0D9}</b:Guid>
    <b:Author>
      <b:Author>
        <b:NameList>
          <b:Person>
            <b:Last>Mutimba</b:Last>
            <b:First>S.</b:First>
          </b:Person>
          <b:Person>
            <b:Last>Barasa</b:Last>
            <b:First>M.</b:First>
          </b:Person>
        </b:NameList>
      </b:Author>
    </b:Author>
    <b:Title>National charcoal survey: summary report. Exploring the potential for a sustainable charcoal industry in Kenya</b:Title>
    <b:Year>2005</b:Year>
    <b:Publisher>Energy for Sustainable Development Africa (ESDA)</b:Publisher>
    <b:City>Nairobi, Kenya</b:City>
    <b:RefOrder>255</b:RefOrder>
  </b:Source>
  <b:Source>
    <b:Tag>Nje13</b:Tag>
    <b:SourceType>JournalArticle</b:SourceType>
    <b:Guid>{021F2D77-B626-4A03-A563-DBF3F6DCB7F9}</b:Guid>
    <b:Author>
      <b:Author>
        <b:NameList>
          <b:Person>
            <b:Last>Njenga</b:Last>
            <b:First>M.</b:First>
          </b:Person>
          <b:Person>
            <b:Last>Karanja</b:Last>
            <b:First>N.</b:First>
          </b:Person>
          <b:Person>
            <b:Last>Munster</b:Last>
            <b:First>C.</b:First>
          </b:Person>
          <b:Person>
            <b:Last>Iiyama</b:Last>
            <b:First>M.</b:First>
          </b:Person>
          <b:Person>
            <b:Last>Neufeldt</b:Last>
            <b:First>H.</b:First>
          </b:Person>
          <b:Person>
            <b:Last>Kithinji</b:Last>
            <b:First>J.</b:First>
          </b:Person>
          <b:Person>
            <b:Last>Jamnadass</b:Last>
            <b:First>R.</b:First>
          </b:Person>
        </b:NameList>
      </b:Author>
    </b:Author>
    <b:Title>Charcoal production and strategies to enhance its sustainability in Kenya</b:Title>
    <b:Year>2013</b:Year>
    <b:JournalName>Development in Practice</b:JournalName>
    <b:Pages>359-371</b:Pages>
    <b:Volume>23</b:Volume>
    <b:Issue>3</b:Issue>
    <b:RefOrder>256</b:RefOrder>
  </b:Source>
  <b:Source>
    <b:Tag>Mug07</b:Tag>
    <b:SourceType>Report</b:SourceType>
    <b:Guid>{6FF99D19-C3D9-428B-8C89-CE527C26EA74}</b:Guid>
    <b:Author>
      <b:Author>
        <b:NameList>
          <b:Person>
            <b:Last>Mugo</b:Last>
            <b:First>F.</b:First>
          </b:Person>
          <b:Person>
            <b:Last>Nungo</b:Last>
            <b:First>R.</b:First>
          </b:Person>
          <b:Person>
            <b:Last>Odongo</b:Last>
            <b:First>F.</b:First>
          </b:Person>
          <b:Person>
            <b:Last>Chavangi</b:Last>
            <b:First>N.</b:First>
          </b:Person>
          <b:Person>
            <b:Last>Abaru</b:Last>
            <b:First>M.</b:First>
          </b:Person>
        </b:NameList>
      </b:Author>
    </b:Author>
    <b:Title>An assessment of the energy saving potential and heat loss pattern in fireless cooking for selected commonly prepared foods in Kenya</b:Title>
    <b:Year>2007</b:Year>
    <b:Publisher>CARPA</b:Publisher>
    <b:City>Working paper series No. 2</b:City>
    <b:RefOrder>257</b:RefOrder>
  </b:Source>
  <b:Source>
    <b:Tag>Kin87</b:Tag>
    <b:SourceType>JournalArticle</b:SourceType>
    <b:Guid>{72479CCD-59FC-42FA-A2B8-EA03C4F6B3FD}</b:Guid>
    <b:Author>
      <b:Author>
        <b:NameList>
          <b:Person>
            <b:Last>Kinyanjui</b:Last>
            <b:First>M.</b:First>
          </b:Person>
        </b:NameList>
      </b:Author>
    </b:Author>
    <b:Title>Fueling Nairobi: the importance of small-scale charcoaling enterprises</b:Title>
    <b:Year>1987</b:Year>
    <b:JournalName>Unasylva</b:JournalName>
    <b:Pages>17-28</b:Pages>
    <b:Volume>39</b:Volume>
    <b:Issue>3-4</b:Issue>
    <b:RefOrder>258</b:RefOrder>
  </b:Source>
  <b:Source>
    <b:Tag>Git13</b:Tag>
    <b:SourceType>ArticleInAPeriodical</b:SourceType>
    <b:Guid>{423D10E2-7574-44B1-A28E-CBBBF2201668}</b:Guid>
    <b:Author>
      <b:Author>
        <b:NameList>
          <b:Person>
            <b:Last>Gituku</b:Last>
            <b:First>N.</b:First>
          </b:Person>
        </b:NameList>
      </b:Author>
    </b:Author>
    <b:Title>Why agri-waste is an untapped treasure for Kenya</b:Title>
    <b:Year>2013</b:Year>
    <b:PeriodicalTitle>The Star</b:PeriodicalTitle>
    <b:Month>August</b:Month>
    <b:Day>Thursday, 1</b:Day>
    <b:RefOrder>259</b:RefOrder>
  </b:Source>
  <b:Source>
    <b:Tag>Ter14</b:Tag>
    <b:SourceType>InternetSite</b:SourceType>
    <b:Guid>{CBA67BF8-3892-41E2-A68E-FCB30DDD370F}</b:Guid>
    <b:Author>
      <b:Author>
        <b:NameList>
          <b:Person>
            <b:Last>Termwiki</b:Last>
          </b:Person>
        </b:NameList>
      </b:Author>
    </b:Author>
    <b:Title>http://www.termwiki.com/EN:plant_residue</b:Title>
    <b:Year>2014</b:Year>
    <b:InternetSiteTitle>http://www.termwiki.com</b:InternetSiteTitle>
    <b:YearAccessed>2014</b:YearAccessed>
    <b:MonthAccessed>October</b:MonthAccessed>
    <b:DayAccessed>22</b:DayAccessed>
    <b:URL>http://www.termwiki.com/EN:plant_residue</b:URL>
    <b:RefOrder>260</b:RefOrder>
  </b:Source>
  <b:Source>
    <b:Tag>Glo97</b:Tag>
    <b:SourceType>Report</b:SourceType>
    <b:Guid>{7B71E51A-5D5A-408D-AC79-90859ADE1D8B}</b:Guid>
    <b:Author>
      <b:Author>
        <b:Corporate>Glossary of Environment Statistics</b:Corporate>
      </b:Author>
    </b:Author>
    <b:Title>Studies in methods, series F, No. 67</b:Title>
    <b:Year>1997</b:Year>
    <b:Publisher>United Nations</b:Publisher>
    <b:City>New York</b:City>
    <b:RefOrder>261</b:RefOrder>
  </b:Source>
  <b:Source>
    <b:Tag>Pap04</b:Tag>
    <b:SourceType>ConferenceProceedings</b:SourceType>
    <b:Guid>{985A4B80-5D8E-4A43-996E-55725CF585C3}</b:Guid>
    <b:Author>
      <b:Author>
        <b:NameList>
          <b:Person>
            <b:Last>Papong</b:Last>
            <b:First>S.</b:First>
          </b:Person>
          <b:Person>
            <b:Last>Yuvaniyama</b:Last>
            <b:First>C.</b:First>
          </b:Person>
          <b:Person>
            <b:Last>Lohsomboon</b:Last>
            <b:First>P.</b:First>
          </b:Person>
          <b:Person>
            <b:Last>Malakul</b:Last>
            <b:First>P.</b:First>
          </b:Person>
        </b:NameList>
      </b:Author>
    </b:Author>
    <b:Title>Overview of biomass utilization in Thailand</b:Title>
    <b:Year>2004</b:Year>
    <b:Publisher>EPOCHAL TSUKURA</b:Publisher>
    <b:ConferenceName>Meeting for LCA in ASEAN Biomass Project</b:ConferenceName>
    <b:RefOrder>262</b:RefOrder>
  </b:Source>
  <b:Source>
    <b:Tag>MSC14</b:Tag>
    <b:SourceType>InternetSite</b:SourceType>
    <b:Guid>{D092E5A3-79B2-4D79-B7A0-0CF82D33BDC5}</b:Guid>
    <b:Author>
      <b:Author>
        <b:Corporate>MSC</b:Corporate>
      </b:Author>
    </b:Author>
    <b:Title>http://www.mumias-sugar.com/index.php?page=electric-power</b:Title>
    <b:Year>2014</b:Year>
    <b:InternetSiteTitle>http://www.mumias-sugar.com</b:InternetSiteTitle>
    <b:YearAccessed>2014</b:YearAccessed>
    <b:MonthAccessed>October</b:MonthAccessed>
    <b:DayAccessed>22</b:DayAccessed>
    <b:URL>http://www.mumias-sugar.com/index.php?page=electric-power</b:URL>
    <b:RefOrder>263</b:RefOrder>
  </b:Source>
  <b:Source>
    <b:Tag>KND12</b:Tag>
    <b:SourceType>Report</b:SourceType>
    <b:Guid>{06CB8FAA-3276-402D-AA61-E95EBBF6DE4F}</b:Guid>
    <b:Author>
      <b:Author>
        <b:Corporate>KENDBIP</b:Corporate>
      </b:Author>
    </b:Author>
    <b:Title>Report on biogas in Kenya</b:Title>
    <b:Year>2012</b:Year>
    <b:Publisher>Kenya National Domestic Biogas Program (KENDBIP)</b:Publisher>
    <b:City>Nairobi, Kenya</b:City>
    <b:RefOrder>264</b:RefOrder>
  </b:Source>
  <b:Source>
    <b:Tag>Bon11</b:Tag>
    <b:SourceType>JournalArticle</b:SourceType>
    <b:Guid>{B91B83AD-D94C-4BB2-9632-66B49F4DE8AA}</b:Guid>
    <b:Author>
      <b:Author>
        <b:NameList>
          <b:Person>
            <b:Last>Bond</b:Last>
            <b:First>T.</b:First>
          </b:Person>
          <b:Person>
            <b:Last>Templeton</b:Last>
            <b:First>M.R.</b:First>
          </b:Person>
        </b:NameList>
      </b:Author>
    </b:Author>
    <b:Title>History and future of domestic biogas plants in the developing world</b:Title>
    <b:Year>2011</b:Year>
    <b:JournalName>Energy for Sustainable Development</b:JournalName>
    <b:Pages>347-354</b:Pages>
    <b:Volume>15</b:Volume>
    <b:RefOrder>265</b:RefOrder>
  </b:Source>
  <b:Source>
    <b:Tag>Ham12</b:Tag>
    <b:SourceType>JournalArticle</b:SourceType>
    <b:Guid>{DAA2EC08-E290-41AB-9A2E-B78F4EC131E4}</b:Guid>
    <b:Author>
      <b:Author>
        <b:NameList>
          <b:Person>
            <b:Last>Hamlin</b:Last>
            <b:First>A.</b:First>
          </b:Person>
        </b:NameList>
      </b:Author>
    </b:Author>
    <b:Title>Assessment of social and economic impacts of biogas digesters in rural Kenya</b:Title>
    <b:Year>2012</b:Year>
    <b:Publisher>Independent Study Project (ISP) Collection</b:Publisher>
    <b:City>Brattleboro, USA</b:City>
    <b:Pages>1-34</b:Pages>
    <b:JournalName>Independent Study Project (ISP) Collection</b:JournalName>
    <b:Comments>Paper 1247</b:Comments>
    <b:RefOrder>266</b:RefOrder>
  </b:Source>
  <b:Source>
    <b:Tag>Chi13</b:Tag>
    <b:SourceType>JournalArticle</b:SourceType>
    <b:Guid>{C5C33DA7-A89C-46D3-A124-641FC355C4AA}</b:Guid>
    <b:Author>
      <b:Author>
        <b:NameList>
          <b:Person>
            <b:Last>Chiatula</b:Last>
            <b:First>E.</b:First>
          </b:Person>
        </b:NameList>
      </b:Author>
    </b:Author>
    <b:Title>Energy footprint of locally produced bioethanol in Kenya</b:Title>
    <b:Year>2013</b:Year>
    <b:JournalName>Policy Innovation Systems for Clean Energy Security (PISCES)</b:JournalName>
    <b:Pages>1-15</b:Pages>
    <b:RefOrder>267</b:RefOrder>
  </b:Source>
  <b:Source>
    <b:Tag>Ken111</b:Tag>
    <b:SourceType>InternetSite</b:SourceType>
    <b:Guid>{0B200962-5124-4200-86D2-58B13DABA7A8}</b:Guid>
    <b:Author>
      <b:Author>
        <b:Corporate>Kenya Vision 2030</b:Corporate>
      </b:Author>
    </b:Author>
    <b:Title>http://www.vision2030.go.ke/index.php/pillars/index/macro_enablers</b:Title>
    <b:InternetSiteTitle>http://www.vision2030.go.ke</b:InternetSiteTitle>
    <b:Year>2011</b:Year>
    <b:YearAccessed>2014</b:YearAccessed>
    <b:MonthAccessed>November</b:MonthAccessed>
    <b:DayAccessed>21</b:DayAccessed>
    <b:URL>http://www.vision2030.go.ke/index.php/pillars/index/macro_enablers</b:URL>
    <b:RefOrder>268</b:RefOrder>
  </b:Source>
  <b:Source>
    <b:Tag>UND82</b:Tag>
    <b:SourceType>Report</b:SourceType>
    <b:Guid>{007B5B40-148A-44D0-8F2F-D71C82C1B248}</b:Guid>
    <b:Author>
      <b:Author>
        <b:Corporate>UNDP/World Bank</b:Corporate>
      </b:Author>
    </b:Author>
    <b:Title>Kenya: Issues and Options in the Energy Sector</b:Title>
    <b:Year>1982</b:Year>
    <b:Publisher>Joint UNDP/World Bank Energy Assessment Program</b:Publisher>
    <b:City>Washington, DC</b:City>
    <b:RefOrder>269</b:RefOrder>
  </b:Source>
  <b:Source>
    <b:Tag>Bei82</b:Tag>
    <b:SourceType>Report</b:SourceType>
    <b:Guid>{46A3E043-1C08-4008-AC63-5714C88BFF53}</b:Guid>
    <b:Author>
      <b:Author>
        <b:Corporate>Beijer Institute</b:Corporate>
      </b:Author>
    </b:Author>
    <b:Title>Energy Development in Kenya: Problems and Opportunities</b:Title>
    <b:Year>1982</b:Year>
    <b:Publisher>The Beijer Institute (The International Institute for Energy and Human Ecology of the Royal Swedish Academy of Sciences)</b:Publisher>
    <b:City>Stockholm</b:City>
    <b:RefOrder>270</b:RefOrder>
  </b:Source>
  <b:Source>
    <b:Tag>UNI09</b:Tag>
    <b:SourceType>Report</b:SourceType>
    <b:Guid>{95567218-F417-4CE4-BD85-6C00365BF10B}</b:Guid>
    <b:Author>
      <b:Author>
        <b:Corporate>UNIDO</b:Corporate>
      </b:Author>
    </b:Author>
    <b:Title>Scaling Up Renewable Energy in Africa: 12th Ordinary Session of Heads of State and Governments of the African Union (Addis Ababa, Ethiopia)</b:Title>
    <b:Year>2009</b:Year>
    <b:Publisher>United Nations Industrial Development Organization (UNIDO)</b:Publisher>
    <b:City>Vienna</b:City>
    <b:RefOrder>271</b:RefOrder>
  </b:Source>
  <b:Source>
    <b:Tag>Arn03</b:Tag>
    <b:SourceType>Report</b:SourceType>
    <b:Guid>{A1FC3C8E-B896-4ABC-B95D-27BC36532934}</b:Guid>
    <b:Author>
      <b:Author>
        <b:NameList>
          <b:Person>
            <b:Last>Arnold</b:Last>
            <b:First>M.</b:First>
          </b:Person>
          <b:Person>
            <b:Last>Kohlin</b:Last>
            <b:First>G.</b:First>
          </b:Person>
          <b:Person>
            <b:Last>Persson</b:Last>
            <b:First>R.</b:First>
          </b:Person>
          <b:Person>
            <b:Last>Shepherd</b:Last>
            <b:First>G.</b:First>
          </b:Person>
        </b:NameList>
      </b:Author>
    </b:Author>
    <b:Title>Fueldwool Revisited: What has Changed in the Last Decade?</b:Title>
    <b:Year>2003</b:Year>
    <b:Publisher>Centre for International Forestry Research</b:Publisher>
    <b:City>Jakarta, Indonesia</b:City>
    <b:Pages>1-47</b:Pages>
    <b:RefOrder>272</b:RefOrder>
  </b:Source>
  <b:Source>
    <b:Tag>Mos13</b:Tag>
    <b:SourceType>ArticleInAPeriodical</b:SourceType>
    <b:Guid>{E2FBC9F5-31BE-4928-A447-81AE40D7CA71}</b:Guid>
    <b:Author>
      <b:Author>
        <b:NameList>
          <b:Person>
            <b:Last>Mosoku</b:Last>
            <b:First>G.</b:First>
          </b:Person>
          <b:Person>
            <b:Last>Ombati</b:Last>
            <b:First>C.</b:First>
          </b:Person>
        </b:NameList>
      </b:Author>
    </b:Author>
    <b:Title>Kenya Government Yet to Release Identities of Wastegate Attack Suspects</b:Title>
    <b:Year>2013</b:Year>
    <b:PeriodicalTitle>Standard Media</b:PeriodicalTitle>
    <b:Month>September</b:Month>
    <b:Day>29</b:Day>
    <b:Pages>http://www.standardmedia.co.ke/thecounties/article/2000094534/state-yet-to-release-identities-of-wastegate-attack-suspects</b:Pages>
    <b:Comments>Accessed on 15 January 2015</b:Comments>
    <b:RefOrder>273</b:RefOrder>
  </b:Source>
  <b:Source>
    <b:Tag>UND97</b:Tag>
    <b:SourceType>Report</b:SourceType>
    <b:Guid>{0B094BB0-5AD5-4F72-94F7-447EA6E73653}</b:Guid>
    <b:Author>
      <b:Author>
        <b:Corporate>UNDP</b:Corporate>
      </b:Author>
    </b:Author>
    <b:Title>Energy After Rio: Prospects and Challenges</b:Title>
    <b:Year>1997</b:Year>
    <b:Publisher>United Nations Publications</b:Publisher>
    <b:City>New York</b:City>
    <b:RefOrder>274</b:RefOrder>
  </b:Source>
  <b:Source>
    <b:Tag>IEA981</b:Tag>
    <b:SourceType>Report</b:SourceType>
    <b:Guid>{967B7CE4-E7C4-4F55-B2CD-05A2134FFBF2}</b:Guid>
    <b:Author>
      <b:Author>
        <b:Corporate>IEA</b:Corporate>
      </b:Author>
    </b:Author>
    <b:Title>World Energy Outlook</b:Title>
    <b:Year>1998</b:Year>
    <b:Publisher>IEA Publications</b:Publisher>
    <b:City>Paris</b:City>
    <b:RefOrder>275</b:RefOrder>
  </b:Source>
  <b:Source>
    <b:Tag>The07</b:Tag>
    <b:SourceType>JournalArticle</b:SourceType>
    <b:Guid>{521EB51D-F2A5-4724-9A74-DF1DCF503F16}</b:Guid>
    <b:Author>
      <b:Author>
        <b:NameList>
          <b:Person>
            <b:Last>Theuri</b:Last>
            <b:First>D.</b:First>
          </b:Person>
        </b:NameList>
      </b:Author>
    </b:Author>
    <b:Title>Access to Modern Energy Services: The Gender Face of Energy Technologies</b:Title>
    <b:JournalName>ENERGIA News</b:JournalName>
    <b:Year>2007</b:Year>
    <b:Pages>16-17</b:Pages>
    <b:RefOrder>276</b:RefOrder>
  </b:Source>
  <b:Source>
    <b:Tag>Dre01</b:Tag>
    <b:SourceType>JournalArticle</b:SourceType>
    <b:Guid>{4C83A703-04F7-492D-81F5-D4C70EDBF8D9}</b:Guid>
    <b:Author>
      <b:Author>
        <b:NameList>
          <b:Person>
            <b:Last>Dresselhaus</b:Last>
            <b:First>M.S.</b:First>
          </b:Person>
          <b:Person>
            <b:Last>Thomas</b:Last>
            <b:First>I.L.</b:First>
          </b:Person>
        </b:NameList>
      </b:Author>
    </b:Author>
    <b:Title>Alternative Energy Technologies</b:Title>
    <b:Year>2001</b:Year>
    <b:JournalName>Nature</b:JournalName>
    <b:Pages>332-337</b:Pages>
    <b:Volume>414</b:Volume>
    <b:RefOrder>277</b:RefOrder>
  </b:Source>
  <b:Source>
    <b:Tag>Dut93</b:Tag>
    <b:SourceType>BookSection</b:SourceType>
    <b:Guid>{CC24B733-A830-43B2-A649-B7C090E00151}</b:Guid>
    <b:Author>
      <b:Author>
        <b:NameList>
          <b:Person>
            <b:Last>Dutt</b:Last>
            <b:First>G.S.</b:First>
          </b:Person>
          <b:Person>
            <b:Last>Ravindranah</b:Last>
            <b:First>N.H.</b:First>
          </b:Person>
        </b:NameList>
      </b:Author>
      <b:BookAuthor>
        <b:NameList>
          <b:Person>
            <b:Last>Johansson</b:Last>
            <b:First>T.B.</b:First>
          </b:Person>
          <b:Person>
            <b:Last>Kelly</b:Last>
            <b:First>H.</b:First>
          </b:Person>
          <b:Person>
            <b:Last>Reddy</b:Last>
            <b:First>A.K.N.</b:First>
          </b:Person>
          <b:Person>
            <b:Last>Williams</b:Last>
            <b:First>R.H.</b:First>
          </b:Person>
        </b:NameList>
      </b:BookAuthor>
    </b:Author>
    <b:Title>Bioenergy: Direct Applications in Cooking</b:Title>
    <b:Year>1993</b:Year>
    <b:Pages>653-697</b:Pages>
    <b:City>Washington D.C.</b:City>
    <b:Publisher>Island Press</b:Publisher>
    <b:BookTitle>Renewable Energy: Sources for Fuels and Electricity</b:BookTitle>
    <b:RefOrder>278</b:RefOrder>
  </b:Source>
  <b:Source>
    <b:Tag>Kam95</b:Tag>
    <b:SourceType>BookSection</b:SourceType>
    <b:Guid>{4A674268-2DC4-4020-AEC5-59F3BE9AAAB9}</b:Guid>
    <b:Author>
      <b:Author>
        <b:NameList>
          <b:Person>
            <b:Last>Kammen</b:Last>
            <b:First>D.M.</b:First>
          </b:Person>
        </b:NameList>
      </b:Author>
      <b:BookAuthor>
        <b:NameList>
          <b:Person>
            <b:Last>Goldenberg</b:Last>
            <b:First>J.</b:First>
          </b:Person>
          <b:Person>
            <b:Last>Johansson</b:Last>
            <b:First>T.B.</b:First>
          </b:Person>
        </b:NameList>
      </b:BookAuthor>
    </b:Author>
    <b:Title>From Energy Efficiency to Social Utility: Improved Cookstoves and the 'Small is Beautiful' Model of Development</b:Title>
    <b:BookTitle>Energy as an Instrument for Socio-Economic Development</b:BookTitle>
    <b:Year>1995</b:Year>
    <b:Pages>50-62</b:Pages>
    <b:City>New York</b:City>
    <b:Publisher>UNDP</b:Publisher>
    <b:RefOrder>279</b:RefOrder>
  </b:Source>
  <b:Source>
    <b:Tag>UND00</b:Tag>
    <b:SourceType>Report</b:SourceType>
    <b:Guid>{F0E4AFA0-424E-48AF-B2FA-A7304B16AC54}</b:Guid>
    <b:Author>
      <b:Author>
        <b:Corporate>UNDP</b:Corporate>
      </b:Author>
    </b:Author>
    <b:Title>World Energy Assessment: Energy and the Challenge of Sustainability</b:Title>
    <b:Year>2000</b:Year>
    <b:City>New York</b:City>
    <b:Publisher>UNDP</b:Publisher>
    <b:RefOrder>280</b:RefOrder>
  </b:Source>
  <b:Source>
    <b:Tag>Lea88</b:Tag>
    <b:SourceType>Book</b:SourceType>
    <b:Guid>{07E94513-4A77-46A6-B044-BF5C35AD344F}</b:Guid>
    <b:Author>
      <b:Author>
        <b:NameList>
          <b:Person>
            <b:Last>Leach</b:Last>
            <b:First>G.</b:First>
          </b:Person>
          <b:Person>
            <b:Last>Mearns</b:Last>
            <b:First>R.</b:First>
          </b:Person>
        </b:NameList>
      </b:Author>
    </b:Author>
    <b:Title>Beyond the Woodfuel Crises: People, Land, and Trees in Africa</b:Title>
    <b:Year>1988</b:Year>
    <b:Publisher>Earthscan</b:Publisher>
    <b:City>London, UK</b:City>
    <b:RefOrder>281</b:RefOrder>
  </b:Source>
  <b:Source>
    <b:Tag>Kam951</b:Tag>
    <b:SourceType>JournalArticle</b:SourceType>
    <b:Guid>{912F1B6F-5C58-442D-9ADF-AE3F81D68C98}</b:Guid>
    <b:Author>
      <b:Author>
        <b:NameList>
          <b:Person>
            <b:Last>Kammen</b:Last>
            <b:First>D.M.</b:First>
          </b:Person>
        </b:NameList>
      </b:Author>
    </b:Author>
    <b:Title>Cookstoves for the Developing World</b:Title>
    <b:Year>1995</b:Year>
    <b:JournalName>Scientific American</b:JournalName>
    <b:Pages>72-75</b:Pages>
    <b:Volume>273</b:Volume>
    <b:RefOrder>282</b:RefOrder>
  </b:Source>
  <b:Source>
    <b:Tag>Git02</b:Tag>
    <b:SourceType>Report</b:SourceType>
    <b:Guid>{041A4077-E717-499B-84BA-4F2B99E20BC4}</b:Guid>
    <b:Author>
      <b:Author>
        <b:NameList>
          <b:Person>
            <b:Last>Gitay</b:Last>
            <b:First>H.</b:First>
          </b:Person>
          <b:Person>
            <b:Last>Suarez</b:Last>
            <b:First>A.</b:First>
          </b:Person>
          <b:Person>
            <b:Last>Watson</b:Last>
            <b:First>R.</b:First>
          </b:Person>
          <b:Person>
            <b:Last>Anisimov</b:Last>
            <b:First>O.</b:First>
          </b:Person>
          <b:Person>
            <b:Last>Chapin</b:Last>
            <b:First>F.S.</b:First>
          </b:Person>
          <b:Person>
            <b:Last>Cruz</b:Last>
            <b:First>R.V.</b:First>
          </b:Person>
          <b:Person>
            <b:Last>Finlayson</b:Last>
            <b:First>M.</b:First>
          </b:Person>
          <b:Person>
            <b:Last>Hohenstein</b:Last>
            <b:First>W.</b:First>
          </b:Person>
          <b:Person>
            <b:Last>Insarov</b:Last>
            <b:First>G.</b:First>
          </b:Person>
          <b:Person>
            <b:Last>Kundzewicz</b:Last>
            <b:First>Z.</b:First>
          </b:Person>
          <b:Person>
            <b:Last>Leemans</b:Last>
            <b:First>R.</b:First>
          </b:Person>
          <b:Person>
            <b:Last>Magadza</b:Last>
            <b:First>C.</b:First>
          </b:Person>
          <b:Person>
            <b:Last>Nurse</b:Last>
            <b:First>L.</b:First>
          </b:Person>
          <b:Person>
            <b:Last>Noble</b:Last>
            <b:First>I.</b:First>
          </b:Person>
          <b:Person>
            <b:Last>Price</b:Last>
            <b:First>J.</b:First>
          </b:Person>
          <b:Person>
            <b:Last>Ravindranath</b:Last>
            <b:First>N.H.</b:First>
          </b:Person>
          <b:Person>
            <b:Last>Root</b:Last>
            <b:First>T.</b:First>
          </b:Person>
          <b:Person>
            <b:Last>Scholes</b:Last>
            <b:First>B.</b:First>
          </b:Person>
          <b:Person>
            <b:Last>Villamizar</b:Last>
            <b:First>A.</b:First>
          </b:Person>
        </b:NameList>
      </b:Author>
    </b:Author>
    <b:Title>Climate Change and Biodiversity: IPCC Technical Paper V</b:Title>
    <b:Year>2002</b:Year>
    <b:Pages>1-77</b:Pages>
    <b:Publisher>InterGovernmental Panel on Climate Change</b:Publisher>
    <b:City>Geneva, Switzerland</b:City>
    <b:RefOrder>283</b:RefOrder>
  </b:Source>
  <b:Source>
    <b:Tag>Ahu09</b:Tag>
    <b:SourceType>JournalArticle</b:SourceType>
    <b:Guid>{53B5062D-3A5C-414B-82CB-ACA00595A7AE}</b:Guid>
    <b:Author>
      <b:Author>
        <b:NameList>
          <b:Person>
            <b:Last>Ahuja</b:Last>
            <b:First>D.</b:First>
          </b:Person>
          <b:Person>
            <b:Last>Tatsutani</b:Last>
            <b:First>M.</b:First>
          </b:Person>
        </b:NameList>
      </b:Author>
    </b:Author>
    <b:Title>Sustainable Energy for Developing Countires</b:Title>
    <b:Year>2009</b:Year>
    <b:JournalName>Surveys And Perspectives Integrating Environment &amp; Society (SAPIENS) [Online]</b:JournalName>
    <b:Volume>2</b:Volume>
    <b:Issue>1</b:Issue>
    <b:Comments>Online Since 07 April 2009. Date of Use: 10 February 2015. URL: http://sapiens.revues.org/823</b:Comments>
    <b:RefOrder>284</b:RefOrder>
  </b:Source>
  <b:Source>
    <b:Tag>Wie11</b:Tag>
    <b:SourceType>Report</b:SourceType>
    <b:Guid>{6E695B43-9279-4631-9936-606FC020681E}</b:Guid>
    <b:Author>
      <b:Author>
        <b:NameList>
          <b:Person>
            <b:Last>Wiedenhofer</b:Last>
            <b:First>D.</b:First>
          </b:Person>
        </b:NameList>
      </b:Author>
    </b:Author>
    <b:Title>Spatial and Socio-Economic Drivers of Direct and Indirect Household Energy Consumption in Australia</b:Title>
    <b:Year>2011</b:Year>
    <b:Pages>1-65</b:Pages>
    <b:Publisher>Institute of Social Ecology (Faculty of Interdisciplinary Studies, Alpen-Adria-Universitaet)</b:Publisher>
    <b:City>Vienna</b:City>
    <b:RefOrder>285</b:RefOrder>
  </b:Source>
  <b:Source>
    <b:Tag>DAg10</b:Tag>
    <b:SourceType>ConferenceProceedings</b:SourceType>
    <b:Guid>{1119441F-8B4E-405E-81E7-EF1B073E2A48}</b:Guid>
    <b:Author>
      <b:Author>
        <b:NameList>
          <b:Person>
            <b:Last>D'Agostino</b:Last>
            <b:First>A.</b:First>
          </b:Person>
        </b:NameList>
      </b:Author>
    </b:Author>
    <b:Title>Energy Insecurity for ASEAN's BoP: The Unelectrified 160 Million</b:Title>
    <b:Year>2010</b:Year>
    <b:City>Singapore</b:City>
    <b:ConferenceName>ESI-MINDEF Workshop, October 5, 2010</b:ConferenceName>
    <b:RefOrder>286</b:RefOrder>
  </b:Source>
  <b:Source>
    <b:Tag>Uni10</b:Tag>
    <b:SourceType>Report</b:SourceType>
    <b:Guid>{6D44BB60-0DCF-404E-B80D-90819512FED1}</b:Guid>
    <b:Author>
      <b:Author>
        <b:Corporate>United Nations Development Programme</b:Corporate>
      </b:Author>
    </b:Author>
    <b:Title>Human Development Report 2010</b:Title>
    <b:Year>2010</b:Year>
    <b:City>New York</b:City>
    <b:Publisher>UNDP</b:Publisher>
    <b:RefOrder>287</b:RefOrder>
  </b:Source>
  <b:Source>
    <b:Tag>Gay07</b:Tag>
    <b:SourceType>Report</b:SourceType>
    <b:Guid>{569B90CD-F8FC-4EB1-B61B-E75274149344}</b:Guid>
    <b:Author>
      <b:Author>
        <b:NameList>
          <b:Person>
            <b:Last>Gaye</b:Last>
            <b:First>A.</b:First>
          </b:Person>
        </b:NameList>
      </b:Author>
    </b:Author>
    <b:Title>Access to Energy and Human Development: Human Development Report 2007/2008 Occassional Paper</b:Title>
    <b:Year>2007</b:Year>
    <b:Publisher>UNDP Human Development Report Office</b:Publisher>
    <b:RefOrder>288</b:RefOrder>
  </b:Source>
  <b:Source>
    <b:Tag>Mas07</b:Tag>
    <b:SourceType>Report</b:SourceType>
    <b:Guid>{67969F9F-E663-4D46-B975-F434D2574EB0}</b:Guid>
    <b:Author>
      <b:Author>
        <b:NameList>
          <b:Person>
            <b:Last>Masud</b:Last>
            <b:First>J.</b:First>
          </b:Person>
          <b:Person>
            <b:Last>Sharan</b:Last>
            <b:First>D.</b:First>
          </b:Person>
          <b:Person>
            <b:Last>Lohani</b:Last>
            <b:First>B.N.</b:First>
          </b:Person>
        </b:NameList>
      </b:Author>
    </b:Author>
    <b:Title>Energy for All: Addressing the Energy, Environment, and Poverty Nexus in Asia</b:Title>
    <b:Year>2007</b:Year>
    <b:Publisher>Asian Development Bank</b:Publisher>
    <b:City>Manila</b:City>
    <b:RefOrder>289</b:RefOrder>
  </b:Source>
  <b:Source>
    <b:Tag>Wor96</b:Tag>
    <b:SourceType>Report</b:SourceType>
    <b:Guid>{EED1535E-76C8-4864-97B2-38B8BF7AA171}</b:Guid>
    <b:Author>
      <b:Author>
        <b:Corporate>World Bank</b:Corporate>
      </b:Author>
    </b:Author>
    <b:Title>Rural Energy and Development: Improving Energy Supplies for Two Billion People</b:Title>
    <b:Year>1996</b:Year>
    <b:Publisher>World Bank</b:Publisher>
    <b:City>Washington DC</b:City>
    <b:RefOrder>290</b:RefOrder>
  </b:Source>
  <b:Source>
    <b:Tag>Wor01</b:Tag>
    <b:SourceType>Report</b:SourceType>
    <b:Guid>{5601BF40-5BEE-4E50-87A5-C4D3FB90E2A0}</b:Guid>
    <b:Author>
      <b:Author>
        <b:Corporate>World Bank</b:Corporate>
      </b:Author>
    </b:Author>
    <b:Title>The World Bank's Energy Program: Poverty Reduction, Sustainability, and Selectivity - Energy and Mining Sector Board Paper</b:Title>
    <b:Year>2001</b:Year>
    <b:Publisher>World Bank</b:Publisher>
    <b:City>Washington DC</b:City>
    <b:RefOrder>291</b:RefOrder>
  </b:Source>
  <b:Source>
    <b:Tag>Bar07</b:Tag>
    <b:SourceType>Report</b:SourceType>
    <b:Guid>{1402BE59-324F-487D-874B-4AB6D1212933}</b:Guid>
    <b:Author>
      <b:Author>
        <b:NameList>
          <b:Person>
            <b:Last>Barnes</b:Last>
            <b:First>D.F.</b:First>
          </b:Person>
        </b:NameList>
      </b:Author>
    </b:Author>
    <b:Title>The Challenge of Rural Electrification: Strategies for Developing Countries</b:Title>
    <b:Year>2007</b:Year>
    <b:Publisher>Resources for the Future and Energy Sector Management Assistence Program</b:Publisher>
    <b:City>Washington DC</b:City>
    <b:RefOrder>292</b:RefOrder>
  </b:Source>
  <b:Source>
    <b:Tag>Wor08</b:Tag>
    <b:SourceType>Report</b:SourceType>
    <b:Guid>{DB6994AD-2FBF-482B-9A8D-3DB17CD8B65D}</b:Guid>
    <b:Author>
      <b:Author>
        <b:Corporate>World Bank</b:Corporate>
      </b:Author>
    </b:Author>
    <b:Title>The Welfare Impact of Rural Electrification: A Reassessment of the Costs and Benefits: An IEG Impact Evaluation - Independent Evaluation Group</b:Title>
    <b:Year>2008</b:Year>
    <b:Publisher>World Bank</b:Publisher>
    <b:City>Washington DC</b:City>
    <b:RefOrder>293</b:RefOrder>
  </b:Source>
  <b:Source>
    <b:Tag>Hir09</b:Tag>
    <b:SourceType>JournalArticle</b:SourceType>
    <b:Guid>{5E787891-C019-40B7-8A5C-CAEE239A7B1A}</b:Guid>
    <b:Author>
      <b:Author>
        <b:NameList>
          <b:Person>
            <b:Last>Hiremath</b:Last>
            <b:First>R.B.</b:First>
          </b:Person>
          <b:Person>
            <b:Last>Kumar</b:Last>
            <b:First>B.P.</b:First>
          </b:Person>
          <b:Person>
            <b:Last>Balachandra</b:Last>
            <b:First>P.</b:First>
          </b:Person>
          <b:Person>
            <b:Last>Ravindranath</b:Last>
            <b:First>N.H.</b:First>
          </b:Person>
          <b:Person>
            <b:Last>Raghunandan</b:Last>
            <b:First>B.N.</b:First>
          </b:Person>
        </b:NameList>
      </b:Author>
    </b:Author>
    <b:Title>Decentralized Renewable Energy: Scope, Relevance and Applications in Indian Context</b:Title>
    <b:Year>2009</b:Year>
    <b:JournalName>Energy for Sustainable Development</b:JournalName>
    <b:Pages>4-10</b:Pages>
    <b:Volume>13</b:Volume>
    <b:RefOrder>294</b:RefOrder>
  </b:Source>
  <b:Source>
    <b:Tag>Kha09</b:Tag>
    <b:SourceType>Report</b:SourceType>
    <b:Guid>{623345B0-03BE-43EC-B2CB-5B24EEAE3435}</b:Guid>
    <b:Author>
      <b:Author>
        <b:NameList>
          <b:Person>
            <b:Last>Khandker</b:Last>
            <b:First>S.R.</b:First>
          </b:Person>
          <b:Person>
            <b:Last>Barnes</b:Last>
            <b:First>D.F.</b:First>
          </b:Person>
          <b:Person>
            <b:Last>Samad</b:Last>
            <b:First>H.A.</b:First>
          </b:Person>
        </b:NameList>
      </b:Author>
    </b:Author>
    <b:Title>Welfare Impacts of Rural Electrification: A Case Study from Bangladesh - Policy Research Working Paper No. 4859</b:Title>
    <b:Year>2009</b:Year>
    <b:Publisher>World Bank</b:Publisher>
    <b:City>Washington DC</b:City>
    <b:RefOrder>295</b:RefOrder>
  </b:Source>
  <b:Source>
    <b:Tag>Dei10</b:Tag>
    <b:SourceType>Report</b:SourceType>
    <b:Guid>{6736240A-DC39-4AE9-A65F-368CAABA3A99}</b:Guid>
    <b:Author>
      <b:Author>
        <b:NameList>
          <b:Person>
            <b:Last>Deichmann</b:Last>
            <b:First>U.</b:First>
          </b:Person>
          <b:Person>
            <b:Last>Meisner</b:Last>
            <b:First>C.</b:First>
          </b:Person>
          <b:Person>
            <b:Last>Murray</b:Last>
            <b:First>S.</b:First>
          </b:Person>
          <b:Person>
            <b:Last>Wheeler</b:Last>
            <b:First>D.</b:First>
          </b:Person>
        </b:NameList>
      </b:Author>
    </b:Author>
    <b:Title>The Economics of Renewable Energy Expansion in Rural Sub-Saharan Africa - Policy Research Working Paper No. 5193</b:Title>
    <b:Year>2010</b:Year>
    <b:Publisher>World Bank</b:Publisher>
    <b:City>Wasington DC</b:City>
    <b:Pages>1-67</b:Pages>
    <b:RefOrder>296</b:RefOrder>
  </b:Source>
  <b:Source>
    <b:Tag>Inf06</b:Tag>
    <b:SourceType>Report</b:SourceType>
    <b:Guid>{C46D48D5-5A10-462B-BF70-E3B4C8FC02D2}</b:Guid>
    <b:Author>
      <b:Author>
        <b:Corporate>InfoResources</b:Corporate>
      </b:Author>
    </b:Author>
    <b:Title>Focus 2/06: Sustainable Energy - Rural Poverty Alleviation</b:Title>
    <b:Year>2006</b:Year>
    <b:Publisher>http://www.sunlabob.com/data/documents/energy_issues/O-06_02-Rural_Poverty_Alleviation.pdf</b:Publisher>
    <b:City>Zollikofen</b:City>
    <b:Pages>1-16</b:Pages>
    <b:RefOrder>297</b:RefOrder>
  </b:Source>
  <b:Source>
    <b:Tag>Sov12</b:Tag>
    <b:SourceType>JournalArticle</b:SourceType>
    <b:Guid>{166FA8F0-4929-4FDF-AE19-9BF9714D1F4E}</b:Guid>
    <b:Author>
      <b:Author>
        <b:NameList>
          <b:Person>
            <b:Last>Sovacool</b:Last>
            <b:First>B.K.</b:First>
          </b:Person>
        </b:NameList>
      </b:Author>
    </b:Author>
    <b:Title>The Political Economy of Energy Poverty: A Review of Keny Challenges</b:Title>
    <b:Year>2012</b:Year>
    <b:JournalName>Energy for Sustainable Development</b:JournalName>
    <b:Pages>272-282</b:Pages>
    <b:Volume>16</b:Volume>
    <b:RefOrder>298</b:RefOrder>
  </b:Source>
  <b:Source>
    <b:Tag>Tes13</b:Tag>
    <b:SourceType>Report</b:SourceType>
    <b:Guid>{9A6AEAB5-8201-48FE-A0E0-7AF13A8CA20B}</b:Guid>
    <b:Author>
      <b:Author>
        <b:NameList>
          <b:Person>
            <b:Last>Tessama</b:Last>
            <b:First>Z.</b:First>
          </b:Person>
          <b:Person>
            <b:Last>Davis</b:Last>
            <b:First>M.</b:First>
          </b:Person>
          <b:Person>
            <b:Last>Tella</b:Last>
            <b:First>P.V.</b:First>
          </b:Person>
          <b:Person>
            <b:Last>Lambe</b:Last>
            <b:First>F.</b:First>
          </b:Person>
        </b:NameList>
      </b:Author>
    </b:Author>
    <b:Title>Mainstreaming Sustainable Energy Access into National Development Planning: The Case of Ethiopia</b:Title>
    <b:Year>2013</b:Year>
    <b:Publisher>Stockholm Environment Institute</b:Publisher>
    <b:City>Stockholm, Sweden</b:City>
    <b:Pages>1-26</b:Pages>
    <b:RefOrder>299</b:RefOrder>
  </b:Source>
  <b:Source>
    <b:Tag>Oue09</b:Tag>
    <b:SourceType>Report</b:SourceType>
    <b:Guid>{56BDC65C-0C14-4CBC-BFBB-4AAABAF422DE}</b:Guid>
    <b:Author>
      <b:Author>
        <b:NameList>
          <b:Person>
            <b:Last>Ouedraogo</b:Last>
            <b:First>N.</b:First>
          </b:Person>
        </b:NameList>
      </b:Author>
    </b:Author>
    <b:Title>Bioenergy for Africa: An Illusion or a Sustainable Option to Reduce the Vulnerability to Energy and Poverty?</b:Title>
    <b:Year>2009</b:Year>
    <b:Publisher>Université Paris-Dauphine</b:Publisher>
    <b:City>Paris, France</b:City>
    <b:Pages>1-26</b:Pages>
    <b:RefOrder>300</b:RefOrder>
  </b:Source>
  <b:Source>
    <b:Tag>Ber13</b:Tag>
    <b:SourceType>Report</b:SourceType>
    <b:Guid>{B0F88A83-3938-4B11-BF84-B1CBC7E80F10}</b:Guid>
    <b:Author>
      <b:Author>
        <b:NameList>
          <b:Person>
            <b:Last>Bergasse</b:Last>
            <b:First>E.</b:First>
          </b:Person>
          <b:Person>
            <b:Last>Dabrowski</b:Last>
            <b:First>M.</b:First>
          </b:Person>
          <b:Person>
            <b:Last>Dewulf</b:Last>
            <b:First>L.</b:First>
          </b:Person>
        </b:NameList>
      </b:Author>
    </b:Author>
    <b:Title>The Relationship Between Energy and Socio-Economic Development in the Southern and Eastern Mediterranean</b:Title>
    <b:Year>2013</b:Year>
    <b:Publisher>MEDiterranean PROspects</b:Publisher>
    <b:City>Brussels, Belgium</b:City>
    <b:Pages>1-44</b:Pages>
    <b:RefOrder>301</b:RefOrder>
  </b:Source>
  <b:Source>
    <b:Tag>IPC14</b:Tag>
    <b:SourceType>InternetSite</b:SourceType>
    <b:Guid>{952100B1-90A6-41D0-9FDC-125348977C1A}</b:Guid>
    <b:Author>
      <b:Author>
        <b:NameList>
          <b:Person>
            <b:Last>IPCC</b:Last>
          </b:Person>
        </b:NameList>
      </b:Author>
    </b:Author>
    <b:Title>http://www.sciencemediacentre.co.nz/2014/03/31/ipcc-report-on-climate-impacts-and-adaptation-experts-respond/</b:Title>
    <b:InternetSiteTitle>http://www.sciencemediacentre.co.nz</b:InternetSiteTitle>
    <b:Year>2014</b:Year>
    <b:Month>March</b:Month>
    <b:Day>31</b:Day>
    <b:YearAccessed>2015</b:YearAccessed>
    <b:MonthAccessed>July</b:MonthAccessed>
    <b:DayAccessed>08</b:DayAccessed>
    <b:URL>http://www.sciencemediacentre.co.nz/2014/03/31/ipcc-report-on-climate-impacts-and-adaptation-experts-respond/</b:URL>
    <b:RefOrder>302</b:RefOrder>
  </b:Source>
  <b:Source>
    <b:Tag>Eze14</b:Tag>
    <b:SourceType>Book</b:SourceType>
    <b:Guid>{7CD7DF0C-3311-4320-9919-95EB2E85A708}</b:Guid>
    <b:Author>
      <b:Author>
        <b:NameList>
          <b:Person>
            <b:Last>Ezendu</b:Last>
            <b:First>A.</b:First>
          </b:Person>
        </b:NameList>
      </b:Author>
    </b:Author>
    <b:Title>Green Technology Applications for Enterprise and Academic Innovation</b:Title>
    <b:Year>2014</b:Year>
    <b:City>Hershey, Pennsylvania</b:City>
    <b:Publisher>IGI Global</b:Publisher>
    <b:RefOrder>303</b:RefOrder>
  </b:Source>
  <b:Source>
    <b:Tag>Abd14</b:Tag>
    <b:SourceType>JournalArticle</b:SourceType>
    <b:Guid>{65262B77-A557-4BF1-AF36-A8D497358EFC}</b:Guid>
    <b:Author>
      <b:Author>
        <b:NameList>
          <b:Person>
            <b:Last>Abdullah</b:Last>
            <b:First>M.A.</b:First>
          </b:Person>
          <b:Person>
            <b:Last>Agalgaonkar</b:Last>
            <b:First>A.P.</b:First>
          </b:Person>
          <b:Person>
            <b:Last>Muttaqi</b:Last>
            <b:First>K.M.</b:First>
          </b:Person>
        </b:NameList>
      </b:Author>
    </b:Author>
    <b:Title>Assessment of Energy Supply and Continuity of Service in Distribution Network with Renewable Distributed Generation</b:Title>
    <b:Year>2014</b:Year>
    <b:JournalName>Applied Energy</b:JournalName>
    <b:Pages>1015-1026</b:Pages>
    <b:Volume>113</b:Volume>
    <b:RefOrder>304</b:RefOrder>
  </b:Source>
  <b:Source>
    <b:Tag>Bru07</b:Tag>
    <b:SourceType>Report</b:SourceType>
    <b:Guid>{93D9425C-B8D1-402E-9FAC-6B882C9758EA}</b:Guid>
    <b:Author>
      <b:Author>
        <b:NameList>
          <b:Person>
            <b:Last>Brukmajster</b:Last>
            <b:First>D.</b:First>
          </b:Person>
          <b:Person>
            <b:Last>Hampel</b:Last>
            <b:First>J.</b:First>
          </b:Person>
          <b:Person>
            <b:Last>Renn</b:Last>
            <b:First>O.</b:First>
          </b:Person>
        </b:NameList>
      </b:Author>
    </b:Author>
    <b:Title>Energy Technology Roadmap and Stakeholders' Perspective: Establishment for Social Criteria for Energy Systems</b:Title>
    <b:Year>2007</b:Year>
    <b:City>Stuttgart, Germany</b:City>
    <b:Publisher>Institut fȕr Sozialwissenschaften, Universitȁt Stuttgart</b:Publisher>
    <b:RefOrder>305</b:RefOrder>
  </b:Source>
  <b:Source>
    <b:Tag>Rib11</b:Tag>
    <b:SourceType>Report</b:SourceType>
    <b:Guid>{B8F2B856-97E4-4EF5-91AD-76E4F1688F9F}</b:Guid>
    <b:Author>
      <b:Author>
        <b:NameList>
          <b:Person>
            <b:Last>Ribeiro</b:Last>
            <b:First>F.</b:First>
          </b:Person>
          <b:Person>
            <b:Last>Ferreira</b:Last>
            <b:First>P.</b:First>
          </b:Person>
          <b:Person>
            <b:Last>Araŭjo</b:Last>
            <b:First>M.</b:First>
          </b:Person>
        </b:NameList>
      </b:Author>
    </b:Author>
    <b:Title>The Social Dimension of Electricity Planning Decisions: A Literature Review from 2000 Onwards</b:Title>
    <b:Year>2011</b:Year>
    <b:Publisher>Sustainable Electricity Power Planning</b:Publisher>
    <b:City>Guimarães, Portugal</b:City>
    <b:RefOrder>306</b:RefOrder>
  </b:Source>
  <b:Source>
    <b:Tag>Hei14</b:Tag>
    <b:SourceType>JournalArticle</b:SourceType>
    <b:Guid>{5D6A983A-11B3-41D1-83BA-D717FD2B3C04}</b:Guid>
    <b:Author>
      <b:Author>
        <b:NameList>
          <b:Person>
            <b:Last>Heinbach</b:Last>
            <b:First>K.</b:First>
          </b:Person>
          <b:Person>
            <b:Last>Aretz</b:Last>
            <b:First>A.</b:First>
          </b:Person>
          <b:Person>
            <b:Last>Hirschl</b:Last>
            <b:First>B.</b:First>
          </b:Person>
          <b:Person>
            <b:Last>Prahl</b:Last>
            <b:First>A.</b:First>
          </b:Person>
          <b:Person>
            <b:Last>Salecki</b:Last>
            <b:First>S.</b:First>
          </b:Person>
        </b:NameList>
      </b:Author>
    </b:Author>
    <b:Title>Renewable Energies and their Impact on Local Value Added and Employment</b:Title>
    <b:Year>2014</b:Year>
    <b:JournalName>Energy, Sustainability and Society</b:JournalName>
    <b:Pages>1</b:Pages>
    <b:Volume>4</b:Volume>
    <b:RefOrder>307</b:RefOrder>
  </b:Source>
  <b:Source>
    <b:Tag>Afg00</b:Tag>
    <b:SourceType>JournalArticle</b:SourceType>
    <b:Guid>{CF25F830-6A90-41C8-B1B5-212E8EDDC021}</b:Guid>
    <b:Author>
      <b:Author>
        <b:NameList>
          <b:Person>
            <b:Last>Afgan</b:Last>
            <b:First>N.H.</b:First>
          </b:Person>
          <b:Person>
            <b:Last>Carvalho</b:Last>
            <b:First>M.G.</b:First>
          </b:Person>
          <b:Person>
            <b:Last>Hovanov</b:Last>
            <b:First>N.V.</b:First>
          </b:Person>
        </b:NameList>
      </b:Author>
    </b:Author>
    <b:Title>Energy System Assessment with Sustainability Indicators</b:Title>
    <b:JournalName>Energy Policy</b:JournalName>
    <b:Year>2000</b:Year>
    <b:Pages>603-612</b:Pages>
    <b:Volume>28</b:Volume>
    <b:RefOrder>308</b:RefOrder>
  </b:Source>
  <b:Source>
    <b:Tag>Poo08</b:Tag>
    <b:SourceType>JournalArticle</b:SourceType>
    <b:Guid>{358A5D17-1005-43CF-B587-640B612CAE20}</b:Guid>
    <b:Author>
      <b:Author>
        <b:NameList>
          <b:Person>
            <b:Last>Poonpun</b:Last>
            <b:First>P.</b:First>
          </b:Person>
          <b:Person>
            <b:Last>Jewell</b:Last>
            <b:First>W.T.</b:First>
          </b:Person>
        </b:NameList>
      </b:Author>
    </b:Author>
    <b:Title>Analysis of the Cost per Kilowatt Hour to Store Electricity</b:Title>
    <b:JournalName>IEEE Transactions on Energy Conversion</b:JournalName>
    <b:Year>2008</b:Year>
    <b:Pages>529-534</b:Pages>
    <b:Volume>23</b:Volume>
    <b:Issue>2</b:Issue>
    <b:RefOrder>309</b:RefOrder>
  </b:Source>
  <b:Source>
    <b:Tag>UNG13</b:Tag>
    <b:SourceType>ConferenceProceedings</b:SourceType>
    <b:Guid>{D9375135-7195-4116-BE1B-D7885A02CAB1}</b:Guid>
    <b:Author>
      <b:Author>
        <b:Corporate>UN General Assembly</b:Corporate>
      </b:Author>
    </b:Author>
    <b:Title>Promotion of New and Renewable Sources of Energy</b:Title>
    <b:Pages>1-4</b:Pages>
    <b:Year>2013</b:Year>
    <b:ConferenceName>The General Assembly</b:ConferenceName>
    <b:Publisher>http://www.se4all.org/wp-content/uploads/2013/10/GA-resolution-A-67-215-SE4ALL-DECADE.pdf (accessed on 13 July 2015)</b:Publisher>
    <b:RefOrder>310</b:RefOrder>
  </b:Source>
  <b:Source>
    <b:Tag>Sgo14</b:Tag>
    <b:SourceType>JournalArticle</b:SourceType>
    <b:Guid>{C15ADFB3-A49E-4AF8-B981-C096F0A79FE7}</b:Guid>
    <b:Author>
      <b:Author>
        <b:NameList>
          <b:Person>
            <b:Last>Sgouridis</b:Last>
            <b:First>S.</b:First>
          </b:Person>
          <b:Person>
            <b:Last>Csala</b:Last>
            <b:First>D.</b:First>
          </b:Person>
        </b:NameList>
      </b:Author>
    </b:Author>
    <b:Title>A Framework for Defining Sustainable Energy Transitions: Principles, Dynamics and Implications</b:Title>
    <b:Pages>2601-2622</b:Pages>
    <b:Year>2014</b:Year>
    <b:JournalName>Sustainability</b:JournalName>
    <b:Volume>6</b:Volume>
    <b:Issue>5</b:Issue>
    <b:RefOrder>311</b:RefOrder>
  </b:Source>
  <b:Source>
    <b:Tag>Wor87</b:Tag>
    <b:SourceType>Report</b:SourceType>
    <b:Guid>{2AB853C4-53BA-49BE-B953-2639A21CEEFF}</b:Guid>
    <b:Author>
      <b:Author>
        <b:Corporate>World Commission on Environment and Development (WCED)</b:Corporate>
      </b:Author>
    </b:Author>
    <b:Title>Our Common Future</b:Title>
    <b:Year>1987</b:Year>
    <b:Publisher>Oxford University Press</b:Publisher>
    <b:City>Oxford</b:City>
    <b:RefOrder>312</b:RefOrder>
  </b:Source>
  <b:Source>
    <b:Tag>Bar09</b:Tag>
    <b:SourceType>Report</b:SourceType>
    <b:Guid>{BD8FFB43-FFBE-49C3-833E-EC9445D17477}</b:Guid>
    <b:Author>
      <b:Author>
        <b:NameList>
          <b:Person>
            <b:Last>Barder</b:Last>
            <b:First>O.</b:First>
          </b:Person>
        </b:NameList>
      </b:Author>
    </b:Author>
    <b:Title>What is Poverty Reduction? Working Paper Number 170</b:Title>
    <b:Year>2009</b:Year>
    <b:Publisher>Centre for Global Development</b:Publisher>
    <b:City>Washington D.C., USA</b:City>
    <b:RefOrder>313</b:RefOrder>
  </b:Source>
  <b:Source>
    <b:Tag>Ken06</b:Tag>
    <b:SourceType>InternetSite</b:SourceType>
    <b:Guid>{DC69C674-001C-4D63-8961-355D634D9370}</b:Guid>
    <b:Author>
      <b:Author>
        <b:Corporate>Kenya Open Data</b:Corporate>
      </b:Author>
    </b:Author>
    <b:Title>https://www.opendata.go.ke/Poverty/District-Poverty-Data-KIHBS-2005-6/pnvr-waq2</b:Title>
    <b:Year>2006</b:Year>
    <b:InternetSiteTitle>https://www.opendata.go.ke</b:InternetSiteTitle>
    <b:YearAccessed>2015</b:YearAccessed>
    <b:MonthAccessed>July</b:MonthAccessed>
    <b:DayAccessed>15</b:DayAccessed>
    <b:URL>https://www.opendata.go.ke/Poverty/District-Poverty-Data-KIHBS-2005-6/pnvr-waq2</b:URL>
    <b:RefOrder>314</b:RefOrder>
  </b:Source>
  <b:Source>
    <b:Tag>Mot10</b:Tag>
    <b:SourceType>JournalArticle</b:SourceType>
    <b:Guid>{25003BBF-8FFA-400E-83A8-C0512AF03803}</b:Guid>
    <b:Author>
      <b:Author>
        <b:NameList>
          <b:Person>
            <b:Last>Moturi</b:Last>
            <b:First>N.W.</b:First>
          </b:Person>
        </b:NameList>
      </b:Author>
    </b:Author>
    <b:Title>Risk Factors for Indoor Air Pollution in Rural Households in Mauche Division, Molo District, Kenya</b:Title>
    <b:Year>2010</b:Year>
    <b:JournalName>African Health Sciences</b:JournalName>
    <b:Pages>230-234</b:Pages>
    <b:Volume>10</b:Volume>
    <b:Issue>3</b:Issue>
    <b:RefOrder>315</b:RefOrder>
  </b:Source>
  <b:Source>
    <b:Tag>Gro141</b:Tag>
    <b:SourceType>JournalArticle</b:SourceType>
    <b:Guid>{F9414BF0-6E60-4BFA-B8E3-BFB5AA367790}</b:Guid>
    <b:Author>
      <b:Author>
        <b:NameList>
          <b:Person>
            <b:Last>Groh</b:Last>
            <b:First>S.</b:First>
          </b:Person>
        </b:NameList>
      </b:Author>
    </b:Author>
    <b:Title>The Role of Energy in Development Processes - The Energy Poverty Penalty: Case Study of Arequipa (Peru)</b:Title>
    <b:JournalName>Energy for Sustainable Development</b:JournalName>
    <b:Year>2014</b:Year>
    <b:Pages>83-99</b:Pages>
    <b:Volume>18</b:Volume>
    <b:RefOrder>316</b:RefOrder>
  </b:Source>
  <b:Source>
    <b:Tag>Wor04</b:Tag>
    <b:SourceType>Report</b:SourceType>
    <b:Guid>{3695F36D-14F5-4EAC-B727-B9B2A30D905C}</b:Guid>
    <b:Author>
      <b:Author>
        <b:Corporate>World Health Organization (WHO)</b:Corporate>
      </b:Author>
    </b:Author>
    <b:Title>The World Health Report 2004: The Changing History</b:Title>
    <b:Year>2004</b:Year>
    <b:Publisher>WHO</b:Publisher>
    <b:City>Geneva</b:City>
    <b:RefOrder>317</b:RefOrder>
  </b:Source>
  <b:Source>
    <b:Tag>Org11</b:Tag>
    <b:SourceType>Report</b:SourceType>
    <b:Guid>{FDD42A4C-A680-48E4-B2E6-7D3F9B04D1DD}</b:Guid>
    <b:Author>
      <b:Author>
        <b:Corporate>Organization for Economic Co-operation and Development (OECD)</b:Corporate>
      </b:Author>
    </b:Author>
    <b:Title>World Energy Outlook 2011</b:Title>
    <b:Year>2011</b:Year>
    <b:Publisher>OECD</b:Publisher>
    <b:City>Washington D.C., USA</b:City>
    <b:RefOrder>318</b:RefOrder>
  </b:Source>
  <b:Source>
    <b:Tag>Org12</b:Tag>
    <b:SourceType>Report</b:SourceType>
    <b:Guid>{8F5E3E25-2F3F-4E97-BD8D-4D9499FB3C43}</b:Guid>
    <b:Author>
      <b:Author>
        <b:Corporate>Organization for Economic Co-operation and Development (OECD)</b:Corporate>
      </b:Author>
    </b:Author>
    <b:Title>World Energy Outlook 2012</b:Title>
    <b:Year>2012</b:Year>
    <b:Publisher>OECD</b:Publisher>
    <b:City>Washington D.C., USA</b:City>
    <b:RefOrder>319</b:RefOrder>
  </b:Source>
  <b:Source>
    <b:Tag>Adv10</b:Tag>
    <b:SourceType>Report</b:SourceType>
    <b:Guid>{7C9F02DB-A9CE-4503-8044-8410B5F5A8A7}</b:Guid>
    <b:Author>
      <b:Author>
        <b:Corporate>Advisory Group on Energy and Climate Change (AGECC)</b:Corporate>
      </b:Author>
    </b:Author>
    <b:Title>Energy for Sustainable Future. Secretary-General's Advisory Group on Energy and ClimateChange. Summary Report and Recommendations</b:Title>
    <b:Year>2010</b:Year>
    <b:Publisher>United Nations</b:Publisher>
    <b:City>Gevena</b:City>
    <b:RefOrder>320</b:RefOrder>
  </b:Source>
  <b:Source>
    <b:Tag>Ros12</b:Tag>
    <b:SourceType>JournalArticle</b:SourceType>
    <b:Guid>{B63EABCB-4B9C-4DBA-B8A2-2BF9C36E8259}</b:Guid>
    <b:Author>
      <b:Author>
        <b:NameList>
          <b:Person>
            <b:Last>Rosen</b:Last>
            <b:First>M.A.</b:First>
          </b:Person>
        </b:NameList>
      </b:Author>
    </b:Author>
    <b:Title>Energy Sustainability: A Critical Need for Sustainable Development</b:Title>
    <b:Year>2012</b:Year>
    <b:JournalName>Engineering Dimensions</b:JournalName>
    <b:Pages>32-34</b:Pages>
    <b:RefOrder>321</b:RefOrder>
  </b:Source>
  <b:Source>
    <b:Tag>Afr81</b:Tag>
    <b:SourceType>Report</b:SourceType>
    <b:Guid>{83A3BF11-C0F9-443F-A59A-94261B10A89A}</b:Guid>
    <b:Author>
      <b:Author>
        <b:Corporate>African Union</b:Corporate>
      </b:Author>
    </b:Author>
    <b:Title>African Charter on Human and Peoples' Rights</b:Title>
    <b:Year>1981</b:Year>
    <b:City>Banjul</b:City>
    <b:Publisher>African Union</b:Publisher>
    <b:RefOrder>322</b:RefOrder>
  </b:Source>
  <b:Source>
    <b:Tag>The10</b:Tag>
    <b:SourceType>InternetSite</b:SourceType>
    <b:Guid>{C5DD51E2-C81F-4F1D-9C9C-EF135E6A6579}</b:Guid>
    <b:Author>
      <b:Author>
        <b:Corporate>The Constitution of Kenya [Kenya]</b:Corporate>
      </b:Author>
    </b:Author>
    <b:Title> The Constitution of Kenya [Kenyhttp://www.refworld.org/docid/4c8508822.html </b:Title>
    <b:Year>2010</b:Year>
    <b:Month>August</b:Month>
    <b:Day>27</b:Day>
    <b:YearAccessed>2015</b:YearAccessed>
    <b:MonthAccessed>August</b:MonthAccessed>
    <b:DayAccessed>28</b:DayAccessed>
    <b:RefOrder>323</b:RefOrder>
  </b:Source>
  <b:Source>
    <b:Tag>Kir06</b:Tag>
    <b:SourceType>Report</b:SourceType>
    <b:Guid>{F973EA07-D7BF-4F8F-8BB3-40156E0CE1F3}</b:Guid>
    <b:Author>
      <b:Author>
        <b:NameList>
          <b:Person>
            <b:Last>Kirchmeier</b:Last>
            <b:First>F.</b:First>
          </b:Person>
        </b:NameList>
      </b:Author>
    </b:Author>
    <b:Title>The Right to Development - Where Do We Stand? State of the Debate on the Right to Development - Occasional Papers No. 23</b:Title>
    <b:Year>2006</b:Year>
    <b:Publisher>Friedrich-Ebert-Stiftung</b:Publisher>
    <b:City>Geneva</b:City>
    <b:RefOrder>324</b:RefOrder>
  </b:Source>
  <b:Source>
    <b:Tag>Com89</b:Tag>
    <b:SourceType>Report</b:SourceType>
    <b:Guid>{6CD9A916-3042-489B-AE41-8F147C52B9E5}</b:Guid>
    <b:Author>
      <b:Author>
        <b:Corporate>Commonwealth Heads of Government</b:Corporate>
      </b:Author>
    </b:Author>
    <b:Title>Langkawi Declaration on the Environment</b:Title>
    <b:Year>1989</b:Year>
    <b:Publisher>The Commonwealth</b:Publisher>
    <b:City>Langkawi, Malaysia</b:City>
    <b:RefOrder>325</b:RefOrder>
  </b:Source>
  <b:Source>
    <b:Tag>Uni86</b:Tag>
    <b:SourceType>DocumentFromInternetSite</b:SourceType>
    <b:Guid>{ACE9A778-07EB-40E9-9988-51A7FA5E4B8A}</b:Guid>
    <b:Author>
      <b:Author>
        <b:Corporate>United Nations General Assembly</b:Corporate>
      </b:Author>
    </b:Author>
    <b:Year>1986</b:Year>
    <b:Month>December</b:Month>
    <b:Day>4</b:Day>
    <b:YearAccessed>2015</b:YearAccessed>
    <b:MonthAccessed>August</b:MonthAccessed>
    <b:DayAccessed>29</b:DayAccessed>
    <b:URL>Declaration on the Right to Development: Resolution/Adopted by the General Assembly, 4 December, 1986, A/RES/41/128, available at http://www.refoworld.org/docid/3b00f22544.html </b:URL>
    <b:RefOrder>326</b:RefOrder>
  </b:Source>
  <b:Source>
    <b:Tag>UN151</b:Tag>
    <b:SourceType>DocumentFromInternetSite</b:SourceType>
    <b:Guid>{E1AE6DF5-C3CE-4258-8F50-BD773C585C8B}</b:Guid>
    <b:Author>
      <b:Author>
        <b:NameList>
          <b:Person>
            <b:Last>UN</b:Last>
          </b:Person>
        </b:NameList>
      </b:Author>
    </b:Author>
    <b:Title>Introduction to the Proposal of the Open Working Group for Sustainable Development Goals</b:Title>
    <b:InternetSiteTitle>https://sustainabledevelopment.un.org/content/documents/4518SDGs_FINAL_Proposal%20of%20OWG_19%20July%20at%201320hrsver3.pdf</b:InternetSiteTitle>
    <b:Year>2015</b:Year>
    <b:YearAccessed>2015</b:YearAccessed>
    <b:MonthAccessed>October</b:MonthAccessed>
    <b:DayAccessed>28</b:DayAccessed>
    <b:RefOrder>327</b:RefOrder>
  </b:Source>
  <b:Source>
    <b:Tag>Kit80</b:Tag>
    <b:SourceType>Book</b:SourceType>
    <b:Guid>{814BCA7B-7220-413C-9A4D-78356198B44D}</b:Guid>
    <b:Author>
      <b:Author>
        <b:NameList>
          <b:Person>
            <b:Last>Kittel</b:Last>
            <b:First>C.</b:First>
          </b:Person>
          <b:Person>
            <b:Last>Knoemer</b:Last>
            <b:First>H.</b:First>
          </b:Person>
        </b:NameList>
      </b:Author>
    </b:Author>
    <b:Title>Thermal Physics</b:Title>
    <b:Year>1980</b:Year>
    <b:City>New York</b:City>
    <b:Publisher>W.H. Freeman</b:Publisher>
    <b:RefOrder>328</b:RefOrder>
  </b:Source>
  <b:Source>
    <b:Tag>Gov06</b:Tag>
    <b:SourceType>Report</b:SourceType>
    <b:Guid>{2D8BF61E-6A76-46B7-8AC6-332000F7F32E}</b:Guid>
    <b:Author>
      <b:Author>
        <b:Corporate>Government of Kenya</b:Corporate>
      </b:Author>
    </b:Author>
    <b:Title>Energy Act, No. 12 of 2006</b:Title>
    <b:Year>2006</b:Year>
    <b:City>Nairobi, Kenya</b:City>
    <b:Publisher>Government Printers</b:Publisher>
    <b:RefOrder>329</b:RefOrder>
  </b:Source>
  <b:Source>
    <b:Tag>WWA14</b:Tag>
    <b:SourceType>Report</b:SourceType>
    <b:Guid>{BAA575B2-6F00-4BDE-811C-7C03D54339C7}</b:Guid>
    <b:Author>
      <b:Author>
        <b:Corporate>WWAP (United Nations World Water Assessment Programme)</b:Corporate>
      </b:Author>
    </b:Author>
    <b:Title>The United Nations World Water Development Report 2014: Water and Energy</b:Title>
    <b:Year>2014</b:Year>
    <b:Publisher>UNESCO</b:Publisher>
    <b:City>Paris</b:City>
    <b:RefOrder>330</b:RefOrder>
  </b:Source>
  <b:Source>
    <b:Tag>Eur12</b:Tag>
    <b:SourceType>JournalArticle</b:SourceType>
    <b:Guid>{12EC5EF6-7378-451E-997E-8652FB76A3BF}</b:Guid>
    <b:Author>
      <b:Author>
        <b:Corporate>European Union</b:Corporate>
      </b:Author>
    </b:Author>
    <b:Title>Legislation</b:Title>
    <b:Year>14 November 2012</b:Year>
    <b:JournalName>Official Journal of the European Union</b:JournalName>
    <b:Pages>10</b:Pages>
    <b:Volume>55</b:Volume>
    <b:RefOrder>331</b:RefOrder>
  </b:Source>
  <b:Source>
    <b:Tag>Hub12</b:Tag>
    <b:SourceType>JournalArticle</b:SourceType>
    <b:Guid>{1D740BCB-3175-41EB-ACD7-217F9903D047}</b:Guid>
    <b:Author>
      <b:Author>
        <b:NameList>
          <b:Person>
            <b:Last>Huber</b:Last>
            <b:First>M.</b:First>
          </b:Person>
          <b:Person>
            <b:Last>Knutt</b:Last>
            <b:First>R.</b:First>
          </b:Person>
        </b:NameList>
      </b:Author>
    </b:Author>
    <b:Title>Anthropogenic and natural warming inferred from changes in Earth's energy balance</b:Title>
    <b:Year>2012</b:Year>
    <b:JournalName>Nature Geoscience</b:JournalName>
    <b:Pages>31-36</b:Pages>
    <b:Volume>5</b:Volume>
    <b:RefOrder>332</b:RefOrder>
  </b:Source>
  <b:Source>
    <b:Tag>Kee76</b:Tag>
    <b:SourceType>JournalArticle</b:SourceType>
    <b:Guid>{9C12A3F1-0C8D-4DB0-9CC8-9064778166B0}</b:Guid>
    <b:Author>
      <b:Author>
        <b:NameList>
          <b:Person>
            <b:Last>Keeling</b:Last>
            <b:First>D.C.</b:First>
          </b:Person>
          <b:Person>
            <b:Last>Bacastow</b:Last>
            <b:First>R.B.</b:First>
          </b:Person>
          <b:Person>
            <b:Last>Bainbridge</b:Last>
            <b:First>A.E.</b:First>
          </b:Person>
          <b:Person>
            <b:Last>Ekdahl</b:Last>
            <b:First>C.A.</b:First>
          </b:Person>
          <b:Person>
            <b:Last>Guenther</b:Last>
            <b:First>P.R.</b:First>
          </b:Person>
          <b:Person>
            <b:Last>Waterman</b:Last>
            <b:First>L.S.</b:First>
          </b:Person>
        </b:NameList>
      </b:Author>
    </b:Author>
    <b:Title>Atmospheric carbon dioxide variations at Mauna Loa Observatory, Hawaii</b:Title>
    <b:Year>1976</b:Year>
    <b:JournalName>Tellus AAVIII</b:JournalName>
    <b:Pages>538-551</b:Pages>
    <b:Volume>6</b:Volume>
    <b:RefOrder>333</b:RefOrder>
  </b:Source>
  <b:Source>
    <b:Tag>Lew06</b:Tag>
    <b:SourceType>JournalArticle</b:SourceType>
    <b:Guid>{95866455-9F4B-4DE6-BD3A-15ED154C495B}</b:Guid>
    <b:Author>
      <b:Author>
        <b:NameList>
          <b:Person>
            <b:Last>Lewis</b:Last>
            <b:First>N.S.</b:First>
          </b:Person>
          <b:Person>
            <b:Last>Nocera</b:Last>
            <b:First>D.G.</b:First>
          </b:Person>
        </b:NameList>
      </b:Author>
    </b:Author>
    <b:Title>Powering the planet: Chemical changes in solar energy utilization</b:Title>
    <b:JournalName>Proceedings of the National Academy of Sciences of the United States of America</b:JournalName>
    <b:Year>2006</b:Year>
    <b:Pages>15729-15735</b:Pages>
    <b:Volume>103</b:Volume>
    <b:Issue>43</b:Issue>
    <b:RefOrder>334</b:RefOrder>
  </b:Source>
  <b:Source>
    <b:Tag>Tak14</b:Tag>
    <b:SourceType>JournalArticle</b:SourceType>
    <b:Guid>{4B57B646-E425-4E88-ACCB-733AD2C99F36}</b:Guid>
    <b:Author>
      <b:Author>
        <b:NameList>
          <b:Person>
            <b:Last>Takala</b:Last>
            <b:First>J.</b:First>
          </b:Person>
          <b:Person>
            <b:Last>Hamalainen</b:Last>
            <b:First>P.</b:First>
          </b:Person>
          <b:Person>
            <b:Last>Saarela</b:Last>
            <b:First>K.L.</b:First>
          </b:Person>
          <b:Person>
            <b:Last>Yun</b:Last>
            <b:First>L.Y.</b:First>
          </b:Person>
          <b:Person>
            <b:Last>Manickam</b:Last>
            <b:First>K.</b:First>
          </b:Person>
          <b:Person>
            <b:Last>Jin</b:Last>
            <b:First>T.W.</b:First>
          </b:Person>
          <b:Person>
            <b:Last>Heng</b:Last>
            <b:First>P.</b:First>
          </b:Person>
          <b:Person>
            <b:Last>Tjang</b:Last>
            <b:First>C.</b:First>
          </b:Person>
          <b:Person>
            <b:Last>Kheng</b:Last>
            <b:First>L.G.</b:First>
          </b:Person>
          <b:Person>
            <b:Last>Lim</b:Last>
            <b:First>S.</b:First>
          </b:Person>
          <b:Person>
            <b:Last>Lin</b:Last>
            <b:First>G.S.</b:First>
          </b:Person>
        </b:NameList>
      </b:Author>
    </b:Author>
    <b:Title>Global estimates of the burden of injury and illness at work in 2012</b:Title>
    <b:Year>2014</b:Year>
    <b:JournalName>Journal of Occpational and Environmental Hygiene</b:JournalName>
    <b:Pages>326-337</b:Pages>
    <b:Volume>11</b:Volume>
    <b:Issue>5</b:Issue>
    <b:RefOrder>335</b:RefOrder>
  </b:Source>
  <b:Source>
    <b:Tag>And98</b:Tag>
    <b:SourceType>Report</b:SourceType>
    <b:Guid>{CBDB5333-3775-4E4D-9731-1FC1C48345DE}</b:Guid>
    <b:Author>
      <b:Author>
        <b:NameList>
          <b:Person>
            <b:Last>Andreoni</b:Last>
            <b:First>D.</b:First>
          </b:Person>
        </b:NameList>
      </b:Author>
    </b:Author>
    <b:Title>Work-related accident costs: Accident prevention</b:Title>
    <b:Year>1998</b:Year>
    <b:Publisher>Encyclopaedia of Occupational Health and Safety</b:Publisher>
    <b:City>ILO, Geneva</b:City>
    <b:RefOrder>336</b:RefOrder>
  </b:Source>
  <b:Source>
    <b:Tag>Pet98</b:Tag>
    <b:SourceType>Report</b:SourceType>
    <b:Guid>{9FDA9009-8A8F-4B3F-85CA-B38962B6FE78}</b:Guid>
    <b:Author>
      <b:Author>
        <b:NameList>
          <b:Person>
            <b:Last>Peterson</b:Last>
            <b:First>D.</b:First>
          </b:Person>
        </b:NameList>
      </b:Author>
    </b:Author>
    <b:Title>Safety policy, leadership and culture</b:Title>
    <b:Year>1998</b:Year>
    <b:Publisher>Encylopaedia of Occupational Health and Safety</b:Publisher>
    <b:City>ILO: Geneva</b:City>
    <b:Pages>59:2-4</b:Pages>
    <b:RefOrder>337</b:RefOrder>
  </b:Source>
  <b:Source>
    <b:Tag>Ski98</b:Tag>
    <b:SourceType>Report</b:SourceType>
    <b:Guid>{90D80FFC-8513-4195-BA62-BB8BD9B9978D}</b:Guid>
    <b:Author>
      <b:Author>
        <b:NameList>
          <b:Person>
            <b:Last>Skiba</b:Last>
            <b:First>R.</b:First>
          </b:Person>
        </b:NameList>
      </b:Author>
    </b:Author>
    <b:Title>Theoretical principles of job safety</b:Title>
    <b:Year>1998</b:Year>
    <b:Publisher>Encyclopaedia of Occupationa Safety and Health</b:Publisher>
    <b:City>ILO: Geneva</b:City>
    <b:RefOrder>338</b:RefOrder>
  </b:Source>
  <b:Source>
    <b:Tag>Nya05</b:Tag>
    <b:SourceType>ConferenceProceedings</b:SourceType>
    <b:Guid>{AF0E5C94-A2B3-4A55-8851-8BE579D69EF0}</b:Guid>
    <b:Author>
      <b:Author>
        <b:NameList>
          <b:Person>
            <b:Last>Nyakang'o</b:Last>
            <b:First>J.B.</b:First>
          </b:Person>
        </b:NameList>
      </b:Author>
    </b:Author>
    <b:Title>Status of occupational health and safety in Kenya</b:Title>
    <b:Year>2005</b:Year>
    <b:City>Beijing</b:City>
    <b:ConferenceName>Workshop Paper on the IUPAC-UNESCO-UNIDO Safety Training Program - Part of the IUPAC Congress</b:ConferenceName>
    <b:RefOrder>339</b:RefOrder>
  </b:Source>
  <b:Source>
    <b:Tag>Lam12</b:Tag>
    <b:SourceType>JournalArticle</b:SourceType>
    <b:Guid>{BF97B44A-7D96-4451-802E-63EFF802880A}</b:Guid>
    <b:Author>
      <b:Author>
        <b:NameList>
          <b:Person>
            <b:Last>Lam</b:Last>
            <b:First>N.L.</b:First>
          </b:Person>
          <b:Person>
            <b:Last>Smith</b:Last>
            <b:First>K.R.</b:First>
          </b:Person>
          <b:Person>
            <b:Last>Gauthier</b:Last>
            <b:First>A.</b:First>
          </b:Person>
          <b:Person>
            <b:Last>Bates</b:Last>
            <b:First>M.N.</b:First>
          </b:Person>
        </b:NameList>
      </b:Author>
    </b:Author>
    <b:Title>Kerosene: A review of household uses and their hazards in low and middle income countries</b:Title>
    <b:Year>2012</b:Year>
    <b:JournalName>Journal of Toxicology and Environmental Health</b:JournalName>
    <b:Pages>396-432</b:Pages>
    <b:Volume>15</b:Volume>
    <b:Issue>6</b:Issue>
    <b:RefOrder>340</b:RefOrder>
  </b:Source>
  <b:Source>
    <b:Tag>Che007</b:Tag>
    <b:SourceType>JournalArticle</b:SourceType>
    <b:Guid>{B5132DA3-7398-4DD5-909F-C5393D7B09D5}</b:Guid>
    <b:Author>
      <b:Author>
        <b:NameList>
          <b:Person>
            <b:Last>Chen</b:Last>
            <b:First>T.M.</b:First>
          </b:Person>
          <b:Person>
            <b:Last>Gokhale</b:Last>
            <b:First>J.</b:First>
          </b:Person>
          <b:Person>
            <b:Last>Shofer</b:Last>
            <b:First>S.</b:First>
          </b:Person>
          <b:Person>
            <b:Last>Kuschner</b:Last>
            <b:First>W.G.</b:First>
          </b:Person>
        </b:NameList>
      </b:Author>
    </b:Author>
    <b:Title>Outdoor air pollution: Nitrogen dioxide, sulphur dioxide, and carbon monoxide health effects</b:Title>
    <b:JournalName>American Journal of Medical Science</b:JournalName>
    <b:Year>2007</b:Year>
    <b:Pages>249-256</b:Pages>
    <b:Volume>333</b:Volume>
    <b:Issue>4</b:Issue>
    <b:RefOrder>341</b:RefOrder>
  </b:Source>
  <b:Source>
    <b:Tag>God04</b:Tag>
    <b:SourceType>Book</b:SourceType>
    <b:Guid>{241DF0C4-285F-45DA-B14F-2378B43EB67F}</b:Guid>
    <b:Author>
      <b:Author>
        <b:NameList>
          <b:Person>
            <b:Last>Godish</b:Last>
            <b:First>T.</b:First>
          </b:Person>
          <b:Person>
            <b:Last>Joshua</b:Last>
            <b:First>S.F.</b:First>
          </b:Person>
        </b:NameList>
      </b:Author>
    </b:Author>
    <b:Title>Air quality</b:Title>
    <b:Year>2004</b:Year>
    <b:City>London</b:City>
    <b:Publisher>Lewis Publishers, 4th Edition</b:Publisher>
    <b:RefOrder>342</b:RefOrder>
  </b:Source>
  <b:Source>
    <b:Tag>ORe91</b:Tag>
    <b:SourceType>JournalArticle</b:SourceType>
    <b:Guid>{D0404C9C-5377-4901-8C85-20648A0C935F}</b:Guid>
    <b:Author>
      <b:Author>
        <b:NameList>
          <b:Person>
            <b:Last>O'Regan</b:Last>
            <b:First>B.</b:First>
          </b:Person>
          <b:Person>
            <b:Last>Gratzel</b:Last>
            <b:First>M.</b:First>
          </b:Person>
        </b:NameList>
      </b:Author>
    </b:Author>
    <b:Title>A low-cost, high efficiency solar-cell based on dye-sensitized colloidal TiO2 films</b:Title>
    <b:JournalName>Nature</b:JournalName>
    <b:Year>1991</b:Year>
    <b:Pages>737-740</b:Pages>
    <b:Volume>353</b:Volume>
    <b:RefOrder>343</b:RefOrder>
  </b:Source>
  <b:Source>
    <b:Tag>Eij04</b:Tag>
    <b:SourceType>BookSection</b:SourceType>
    <b:Guid>{0719A5C4-FAD8-4CF2-9E10-9773B6C87408}</b:Guid>
    <b:Author>
      <b:Author>
        <b:NameList>
          <b:Person>
            <b:Last>Eijkeman</b:Last>
            <b:First>S.G.</b:First>
          </b:Person>
        </b:NameList>
      </b:Author>
      <b:BookAuthor>
        <b:NameList>
          <b:Person>
            <b:Last>Health</b:Last>
            <b:First>Finnish</b:First>
            <b:Middle>Institute of Occupational</b:Middle>
          </b:Person>
        </b:NameList>
      </b:BookAuthor>
    </b:Author>
    <b:Title>WHO and ILO joint effort on occupational health and safety in Africa</b:Title>
    <b:Year>2004</b:Year>
    <b:BookTitle>African Newsletter on Occupational Health and Safety 2004</b:BookTitle>
    <b:Pages>28-29</b:Pages>
    <b:City>Helsinki</b:City>
    <b:Publisher>Finnish Institute of Occupational Health</b:Publisher>
    <b:Volume>14(2)</b:Volume>
    <b:RefOrder>344</b:RefOrder>
  </b:Source>
  <b:Source>
    <b:Tag>Ony08</b:Tag>
    <b:SourceType>Report</b:SourceType>
    <b:Guid>{3DCA1088-8D35-43BF-93BE-D10D9185D152}</b:Guid>
    <b:Author>
      <b:Author>
        <b:NameList>
          <b:Person>
            <b:Last>Onyuka</b:Last>
            <b:First>N.A.</b:First>
          </b:Person>
        </b:NameList>
      </b:Author>
    </b:Author>
    <b:Title>Determinants of workers' utilization of occupational health and safety measures at Mumias Sugar Compant</b:Title>
    <b:Year>2008</b:Year>
    <b:City>Maseno</b:City>
    <b:Publisher>Maseno University</b:Publisher>
    <b:RefOrder>345</b:RefOrder>
  </b:Source>
  <b:Source>
    <b:Tag>Sar13</b:Tag>
    <b:SourceType>JournalArticle</b:SourceType>
    <b:Guid>{9839D7DC-94F2-47C8-AF2F-BB1629EB8A2D}</b:Guid>
    <b:Author>
      <b:Author>
        <b:NameList>
          <b:Person>
            <b:Last>Sardianou</b:Last>
            <b:First>E.</b:First>
          </b:Person>
          <b:Person>
            <b:Last>Genoudi</b:Last>
            <b:First>P.</b:First>
          </b:Person>
        </b:NameList>
      </b:Author>
    </b:Author>
    <b:Title>Which factors affect the willingness of consumers to adopt renewable energies?</b:Title>
    <b:JournalName>Renewable Energy</b:JournalName>
    <b:Year>2013</b:Year>
    <b:Pages>1-4</b:Pages>
    <b:Volume>57</b:Volume>
    <b:RefOrder>346</b:RefOrder>
  </b:Source>
  <b:Source>
    <b:Tag>Zha12</b:Tag>
    <b:SourceType>JournalArticle</b:SourceType>
    <b:Guid>{90826517-7AEA-4C3C-9398-B20DA86B475F}</b:Guid>
    <b:Author>
      <b:Author>
        <b:NameList>
          <b:Person>
            <b:Last>Zhai</b:Last>
            <b:First>P.</b:First>
          </b:Person>
          <b:Person>
            <b:Last>Williams</b:Last>
            <b:First>E.D.</b:First>
          </b:Person>
        </b:NameList>
      </b:Author>
    </b:Author>
    <b:Title>Analyzing consumer acceptance of photovoltaics (PV) using fuzzy logic model</b:Title>
    <b:JournalName>Renewable Energy</b:JournalName>
    <b:Year>2012</b:Year>
    <b:Pages>350-357</b:Pages>
    <b:Volume>41</b:Volume>
    <b:RefOrder>347</b:RefOrder>
  </b:Source>
  <b:Source>
    <b:Tag>Mac14</b:Tag>
    <b:SourceType>JournalArticle</b:SourceType>
    <b:Guid>{9A025A60-F7C8-42F6-8B7A-50333411D956}</b:Guid>
    <b:Author>
      <b:Author>
        <b:NameList>
          <b:Person>
            <b:Last>Macal</b:Last>
            <b:First>C.M.</b:First>
          </b:Person>
          <b:Person>
            <b:Last>Graziano</b:Last>
            <b:First>D.J.</b:First>
          </b:Person>
          <b:Person>
            <b:Last>Ozik</b:Last>
            <b:First>J.</b:First>
          </b:Person>
        </b:NameList>
      </b:Author>
    </b:Author>
    <b:Title>Modelling solar PV adoption: A social-behavoral agent-based framework</b:Title>
    <b:JournalName>Energy Market Prediction: Papers from the 2014 AAAI Symposium</b:JournalName>
    <b:Year>2014</b:Year>
    <b:Pages>24-31</b:Pages>
    <b:RefOrder>348</b:RefOrder>
  </b:Source>
  <b:Source>
    <b:Tag>Bal15</b:Tag>
    <b:SourceType>JournalArticle</b:SourceType>
    <b:Guid>{E611151B-6962-40D7-8E34-07B61134CF17}</b:Guid>
    <b:Author>
      <b:Author>
        <b:NameList>
          <b:Person>
            <b:Last>Balta-Ozkan</b:Last>
            <b:First>N,</b:First>
          </b:Person>
          <b:Person>
            <b:Last>Yildirim</b:Last>
            <b:First>J.</b:First>
          </b:Person>
          <b:Person>
            <b:Last>Connor</b:Last>
            <b:First>P.M.</b:First>
          </b:Person>
        </b:NameList>
      </b:Author>
    </b:Author>
    <b:Title>Regional distribution of photovoltaic development in the UK and its determinants: A spatial econometric approach</b:Title>
    <b:Year>2015</b:Year>
    <b:JournalName>Energy Economics</b:JournalName>
    <b:Pages>417-429</b:Pages>
    <b:Volume>51</b:Volume>
    <b:RefOrder>349</b:RefOrder>
  </b:Source>
  <b:Source>
    <b:Tag>Cra14</b:Tag>
    <b:SourceType>JournalArticle</b:SourceType>
    <b:Guid>{BC840DCD-0E0E-4381-9BC2-B8260FF50378}</b:Guid>
    <b:Author>
      <b:Author>
        <b:NameList>
          <b:Person>
            <b:Last>Crago</b:Last>
            <b:First>C.L.</b:First>
          </b:Person>
          <b:Person>
            <b:Last>Chernyakhovskiy</b:Last>
            <b:First>I.</b:First>
          </b:Person>
        </b:NameList>
      </b:Author>
    </b:Author>
    <b:Title>Solar PV technology adoption in the United States: An empirical investigation of State policy effectiveness</b:Title>
    <b:JournalName>AAEA 2014 Conference</b:JournalName>
    <b:Year>2014</b:Year>
    <b:Pages>1-21</b:Pages>
    <b:RefOrder>350</b:RefOrder>
  </b:Source>
  <b:Source>
    <b:Tag>Mut15</b:Tag>
    <b:SourceType>JournalArticle</b:SourceType>
    <b:Guid>{9B0F845A-69FB-4DA5-B37A-2A82CBC1EC72}</b:Guid>
    <b:Author>
      <b:Author>
        <b:NameList>
          <b:Person>
            <b:Last>Mutua</b:Last>
            <b:First>J.</b:First>
          </b:Person>
          <b:Person>
            <b:Last>Kimuyu</b:Last>
            <b:First>P.</b:First>
          </b:Person>
        </b:NameList>
      </b:Author>
    </b:Author>
    <b:Title>Exploring the odds for actual and desired adoption of solar energy in Kenya</b:Title>
    <b:JournalName>Environment for Development - Discussion Paper Series (EfD DP - 15-14)</b:JournalName>
    <b:Year>2015</b:Year>
    <b:Pages>1-23</b:Pages>
    <b:RefOrder>351</b:RefOrder>
  </b:Source>
  <b:Source>
    <b:Tag>Bol12</b:Tag>
    <b:SourceType>JournalArticle</b:SourceType>
    <b:Guid>{A6EEB0D1-012C-41E9-A3D4-CF6E8ED1ED1C}</b:Guid>
    <b:Author>
      <b:Author>
        <b:NameList>
          <b:Person>
            <b:Last>Bollinger</b:Last>
            <b:First>B.</b:First>
          </b:Person>
          <b:Person>
            <b:Last>Gillingam</b:Last>
            <b:First>K.</b:First>
          </b:Person>
        </b:NameList>
      </b:Author>
    </b:Author>
    <b:Title>Peer effects in the diffusion of solar photovoltaic panels</b:Title>
    <b:Year>2012</b:Year>
    <b:JournalName>Marketing Science</b:JournalName>
    <b:Pages>900-912</b:Pages>
    <b:Volume>31</b:Volume>
    <b:Issue>6</b:Issue>
    <b:RefOrder>352</b:RefOrder>
  </b:Source>
  <b:Source>
    <b:Tag>Chi02</b:Tag>
    <b:SourceType>BookSection</b:SourceType>
    <b:Guid>{2F1D06D2-664D-4778-9377-CD2B212F2B35}</b:Guid>
    <b:Author>
      <b:Author>
        <b:NameList>
          <b:Person>
            <b:Last>Chi</b:Last>
            <b:First>M.T.H.</b:First>
          </b:Person>
          <b:Person>
            <b:Last>Roscoe</b:Last>
            <b:First>R.D.</b:First>
          </b:Person>
        </b:NameList>
      </b:Author>
      <b:BookAuthor>
        <b:NameList>
          <b:Person>
            <b:Last>Limon</b:Last>
            <b:First>M.</b:First>
          </b:Person>
          <b:Person>
            <b:Last>(Eds)</b:Last>
            <b:First>L.</b:First>
            <b:Middle>Mason</b:Middle>
          </b:Person>
        </b:NameList>
      </b:BookAuthor>
    </b:Author>
    <b:Title>The process and challenges of conceptual change</b:Title>
    <b:Year>2002</b:Year>
    <b:Pages>3-27</b:Pages>
    <b:BookTitle>Reconsidering conceptual change issues in theory and pracice</b:BookTitle>
    <b:City>Netherlands</b:City>
    <b:Publisher>Kluwer Academic Publishers</b:Publisher>
    <b:RefOrder>353</b:RefOrder>
  </b:Source>
  <b:Source>
    <b:Tag>Ném13</b:Tag>
    <b:SourceType>ConferenceProceedings</b:SourceType>
    <b:Guid>{A7CD9AEC-BB36-4149-801B-E5608E51E9B6}</b:Guid>
    <b:Author>
      <b:Author>
        <b:NameList>
          <b:Person>
            <b:Last>Németh</b:Last>
            <b:First>P.</b:First>
          </b:Person>
          <b:Person>
            <b:Last>Jakopánecz</b:Last>
            <b:First>E.</b:First>
          </b:Person>
          <b:Person>
            <b:Last>Törőcsik</b:Last>
            <b:First>M.</b:First>
          </b:Person>
        </b:NameList>
      </b:Author>
    </b:Author>
    <b:Title>Gender attitudes about traditional and renewable energy resources</b:Title>
    <b:Year>2013</b:Year>
    <b:Pages>45-54</b:Pages>
    <b:ConferenceName>FIKUS Z'13 Symposium for Young Researchers</b:ConferenceName>
    <b:City>Hungary</b:City>
    <b:Publisher>Obuda University</b:Publisher>
    <b:RefOrder>354</b:RefOrder>
  </b:Source>
  <b:Source>
    <b:Tag>Köh11</b:Tag>
    <b:SourceType>Report</b:SourceType>
    <b:Guid>{4879A05D-8EB2-4150-8AA5-FCDDB14F9317}</b:Guid>
    <b:Author>
      <b:Author>
        <b:NameList>
          <b:Person>
            <b:Last>Köhlin</b:Last>
            <b:First>G.</b:First>
          </b:Person>
          <b:Person>
            <b:Last>Sills</b:Last>
            <b:First>E.O.</b:First>
          </b:Person>
          <b:Person>
            <b:Last>Pattanayak</b:Last>
            <b:First>S.K.</b:First>
          </b:Person>
          <b:Person>
            <b:Last>Wilfong</b:Last>
            <b:First>C.</b:First>
          </b:Person>
        </b:NameList>
      </b:Author>
    </b:Author>
    <b:Title>Energy, gender and development: Where are the linkages? Where is the evidence? - Social development working papers (Paper No. 125/August 2011)</b:Title>
    <b:Year>2011</b:Year>
    <b:Publisher>The World Bank</b:Publisher>
    <b:City>Washington, D.C.</b:City>
    <b:RefOrder>355</b:RefOrder>
  </b:Source>
  <b:Source>
    <b:Tag>McM08</b:Tag>
    <b:SourceType>Book</b:SourceType>
    <b:Guid>{C748A180-5713-40EA-8F6E-EECC279F8565}</b:Guid>
    <b:Author>
      <b:Author>
        <b:NameList>
          <b:Person>
            <b:Last>McManus</b:Last>
            <b:First>M.</b:First>
          </b:Person>
          <b:Person>
            <b:Last>McManus</b:Last>
            <b:First>H.</b:First>
          </b:Person>
        </b:NameList>
      </b:Author>
    </b:Author>
    <b:Title>Living together: Myths, risks and answers</b:Title>
    <b:Year>2008</b:Year>
    <b:Publisher>Howard Books/Simon&amp;Schuster</b:Publisher>
    <b:City>New York</b:City>
    <b:RefOrder>356</b:RefOrder>
  </b:Source>
  <b:Source>
    <b:Tag>Lan14</b:Tag>
    <b:SourceType>Report</b:SourceType>
    <b:Guid>{CC37560F-55FE-4000-ACF5-44B85AD8E86F}</b:Guid>
    <b:Author>
      <b:Author>
        <b:NameList>
          <b:Person>
            <b:Last>Langheim</b:Last>
            <b:First>R.</b:First>
          </b:Person>
          <b:Person>
            <b:Last>Arreola</b:Last>
            <b:First>G.</b:First>
          </b:Person>
          <b:Person>
            <b:Last>Reese</b:Last>
            <b:First>C.</b:First>
          </b:Person>
        </b:NameList>
      </b:Author>
    </b:Author>
    <b:Title>Energy efficiency motivations and actions of California solar homeowners</b:Title>
    <b:Year>2014</b:Year>
    <b:City>San Diego</b:City>
    <b:Publisher>Centre for Sustainable Energy</b:Publisher>
    <b:RefOrder>357</b:RefOrder>
  </b:Source>
  <b:Source>
    <b:Tag>Mic09</b:Tag>
    <b:SourceType>JournalArticle</b:SourceType>
    <b:Guid>{CF261C61-A02B-41F4-8D95-2869B8CC3682}</b:Guid>
    <b:Author>
      <b:Author>
        <b:NameList>
          <b:Person>
            <b:Last>Michaud</b:Last>
            <b:First>K.E.</b:First>
          </b:Person>
          <b:Person>
            <b:Last>Carlisle</b:Last>
            <b:First>J.E.</b:First>
          </b:Person>
          <b:Person>
            <b:Last>Smith</b:Last>
            <b:First>E.R.</b:First>
          </b:Person>
        </b:NameList>
      </b:Author>
    </b:Author>
    <b:Title>The relationship between cultural values and political ideology, and the role of political knowledge</b:Title>
    <b:Year>2009</b:Year>
    <b:JournalName>Political psychology</b:JournalName>
    <b:Pages>27-42</b:Pages>
    <b:Volume>30</b:Volume>
    <b:Issue>1</b:Issue>
    <b:RefOrder>358</b:RefOrder>
  </b:Source>
  <b:Source>
    <b:Tag>Wol63</b:Tag>
    <b:SourceType>JournalArticle</b:SourceType>
    <b:Guid>{263589A9-0215-4887-8CA3-DCC5FD0FEC27}</b:Guid>
    <b:Author>
      <b:Author>
        <b:NameList>
          <b:Person>
            <b:Last>Wolf</b:Last>
            <b:First>M.</b:First>
          </b:Person>
          <b:Person>
            <b:Last>Rauschenbacht</b:Last>
            <b:First>H.</b:First>
          </b:Person>
        </b:NameList>
      </b:Author>
    </b:Author>
    <b:Title>Series energy conversion</b:Title>
    <b:JournalName>Advanced Energy Conversion</b:JournalName>
    <b:Year>1963</b:Year>
    <b:Pages>455-479</b:Pages>
    <b:Volume>3</b:Volume>
    <b:RefOrder>359</b:RefOrder>
  </b:Source>
  <b:Source>
    <b:Tag>Rog05</b:Tag>
    <b:SourceType>Book</b:SourceType>
    <b:Guid>{25BC8964-0370-4209-AAAC-199A1439F340}</b:Guid>
    <b:Author>
      <b:Author>
        <b:NameList>
          <b:Person>
            <b:Last>Rogers</b:Last>
            <b:First>E.M.</b:First>
          </b:Person>
        </b:NameList>
      </b:Author>
    </b:Author>
    <b:Title>Diffision of innovations</b:Title>
    <b:Year>2005</b:Year>
    <b:City>New York</b:City>
    <b:Publisher>Free Press</b:Publisher>
    <b:RefOrder>360</b:RefOrder>
  </b:Source>
  <b:Source>
    <b:Tag>Zuc79</b:Tag>
    <b:SourceType>Book</b:SourceType>
    <b:Guid>{582A1BA6-26F3-41B5-B4B5-3CABAA916EB8}</b:Guid>
    <b:Author>
      <b:Author>
        <b:NameList>
          <b:Person>
            <b:Last>Zuckerman</b:Last>
            <b:First>M.</b:First>
          </b:Person>
        </b:NameList>
      </b:Author>
    </b:Author>
    <b:Title>Sensation seeking: Beyond the optimal level of arousal</b:Title>
    <b:Year>1979</b:Year>
    <b:City>Hillsdale NJ</b:City>
    <b:Publisher>Lawrence Erlbaum Associates, Publishers</b:Publisher>
    <b:RefOrder>361</b:RefOrder>
  </b:Source>
  <b:Source>
    <b:Tag>Gra14</b:Tag>
    <b:SourceType>JournalArticle</b:SourceType>
    <b:Guid>{13A4FFC5-8902-4CB5-BA7A-D7AE35076145}</b:Guid>
    <b:Author>
      <b:Author>
        <b:NameList>
          <b:Person>
            <b:Last>Graziano</b:Last>
            <b:First>M.</b:First>
          </b:Person>
          <b:Person>
            <b:Last>Gillingham</b:Last>
            <b:First>K.</b:First>
          </b:Person>
        </b:NameList>
      </b:Author>
    </b:Author>
    <b:Title>Spatial patterns of solar photovoltaic system adoption: The influence of neighbours and the built environment</b:Title>
    <b:Year>2014</b:Year>
    <b:JournalName>Journal of Economic Geography</b:JournalName>
    <b:Pages>DOI:10.1093/jeg/Ibu036</b:Pages>
    <b:RefOrder>362</b:RefOrder>
  </b:Source>
  <b:Source>
    <b:Tag>Duk02</b:Tag>
    <b:SourceType>JournalArticle</b:SourceType>
    <b:Guid>{7DD8B3E0-563F-4965-A12F-EA8AD6B39FA3}</b:Guid>
    <b:Author>
      <b:Author>
        <b:NameList>
          <b:Person>
            <b:Last>Duke</b:Last>
            <b:First>D.</b:First>
          </b:Person>
          <b:Person>
            <b:Last>Jacobsen</b:Last>
            <b:First>A.</b:First>
          </b:Person>
          <b:Person>
            <b:Last>Kammen</b:Last>
            <b:First>D.</b:First>
          </b:Person>
        </b:NameList>
      </b:Author>
    </b:Author>
    <b:Title>Photovoltaic module quality in the Kenyan Solar Home Systems market</b:Title>
    <b:JournalName>Energy Policy</b:JournalName>
    <b:Year>2002</b:Year>
    <b:Pages>477-499</b:Pages>
    <b:Volume>30</b:Volume>
    <b:RefOrder>363</b:RefOrder>
  </b:Source>
  <b:Source>
    <b:Tag>Kar03</b:Tag>
    <b:SourceType>JournalArticle</b:SourceType>
    <b:Guid>{59204396-7286-41F4-AEE9-B9036628CBE3}</b:Guid>
    <b:Author>
      <b:Author>
        <b:NameList>
          <b:Person>
            <b:Last>Karekezi</b:Last>
            <b:First>S.</b:First>
          </b:Person>
          <b:Person>
            <b:Last>Kithyoma</b:Last>
            <b:First>W.</b:First>
          </b:Person>
        </b:NameList>
      </b:Author>
    </b:Author>
    <b:Title>Renewable energy strategies for rural Africa: Is a PV-led renewable energy strategy the right approach for providing modern energy to the rural poor in Sub-Saharan Africa?</b:Title>
    <b:JournalName>Energy Policy</b:JournalName>
    <b:Year>2003</b:Year>
    <b:Pages>11-12</b:Pages>
    <b:Volume>30</b:Volume>
    <b:RefOrder>364</b:RefOrder>
  </b:Source>
  <b:Source>
    <b:Tag>Sil09</b:Tag>
    <b:SourceType>Report</b:SourceType>
    <b:Guid>{68AF0B14-CBBE-4883-8A85-20FA75E1EFC9}</b:Guid>
    <b:Author>
      <b:Author>
        <b:Corporate>Silicon Valley Toxics Coalition</b:Corporate>
      </b:Author>
    </b:Author>
    <b:Title>Toward a just and sustainable solar energy industry</b:Title>
    <b:Year>2009</b:Year>
    <b:Publisher>Silicon Valley Toxics Coalition</b:Publisher>
    <b:City>California, USA</b:City>
    <b:RefOrder>365</b:RefOrder>
  </b:Source>
  <b:Source>
    <b:Tag>Bja14</b:Tag>
    <b:SourceType>JournalArticle</b:SourceType>
    <b:Guid>{0A6E2F0B-9985-483B-AB72-BC108C747F13}</b:Guid>
    <b:Author>
      <b:Author>
        <b:NameList>
          <b:Person>
            <b:Last>Bjattacharya</b:Last>
            <b:First>T.</b:First>
          </b:Person>
          <b:Person>
            <b:Last>Chakraborty</b:Last>
            <b:First>A.K.</b:First>
          </b:Person>
          <b:Person>
            <b:Last>Pal</b:Last>
            <b:First>K.</b:First>
          </b:Person>
        </b:NameList>
      </b:Author>
    </b:Author>
    <b:Title>Effects of ambient temperature and wind speed on performance of monocrystalline solar photovoltaic module in Tripura, India</b:Title>
    <b:Year>2014</b:Year>
    <b:JournalName>Journal of Solar Energy</b:JournalName>
    <b:Pages>1-5</b:Pages>
    <b:RefOrder>366</b:RefOrder>
  </b:Source>
  <b:Source>
    <b:Tag>Man10</b:Tag>
    <b:SourceType>JournalArticle</b:SourceType>
    <b:Guid>{3B9AD485-9560-4762-AA54-4066377D47AA}</b:Guid>
    <b:Author>
      <b:Author>
        <b:NameList>
          <b:Person>
            <b:Last>Mani</b:Last>
            <b:First>M.</b:First>
          </b:Person>
          <b:Person>
            <b:Last>Pillai</b:Last>
            <b:First>R.</b:First>
          </b:Person>
        </b:NameList>
      </b:Author>
    </b:Author>
    <b:Title>Impact of dust on solar phorovoltaic (PV) performance: Research status, challenges and recommendations</b:Title>
    <b:JournalName>Renewable and Sustainable Energy Reviews</b:JournalName>
    <b:Year>2010</b:Year>
    <b:Pages>3124-3131</b:Pages>
    <b:Volume>14</b:Volume>
    <b:RefOrder>367</b:RefOrder>
  </b:Source>
  <b:Source>
    <b:Tag>Dub12</b:Tag>
    <b:SourceType>JournalArticle</b:SourceType>
    <b:Guid>{37ACBF02-188E-4501-9A48-841D3657EE06}</b:Guid>
    <b:Author>
      <b:Author>
        <b:NameList>
          <b:Person>
            <b:Last>Dubey</b:Last>
            <b:First>S.</b:First>
          </b:Person>
          <b:Person>
            <b:Last>Sarvaiya</b:Last>
            <b:First>J.N.</b:First>
          </b:Person>
          <b:Person>
            <b:Last>Seshadri</b:Last>
            <b:First>B.</b:First>
          </b:Person>
        </b:NameList>
      </b:Author>
    </b:Author>
    <b:Title>Temperature dependent phorovoltaic (PV) efficiency and its effect on PV production in the world - a review</b:Title>
    <b:JournalName>Energy Procedia</b:JournalName>
    <b:Year>2012</b:Year>
    <b:Pages>311-321</b:Pages>
    <b:Volume>33</b:Volume>
    <b:RefOrder>368</b:RefOrder>
  </b:Source>
  <b:Source>
    <b:Tag>Ett12</b:Tag>
    <b:SourceType>JournalArticle</b:SourceType>
    <b:Guid>{FB1543F3-F683-4BF1-9E16-78CB3215B2EE}</b:Guid>
    <b:Author>
      <b:Author>
        <b:NameList>
          <b:Person>
            <b:Last>Ettah</b:Last>
            <b:First>E.B.</b:First>
          </b:Person>
          <b:Person>
            <b:Last>Udoimuk</b:Last>
            <b:First>A.B.</b:First>
          </b:Person>
          <b:Person>
            <b:Last>Obiefuna</b:Last>
            <b:First>J.N.</b:First>
          </b:Person>
          <b:Person>
            <b:Last>Opara</b:Last>
            <b:First>F.E.</b:First>
          </b:Person>
        </b:NameList>
      </b:Author>
    </b:Author>
    <b:Title>The effect of relative humidity on the efficiency of solar panels in Calabar, Nigeria</b:Title>
    <b:JournalName>Universal Journal of Management and Social Sciences</b:JournalName>
    <b:Year>2012</b:Year>
    <b:Pages>8-11</b:Pages>
    <b:Volume>2</b:Volume>
    <b:Issue>3</b:Issue>
    <b:RefOrder>369</b:RefOrder>
  </b:Source>
  <b:Source>
    <b:Tag>Las90</b:Tag>
    <b:SourceType>Book</b:SourceType>
    <b:Guid>{20538076-177C-4794-8640-59AAD835E505}</b:Guid>
    <b:Author>
      <b:Author>
        <b:NameList>
          <b:Person>
            <b:Last>Lasnier</b:Last>
            <b:First>F.</b:First>
          </b:Person>
          <b:Person>
            <b:Last>Ang</b:Last>
            <b:First>T.G.</b:First>
          </b:Person>
        </b:NameList>
      </b:Author>
    </b:Author>
    <b:Title>Photovoltaic engineering handbook</b:Title>
    <b:Year>1990</b:Year>
    <b:City>Bristol</b:City>
    <b:Publisher>Adam Hilger</b:Publisher>
    <b:RefOrder>370</b:RefOrder>
  </b:Source>
  <b:Source>
    <b:Tag>Flo50</b:Tag>
    <b:SourceType>JournalArticle</b:SourceType>
    <b:Guid>{CD406094-CBD1-4132-92DD-C5E35286BCB1}</b:Guid>
    <b:Author>
      <b:Author>
        <b:NameList>
          <b:Person>
            <b:Last>Flohn</b:Last>
            <b:First>H.</b:First>
          </b:Person>
          <b:Person>
            <b:Last>Penndorf</b:Last>
            <b:First>R.</b:First>
          </b:Person>
        </b:NameList>
      </b:Author>
    </b:Author>
    <b:Title>The stratification of the atmosphere</b:Title>
    <b:JournalName>Bulletin of the American Meteorological Society</b:JournalName>
    <b:Year>1950</b:Year>
    <b:Pages>71-78 </b:Pages>
    <b:Volume>31</b:Volume>
    <b:Issue>3 and 4</b:Issue>
    <b:RefOrder>371</b:RefOrder>
  </b:Source>
  <b:Source>
    <b:Tag>Nem10</b:Tag>
    <b:SourceType>JournalArticle</b:SourceType>
    <b:Guid>{CA53B8E6-C5EE-4A8B-A3D5-1DD20C588478}</b:Guid>
    <b:Author>
      <b:Author>
        <b:NameList>
          <b:Person>
            <b:Last>Nemmar-Belhocine</b:Last>
            <b:First>F.</b:First>
          </b:Person>
          <b:Person>
            <b:Last>Belkaid</b:Last>
            <b:First>M.S.</b:First>
          </b:Person>
          <b:Person>
            <b:Last>Hatem</b:Last>
            <b:First>D.</b:First>
          </b:Person>
          <b:Person>
            <b:Last>Boughias</b:Last>
            <b:First>O.</b:First>
          </b:Person>
        </b:NameList>
      </b:Author>
    </b:Author>
    <b:Title>Temperature effect on the organic solar cells parameters</b:Title>
    <b:JournalName>International Journal of Chemical, Mulecular, Nuclear, Materials and Metallurgical Engineering</b:JournalName>
    <b:Year>2010</b:Year>
    <b:Pages>257-259</b:Pages>
    <b:Volume>4</b:Volume>
    <b:Issue>4</b:Issue>
    <b:RefOrder>372</b:RefOrder>
  </b:Source>
  <b:Source>
    <b:Tag>Cle52</b:Tag>
    <b:SourceType>JournalArticle</b:SourceType>
    <b:Guid>{F2927279-A589-4A00-B4ED-0CA4D54D0F91}</b:Guid>
    <b:Author>
      <b:Author>
        <b:NameList>
          <b:Person>
            <b:Last>Clement</b:Last>
            <b:First>J.</b:First>
          </b:Person>
          <b:Person>
            <b:Last>Quinnel</b:Last>
            <b:First>E.</b:First>
          </b:Person>
        </b:NameList>
      </b:Author>
    </b:Author>
    <b:Title>The Low Temperature Characteristics of Carbon Composition Thermometers</b:Title>
    <b:JournalName>Review of Scientific Instruments</b:JournalName>
    <b:Year>1952</b:Year>
    <b:Pages>213-216</b:Pages>
    <b:Volume>23</b:Volume>
    <b:Issue>5</b:Issue>
    <b:RefOrder>373</b:RefOrder>
  </b:Source>
  <b:Source>
    <b:Tag>Nof14</b:Tag>
    <b:SourceType>JournalArticle</b:SourceType>
    <b:Guid>{910AD67F-3E15-45AB-8B84-17B55147D241}</b:Guid>
    <b:Author>
      <b:Author>
        <b:NameList>
          <b:Person>
            <b:Last>Nofuentes</b:Last>
            <b:First>G.</b:First>
          </b:Person>
          <b:Person>
            <b:Last>Garcia-Domingo</b:Last>
            <b:First>B.</b:First>
          </b:Person>
          <b:Person>
            <b:Last>Munoz</b:Last>
            <b:First>J.V.</b:First>
          </b:Person>
          <b:Person>
            <b:Last>Chenlo</b:Last>
            <b:First>F.</b:First>
          </b:Person>
        </b:NameList>
      </b:Author>
    </b:Author>
    <b:JournalName>Applied Energy</b:JournalName>
    <b:Year>2014</b:Year>
    <b:Pages>302-309</b:Pages>
    <b:Volume>113</b:Volume>
    <b:RefOrder>374</b:RefOrder>
  </b:Source>
  <b:Source>
    <b:Tag>Sin08</b:Tag>
    <b:SourceType>JournalArticle</b:SourceType>
    <b:Guid>{97FC9592-36D1-47FD-8F7C-A999588FDD4B}</b:Guid>
    <b:Author>
      <b:Author>
        <b:NameList>
          <b:Person>
            <b:Last>Singh</b:Last>
            <b:First>P.</b:First>
          </b:Person>
          <b:Person>
            <b:Last>Singh</b:Last>
            <b:First>S.N.</b:First>
          </b:Person>
          <b:Person>
            <b:Last>Lal</b:Last>
            <b:First>M.</b:First>
          </b:Person>
          <b:Person>
            <b:Last>Husain</b:Last>
            <b:First>M.</b:First>
          </b:Person>
        </b:NameList>
      </b:Author>
    </b:Author>
    <b:Title>Teperature dependence of I-V characteristics and performance parameters of silicon solar cell</b:Title>
    <b:JournalName>Solar Energy Materials</b:JournalName>
    <b:Year>2008</b:Year>
    <b:Pages>1611-1616</b:Pages>
    <b:Volume>92</b:Volume>
    <b:RefOrder>375</b:RefOrder>
  </b:Source>
  <b:Source>
    <b:Tag>Wys60</b:Tag>
    <b:SourceType>JournalArticle</b:SourceType>
    <b:Guid>{372CF94E-44B7-403B-A1D4-E1D94E7FB504}</b:Guid>
    <b:Author>
      <b:Author>
        <b:NameList>
          <b:Person>
            <b:Last>Wysocki</b:Last>
            <b:First>J.J.</b:First>
          </b:Person>
          <b:Person>
            <b:Last>Rappaport</b:Last>
            <b:First>P.</b:First>
          </b:Person>
        </b:NameList>
      </b:Author>
    </b:Author>
    <b:Title>Effect of temperature on photovoltaic solar energy conversion</b:Title>
    <b:Year>1960</b:Year>
    <b:JournalName>Journal of Applied Physics</b:JournalName>
    <b:Pages>571-576</b:Pages>
    <b:Volume>31</b:Volume>
    <b:RefOrder>376</b:RefOrder>
  </b:Source>
  <b:Source>
    <b:Tag>Fan86</b:Tag>
    <b:SourceType>JournalArticle</b:SourceType>
    <b:Guid>{92618913-27AD-449B-B36A-D8439BDEBDED}</b:Guid>
    <b:Author>
      <b:Author>
        <b:NameList>
          <b:Person>
            <b:Last>Fan</b:Last>
            <b:First>J.C.C.</b:First>
          </b:Person>
        </b:NameList>
      </b:Author>
    </b:Author>
    <b:Title>Theoretical temperature dependence of solar cell parameters</b:Title>
    <b:JournalName>Solar Cells</b:JournalName>
    <b:Year>1986</b:Year>
    <b:Pages>309-315</b:Pages>
    <b:Volume>17</b:Volume>
    <b:RefOrder>377</b:RefOrder>
  </b:Source>
  <b:Source>
    <b:Tag>Lan04</b:Tag>
    <b:SourceType>ConferenceProceedings</b:SourceType>
    <b:Guid>{B38BB102-7765-4F84-AA05-F6BD45795E44}</b:Guid>
    <b:Author>
      <b:Author>
        <b:NameList>
          <b:Person>
            <b:Last>Landis</b:Last>
            <b:First>G.</b:First>
          </b:Person>
          <b:Person>
            <b:Last>Rafaelle</b:Last>
            <b:First>R.</b:First>
          </b:Person>
          <b:Person>
            <b:Last>Merritt</b:Last>
            <b:First>D.</b:First>
          </b:Person>
        </b:NameList>
      </b:Author>
    </b:Author>
    <b:Title>High temperature solar cell development</b:Title>
    <b:Year>2004</b:Year>
    <b:ConferenceName>19th European Photovoltaic Science and Engineering Conference, 7-11</b:ConferenceName>
    <b:City>Paris, France</b:City>
    <b:RefOrder>378</b:RefOrder>
  </b:Source>
  <b:Source>
    <b:Tag>Sin12</b:Tag>
    <b:SourceType>JournalArticle</b:SourceType>
    <b:Guid>{80F1A2DE-C377-4451-B491-6B7875A5D686}</b:Guid>
    <b:Author>
      <b:Author>
        <b:NameList>
          <b:Person>
            <b:Last>Singh</b:Last>
            <b:First>P.</b:First>
          </b:Person>
          <b:Person>
            <b:Last>Ravindra</b:Last>
            <b:First>N.M.</b:First>
          </b:Person>
        </b:NameList>
      </b:Author>
    </b:Author>
    <b:Title>Temperature dependence of solar cell performance - an analysis</b:Title>
    <b:Pages>36-45</b:Pages>
    <b:Year>2012</b:Year>
    <b:JournalName>Solar Energy Materials &amp; Solar Cells</b:JournalName>
    <b:Volume>101</b:Volume>
    <b:RefOrder>379</b:RefOrder>
  </b:Source>
  <b:Source>
    <b:Tag>Ibr11</b:Tag>
    <b:SourceType>JournalArticle</b:SourceType>
    <b:Guid>{C1D83156-DB96-4819-B740-5B7C9158F23D}</b:Guid>
    <b:Author>
      <b:Author>
        <b:NameList>
          <b:Person>
            <b:Last>Ibrahim</b:Last>
            <b:First>A.</b:First>
          </b:Person>
          <b:Person>
            <b:Last>Ramadhan</b:Last>
            <b:First>M.R.I.</b:First>
          </b:Person>
          <b:Person>
            <b:Last>About-Enein</b:Last>
            <b:First>S.</b:First>
          </b:Person>
          <b:Person>
            <b:Last>Elsebaii</b:Last>
            <b:First>A.A.</b:First>
          </b:Person>
          <b:Person>
            <b:Last>El-Broulley</b:Last>
            <b:First>S.M.</b:First>
          </b:Person>
        </b:NameList>
      </b:Author>
    </b:Author>
    <b:Title>Short circuit current Isc as a real non-destructive diagnostic tool of a photovoltaic module's performance</b:Title>
    <b:JournalName>International Journal of Renewable Energy Research</b:JournalName>
    <b:Year>2011</b:Year>
    <b:Pages>53-59</b:Pages>
    <b:Volume>1</b:Volume>
    <b:Issue>3</b:Issue>
    <b:RefOrder>380</b:RefOrder>
  </b:Source>
  <b:Source>
    <b:Tag>Now05</b:Tag>
    <b:SourceType>ConferenceProceedings</b:SourceType>
    <b:Guid>{99E13E3D-805B-404E-97F9-AE6A406F6AD5}</b:Guid>
    <b:Author>
      <b:Author>
        <b:NameList>
          <b:Person>
            <b:Last>Nowak</b:Last>
            <b:First>S.</b:First>
          </b:Person>
        </b:NameList>
      </b:Author>
    </b:Author>
    <b:Title>The IEA PVPS programme: Towards sustainable global development of PV</b:Title>
    <b:Year>2005</b:Year>
    <b:Pages>2827</b:Pages>
    <b:ConferenceName>20th European Photovoltaic Solar Energy Conference, June 6-10</b:ConferenceName>
    <b:City>Barcelona, Spain</b:City>
    <b:Volume>III of 3</b:Volume>
    <b:RefOrder>381</b:RefOrder>
  </b:Source>
  <b:Source>
    <b:Tag>Bau04</b:Tag>
    <b:SourceType>ConferenceProceedings</b:SourceType>
    <b:Guid>{13186E0D-7561-4503-BAC2-8ADA705DF152}</b:Guid>
    <b:Author>
      <b:Author>
        <b:NameList>
          <b:Person>
            <b:Last>Baumgartner</b:Last>
            <b:First>F.</b:First>
          </b:Person>
          <b:Person>
            <b:Last>Scholz</b:Last>
            <b:First>H.</b:First>
          </b:Person>
          <b:Person>
            <b:Last>Breu</b:Last>
            <b:First>A.</b:First>
          </b:Person>
          <b:Person>
            <b:Last>Roth</b:Last>
            <b:First>S.</b:First>
          </b:Person>
        </b:NameList>
      </b:Author>
    </b:Author>
    <b:Title>MPP voltage monitoring to optimize grid-connected system design rules</b:Title>
    <b:Year>2004</b:Year>
    <b:ConferenceName>19th European Photovoltaic Solar Energy Conference, June 7-11</b:ConferenceName>
    <b:City>Paris, France</b:City>
    <b:Volume>II of 3</b:Volume>
    <b:RefOrder>382</b:RefOrder>
  </b:Source>
  <b:Source>
    <b:Tag>Sch05</b:Tag>
    <b:SourceType>ConferenceProceedings</b:SourceType>
    <b:Guid>{134DD822-6260-4E83-A5E2-32826BF3904B}</b:Guid>
    <b:Author>
      <b:Author>
        <b:NameList>
          <b:Person>
            <b:Last>Scholz</b:Last>
            <b:First>H.</b:First>
          </b:Person>
        </b:NameList>
      </b:Author>
    </b:Author>
    <b:Title>Better clues to losses and performance of PV systems through comparative surface plots over time axis</b:Title>
    <b:Pages>2167</b:Pages>
    <b:Year>2005</b:Year>
    <b:ConferenceName>20th European Photovoltaic Solar Energy Conference, June 6-10</b:ConferenceName>
    <b:City>Barcelona, Spain</b:City>
    <b:Volume>III of 3</b:Volume>
    <b:RefOrder>383</b:RefOrder>
  </b:Source>
  <b:Source>
    <b:Tag>Omu09</b:Tag>
    <b:SourceType>JournalArticle</b:SourceType>
    <b:Guid>{E4E89DDF-DF34-4362-9AD4-6287439958E4}</b:Guid>
    <b:Author>
      <b:Author>
        <b:NameList>
          <b:Person>
            <b:Last>Omubo-Pepple</b:Last>
            <b:First>V.B.</b:First>
          </b:Person>
          <b:Person>
            <b:Last>Israel-Cookey</b:Last>
            <b:First>C.</b:First>
          </b:Person>
          <b:Person>
            <b:Last>Alaminokuma</b:Last>
            <b:First>G.I.</b:First>
          </b:Person>
        </b:NameList>
      </b:Author>
    </b:Author>
    <b:Title>Effects of temperature, solar flux and relative humidity on the efficient conversion of solar energy to electricity</b:Title>
    <b:Pages>173-180</b:Pages>
    <b:Year>2009</b:Year>
    <b:JournalName>European Journal of Scientific Research</b:JournalName>
    <b:Volume>35</b:Volume>
    <b:Issue>2</b:Issue>
    <b:RefOrder>384</b:RefOrder>
  </b:Source>
  <b:Source>
    <b:Tag>Var67</b:Tag>
    <b:SourceType>JournalArticle</b:SourceType>
    <b:Guid>{9AEFE22C-4C9C-4B46-9EB8-F929A356A19A}</b:Guid>
    <b:Author>
      <b:Author>
        <b:NameList>
          <b:Person>
            <b:Last>Varshni</b:Last>
            <b:First>Y.P.</b:First>
          </b:Person>
        </b:NameList>
      </b:Author>
    </b:Author>
    <b:Title>Temperature dependence of the energy gap in semiconductors</b:Title>
    <b:JournalName>Physica</b:JournalName>
    <b:Year>1967</b:Year>
    <b:Pages>149-154</b:Pages>
    <b:Volume>34</b:Volume>
    <b:RefOrder>385</b:RefOrder>
  </b:Source>
  <b:Source>
    <b:Tag>Rav79</b:Tag>
    <b:SourceType>JournalArticle</b:SourceType>
    <b:Guid>{11CEE48A-D886-462E-9174-F37C4DACFE6D}</b:Guid>
    <b:Author>
      <b:Author>
        <b:NameList>
          <b:Person>
            <b:Last>Ravindra</b:Last>
            <b:First>N.M.</b:First>
          </b:Person>
          <b:Person>
            <b:Last>Srivastara</b:Last>
            <b:First>V.K.</b:First>
          </b:Person>
        </b:NameList>
      </b:Author>
    </b:Author>
    <b:Title>Temperature dependence of the energy gap in semiconductors</b:Title>
    <b:JournalName>Journal of Physics and Chemistry of Solids</b:JournalName>
    <b:Year>1979</b:Year>
    <b:Pages>791-793</b:Pages>
    <b:Volume>40</b:Volume>
    <b:RefOrder>386</b:RefOrder>
  </b:Source>
  <b:Source>
    <b:Tag>Pȁs99</b:Tag>
    <b:SourceType>JournalArticle</b:SourceType>
    <b:Guid>{712A743F-1DE5-4F43-913E-929E3D2DE758}</b:Guid>
    <b:Author>
      <b:Author>
        <b:NameList>
          <b:Person>
            <b:Last>Pȁ ssler</b:Last>
            <b:First>R.</b:First>
          </b:Person>
        </b:NameList>
      </b:Author>
    </b:Author>
    <b:Title>Parameter sets due to fittings of the temperature dependencies of fundamental band gaps in semiconductors</b:Title>
    <b:JournalName>Physica Status Solidi (b)</b:JournalName>
    <b:Year>1999</b:Year>
    <b:Pages>975-1007</b:Pages>
    <b:Volume>216</b:Volume>
    <b:RefOrder>387</b:RefOrder>
  </b:Source>
  <b:Source>
    <b:Tag>OR91</b:Tag>
    <b:SourceType>JournalArticle</b:SourceType>
    <b:Guid>{D5773682-AFD6-408F-A0EA-4E835F6B15E2}</b:Guid>
    <b:Author>
      <b:Author>
        <b:NameList>
          <b:Person>
            <b:Last>O’Regan</b:Last>
            <b:First>B.</b:First>
          </b:Person>
          <b:Person>
            <b:Last>Grätzel</b:Last>
            <b:First>M.</b:First>
          </b:Person>
        </b:NameList>
      </b:Author>
    </b:Author>
    <b:Title>A Low-Cost, High Efficiency Solar Cell Based on Dye-Sensitised Colloidal TiO2 Films </b:Title>
    <b:JournalName>Nature</b:JournalName>
    <b:Year>1991</b:Year>
    <b:Pages>737-739</b:Pages>
    <b:Volume>353</b:Volume>
    <b:RefOrder>388</b:RefOrder>
  </b:Source>
  <b:Source>
    <b:Tag>Sho61</b:Tag>
    <b:SourceType>JournalArticle</b:SourceType>
    <b:Guid>{9B2B215D-83B5-467D-82FA-5C71FF2A8DB1}</b:Guid>
    <b:Author>
      <b:Author>
        <b:NameList>
          <b:Person>
            <b:Last>Shockley</b:Last>
            <b:First>W.</b:First>
          </b:Person>
          <b:Person>
            <b:Last>Quiesser</b:Last>
            <b:First>H.J.</b:First>
          </b:Person>
        </b:NameList>
      </b:Author>
    </b:Author>
    <b:Title>Detailed balance limit of efficiency of p-n junction solar cells</b:Title>
    <b:Year>1961</b:Year>
    <b:JournalName>Journal of Applied Physics</b:JournalName>
    <b:Pages>510</b:Pages>
    <b:Volume>32</b:Volume>
    <b:RefOrder>389</b:RefOrder>
  </b:Source>
  <b:Source>
    <b:Tag>Cha54</b:Tag>
    <b:SourceType>JournalArticle</b:SourceType>
    <b:Guid>{EFC1355D-2D17-42C5-A502-50508836E644}</b:Guid>
    <b:Author>
      <b:Author>
        <b:NameList>
          <b:Person>
            <b:Last>Chapin</b:Last>
            <b:First>D.</b:First>
          </b:Person>
          <b:Person>
            <b:Last>Fuller</b:Last>
            <b:First>C.</b:First>
          </b:Person>
          <b:Person>
            <b:Last>Pearson</b:Last>
            <b:First>G.</b:First>
          </b:Person>
        </b:NameList>
      </b:Author>
    </b:Author>
    <b:Title>A new p-n silicon junction photocell for converting solar radiation into electrical power</b:Title>
    <b:Year>1954</b:Year>
    <b:JournalName>Journal of Applied Physics</b:JournalName>
    <b:Pages>676-677</b:Pages>
    <b:Volume>25</b:Volume>
    <b:RefOrder>390</b:RefOrder>
  </b:Source>
  <b:Source>
    <b:Tag>Cra12</b:Tag>
    <b:SourceType>JournalArticle</b:SourceType>
    <b:Guid>{8918DD3A-6ADE-4E70-BA60-FAA96D6EC278}</b:Guid>
    <b:Author>
      <b:Author>
        <b:NameList>
          <b:Person>
            <b:Last>Crain</b:Last>
            <b:First>D.</b:First>
          </b:Person>
          <b:Person>
            <b:Last>Garland</b:Last>
            <b:First>J.</b:First>
          </b:Person>
          <b:Person>
            <b:Last>Rock</b:Last>
            <b:First>S.</b:First>
          </b:Person>
          <b:Person>
            <b:Last>Roy</b:Last>
            <b:First>D.</b:First>
          </b:Person>
        </b:NameList>
      </b:Author>
    </b:Author>
    <b:Title>Quantitative characterization of silicon solar cells in the electro-analytical approach: Combined measurements of temperature and voltage dependent parameters</b:Title>
    <b:Year>2012</b:Year>
    <b:JournalName>Analytical Methods</b:JournalName>
    <b:Pages>106-117</b:Pages>
    <b:Volume>4</b:Volume>
    <b:RefOrder>391</b:RefOrder>
  </b:Source>
  <b:Source>
    <b:Tag>Kin00</b:Tag>
    <b:SourceType>Report</b:SourceType>
    <b:Guid>{A26FF452-03FB-4FB6-AE39-ED6406CE430C}</b:Guid>
    <b:Author>
      <b:Author>
        <b:NameList>
          <b:Person>
            <b:Last>King</b:Last>
            <b:First>D.</b:First>
          </b:Person>
          <b:Person>
            <b:Last>Kratochvil</b:Last>
            <b:First>A.</b:First>
          </b:Person>
          <b:Person>
            <b:Last>Boyson</b:Last>
            <b:First>W.</b:First>
          </b:Person>
        </b:NameList>
      </b:Author>
    </b:Author>
    <b:Title>Stabilization and performance characteristics of commercial a-Si PV modules</b:Title>
    <b:Year>2000</b:Year>
    <b:Publisher>Sandia National Laboratories</b:Publisher>
    <b:City>Albuquerque, NM</b:City>
    <b:Pages>87185, 1-5</b:Pages>
    <b:RefOrder>392</b:RefOrder>
  </b:Source>
  <b:Source>
    <b:Tag>Ugw12</b:Tag>
    <b:SourceType>JournalArticle</b:SourceType>
    <b:Guid>{576F14C8-C8BD-40BE-B0CF-B9D770F08C18}</b:Guid>
    <b:Author>
      <b:Author>
        <b:NameList>
          <b:Person>
            <b:Last>Ugwoke</b:Last>
            <b:First>P.</b:First>
          </b:Person>
        </b:NameList>
      </b:Author>
    </b:Author>
    <b:Title>Performance assessment of three different PV modules as a function of solar insolation in South Eastern Nigeria</b:Title>
    <b:Year>2012</b:Year>
    <b:JournalName>International Journal of Applied Science and Technology</b:JournalName>
    <b:Pages>319-327</b:Pages>
    <b:Volume>2</b:Volume>
    <b:Issue>3</b:Issue>
    <b:RefOrder>393</b:RefOrder>
  </b:Source>
  <b:Source>
    <b:Tag>His94</b:Tag>
    <b:SourceType>JournalArticle</b:SourceType>
    <b:Guid>{2961D053-732B-4157-AA1A-68CBAAE5EF16}</b:Guid>
    <b:Author>
      <b:Author>
        <b:NameList>
          <b:Person>
            <b:Last>Hishikawa</b:Last>
            <b:First>Y.</b:First>
          </b:Person>
          <b:Person>
            <b:Last>Okamoto</b:Last>
            <b:First>S.</b:First>
          </b:Person>
        </b:NameList>
      </b:Author>
    </b:Author>
    <b:Title>Dependence of the I-V characteristics of a-Si solar cells on illumination intensity and temperature</b:Title>
    <b:JournalName>Solar Energy Materials and Solar Cells</b:JournalName>
    <b:Year>1994</b:Year>
    <b:Pages>157-168</b:Pages>
    <b:Volume>33</b:Volume>
    <b:Issue>2</b:Issue>
    <b:RefOrder>394</b:RefOrder>
  </b:Source>
  <b:Source>
    <b:Tag>Mul09</b:Tag>
    <b:SourceType>Report</b:SourceType>
    <b:Guid>{CD9C9E62-27DC-4519-A248-D2C2CDDF3213}</b:Guid>
    <b:Author>
      <b:Author>
        <b:NameList>
          <b:Person>
            <b:Last>Mulvaney</b:Last>
            <b:First>D.,</b:First>
            <b:Middle>Bolam, V., Cendejas, M., Davis, S., Oruelas, L., Kim, S., Mau, S., Rowan, W.</b:Middle>
          </b:Person>
          <b:Person>
            <b:Last>Sanz</b:Last>
            <b:First>E.</b:First>
          </b:Person>
          <b:Person>
            <b:Last>Satre</b:Last>
            <b:First>P.</b:First>
          </b:Person>
          <b:Person>
            <b:Last>Sridhar</b:Last>
            <b:First>A.</b:First>
          </b:Person>
          <b:Person>
            <b:Last>Young</b:Last>
            <b:First>D.</b:First>
          </b:Person>
        </b:NameList>
      </b:Author>
    </b:Author>
    <b:Title>Towards a Just and Sustainable Solar Industry</b:Title>
    <b:Year>2009</b:Year>
    <b:Publisher>Silicon Valley Toxics Coalition</b:Publisher>
    <b:City>New York</b:City>
    <b:RefOrder>395</b:RefOrder>
  </b:Source>
  <b:Source>
    <b:Tag>Men00</b:Tag>
    <b:SourceType>JournalArticle</b:SourceType>
    <b:Guid>{35CCF973-C4B4-4C58-8C65-AB6FD2123503}</b:Guid>
    <b:Author>
      <b:Author>
        <b:NameList>
          <b:Person>
            <b:Last>Meng</b:Last>
            <b:First>F.</b:First>
          </b:Person>
          <b:Person>
            <b:Last>Sun</b:Last>
            <b:First>T.</b:First>
          </b:Person>
          <b:Person>
            <b:Last>Cui</b:Last>
            <b:First>R.</b:First>
          </b:Person>
        </b:NameList>
      </b:Author>
    </b:Author>
    <b:Title>Recombination properties of grain boundaries in polycrystalline silicon under illumination</b:Title>
    <b:JournalName>Semiconductor Science and Technology</b:JournalName>
    <b:Year>2000</b:Year>
    <b:Pages>926.</b:Pages>
    <b:Volume>15</b:Volume>
    <b:Issue>9</b:Issue>
    <b:RefOrder>396</b:RefOrder>
  </b:Source>
  <b:Source>
    <b:Tag>Bir97</b:Tag>
    <b:SourceType>JournalArticle</b:SourceType>
    <b:Guid>{7C6EFF65-3887-4CEA-991E-4372B2374A3F}</b:Guid>
    <b:Author>
      <b:Author>
        <b:NameList>
          <b:Person>
            <b:Last>Birkmire</b:Last>
            <b:First>R.</b:First>
          </b:Person>
          <b:Person>
            <b:Last>Eser</b:Last>
            <b:First>E.</b:First>
            <b:Middle>(1997), Polycrystalline Thin-Film Solar Cells: Present Status and Future Potential</b:Middle>
          </b:Person>
        </b:NameList>
      </b:Author>
    </b:Author>
    <b:Title>Polycrystalline thin-film solar cells: present status and future potential</b:Title>
    <b:JournalName>Annual Review of Materials Science</b:JournalName>
    <b:Year>1997</b:Year>
    <b:Pages>625</b:Pages>
    <b:Volume>27</b:Volume>
    <b:RefOrder>397</b:RefOrder>
  </b:Source>
  <b:Source>
    <b:Tag>Cus63</b:Tag>
    <b:SourceType>JournalArticle</b:SourceType>
    <b:Guid>{9CBA60EE-14BD-432F-84EF-7B28E55E7A45}</b:Guid>
    <b:Author>
      <b:Author>
        <b:NameList>
          <b:Person>
            <b:Last>Cusano</b:Last>
            <b:First>D.</b:First>
          </b:Person>
        </b:NameList>
      </b:Author>
    </b:Author>
    <b:Title>CdTe Solar Cells and Photovoltaic Heterojunctions in II – VI Compounds</b:Title>
    <b:JournalName>Solid State Electronics</b:JournalName>
    <b:Year>1963</b:Year>
    <b:Pages>217.</b:Pages>
    <b:Volume>6</b:Volume>
    <b:Issue>3</b:Issue>
    <b:RefOrder>398</b:RefOrder>
  </b:Source>
  <b:Source>
    <b:Tag>Kaz76</b:Tag>
    <b:SourceType>JournalArticle</b:SourceType>
    <b:Guid>{3B810315-48DA-45F3-8810-2B914A8A3888}</b:Guid>
    <b:Author>
      <b:Author>
        <b:NameList>
          <b:Person>
            <b:Last>Kazmerski</b:Last>
            <b:First>L.</b:First>
          </b:Person>
          <b:Person>
            <b:Last>White</b:Last>
            <b:First>F.</b:First>
          </b:Person>
          <b:Person>
            <b:Last>Morgan</b:Last>
            <b:First>G.</b:First>
          </b:Person>
        </b:NameList>
      </b:Author>
    </b:Author>
    <b:Title>Thin-Film CuInSe2-CdS Heterojunction Solar Cells</b:Title>
    <b:JournalName>Applied Physics Letters</b:JournalName>
    <b:Year>1976</b:Year>
    <b:Pages>268.</b:Pages>
    <b:Volume>29</b:Volume>
    <b:Issue>4</b:Issue>
    <b:RefOrder>399</b:RefOrder>
  </b:Source>
  <b:Source>
    <b:Tag>Pur11</b:Tag>
    <b:SourceType>JournalArticle</b:SourceType>
    <b:Guid>{10AC4207-BC48-4EB1-B187-C25D7F322110}</b:Guid>
    <b:Author>
      <b:Author>
        <b:NameList>
          <b:Person>
            <b:Last>Purnima</b:Last>
            <b:First>T.</b:First>
          </b:Person>
          <b:Person>
            <b:Last>Ruberu</b:Last>
            <b:First>A.</b:First>
          </b:Person>
          <b:Person>
            <b:Last>Vela</b:Last>
            <b:First>J.</b:First>
          </b:Person>
        </b:NameList>
      </b:Author>
    </b:Author>
    <b:Title>Expanding the one-dimensional CdS-CdSe composition landscape: axially anisotropic CdS1-xSex nanorods</b:Title>
    <b:JournalName>ACS Nano</b:JournalName>
    <b:Year>2011</b:Year>
    <b:Pages>5775-5784</b:Pages>
    <b:Volume>5</b:Volume>
    <b:Issue>7</b:Issue>
    <b:RefOrder>400</b:RefOrder>
  </b:Source>
  <b:Source>
    <b:Tag>Pat09</b:Tag>
    <b:SourceType>JournalArticle</b:SourceType>
    <b:Guid>{FB8ED12D-7915-45DE-9178-B43E006888A4}</b:Guid>
    <b:Author>
      <b:Author>
        <b:NameList>
          <b:Person>
            <b:Last>Patel</b:Last>
            <b:First>K.</b:First>
          </b:Person>
          <b:Person>
            <b:Last>Jani</b:Last>
            <b:First>M.</b:First>
          </b:Person>
          <b:Person>
            <b:Last>Pathak</b:Last>
            <b:First>V.</b:First>
          </b:Person>
          <b:Person>
            <b:Last>Srivastava</b:Last>
            <b:First>R.</b:First>
          </b:Person>
        </b:NameList>
      </b:Author>
    </b:Author>
    <b:Title>Deposition of CdSe Thin Films by Thermal Evaporation and their Structural and Optical Properties</b:Title>
    <b:JournalName>Chalcogenide Letters</b:JournalName>
    <b:Year>2009</b:Year>
    <b:Pages>279 – 286.</b:Pages>
    <b:Volume>6</b:Volume>
    <b:Issue>6</b:Issue>
    <b:RefOrder>401</b:RefOrder>
  </b:Source>
  <b:Source>
    <b:Tag>Ben06</b:Tag>
    <b:SourceType>JournalArticle</b:SourceType>
    <b:Guid>{5482DF5D-D2DE-4750-872F-937C45ACD51C}</b:Guid>
    <b:Author>
      <b:Author>
        <b:NameList>
          <b:Person>
            <b:Last>Benanti</b:Last>
            <b:First>T.</b:First>
          </b:Person>
          <b:Person>
            <b:Last>Venkataraman</b:Last>
            <b:First>D.</b:First>
          </b:Person>
        </b:NameList>
      </b:Author>
    </b:Author>
    <b:Title>Organic Solar Cells: An Overview Focusing on Active Layer Morphology</b:Title>
    <b:Year>2006</b:Year>
    <b:JournalName>Photosynthesis Research</b:JournalName>
    <b:Pages>73</b:Pages>
    <b:Volume>87</b:Volume>
    <b:Issue>1</b:Issue>
    <b:RefOrder>402</b:RefOrder>
  </b:Source>
  <b:Source>
    <b:Tag>Had11</b:Tag>
    <b:SourceType>JournalArticle</b:SourceType>
    <b:Guid>{6A50FDCB-5B13-45F5-80B6-46DDB32F47FC}</b:Guid>
    <b:Author>
      <b:Author>
        <b:NameList>
          <b:Person>
            <b:Last>Hadipour</b:Last>
            <b:First>A.</b:First>
          </b:Person>
          <b:Person>
            <b:Last>Cheyns</b:Last>
            <b:First>D.</b:First>
          </b:Person>
          <b:Person>
            <b:Last>Heremans</b:Last>
            <b:First>P.</b:First>
          </b:Person>
          <b:Person>
            <b:Last>Rand</b:Last>
            <b:First>B.</b:First>
          </b:Person>
        </b:NameList>
      </b:Author>
    </b:Author>
    <b:Title>Electrode considerations for the optical enhancement of organic bulk heterojunction solar cells</b:Title>
    <b:JournalName>Advanced Energy Materials</b:JournalName>
    <b:Year>2011</b:Year>
    <b:Pages>930-935</b:Pages>
    <b:Volume>1</b:Volume>
    <b:Issue>5</b:Issue>
    <b:RefOrder>403</b:RefOrder>
  </b:Source>
  <b:Source>
    <b:Tag>Tho08</b:Tag>
    <b:SourceType>JournalArticle</b:SourceType>
    <b:Guid>{21D8C3F0-1A03-43EA-BD3E-5BCD4B1AA2E8}</b:Guid>
    <b:Author>
      <b:Author>
        <b:NameList>
          <b:Person>
            <b:Last>Thompson</b:Last>
            <b:First>B.</b:First>
          </b:Person>
          <b:Person>
            <b:Last>Frѐchet</b:Last>
            <b:First>J.</b:First>
          </b:Person>
        </b:NameList>
      </b:Author>
    </b:Author>
    <b:Title>Polymer-Fullerene Composite Solar Cells</b:Title>
    <b:JournalName>Angewandle Chemie</b:JournalName>
    <b:Year>2008</b:Year>
    <b:Pages>58-77</b:Pages>
    <b:Volume>47</b:Volume>
    <b:RefOrder>404</b:RefOrder>
  </b:Source>
  <b:Source>
    <b:Tag>Tad11</b:Tag>
    <b:SourceType>JournalArticle</b:SourceType>
    <b:Guid>{A3B312FE-3D32-42A5-AD97-FBBE2C95E753}</b:Guid>
    <b:Author>
      <b:Author>
        <b:NameList>
          <b:Person>
            <b:Last>Tada</b:Last>
            <b:First>A.</b:First>
          </b:Person>
          <b:Person>
            <b:Last>Geng</b:Last>
            <b:First>Y.</b:First>
          </b:Person>
          <b:Person>
            <b:Last>Wei</b:Last>
            <b:First>Q.</b:First>
          </b:Person>
          <b:Person>
            <b:Last>Hashimoto</b:Last>
            <b:First>K.</b:First>
          </b:Person>
          <b:Person>
            <b:Last>Tajima</b:Last>
            <b:First>K.</b:First>
          </b:Person>
        </b:NameList>
      </b:Author>
    </b:Author>
    <b:Title>Tailoring Organic Heterojunction Interfaces in Bilayer Polymer PV Devices</b:Title>
    <b:JournalName>Nature Materials</b:JournalName>
    <b:Year>2011</b:Year>
    <b:Pages>450 – 455.</b:Pages>
    <b:Volume>10</b:Volume>
    <b:RefOrder>405</b:RefOrder>
  </b:Source>
  <b:Source>
    <b:Tag>Grä08</b:Tag>
    <b:SourceType>BookSection</b:SourceType>
    <b:Guid>{96456EED-7D07-4F37-9210-7D6F2872730C}</b:Guid>
    <b:Author>
      <b:Author>
        <b:NameList>
          <b:Person>
            <b:Last>Grätzel</b:Last>
            <b:First>M.</b:First>
          </b:Person>
          <b:Person>
            <b:Last>Durrant</b:Last>
            <b:First>J.</b:First>
          </b:Person>
        </b:NameList>
      </b:Author>
      <b:BookAuthor>
        <b:NameList>
          <b:Person>
            <b:Last>Mary</b:Last>
            <b:First>D.</b:First>
            <b:Middle>and Arthur, J. (Eds)</b:Middle>
          </b:Person>
        </b:NameList>
      </b:BookAuthor>
    </b:Author>
    <b:Title>Dye-sensitized mesoscopic solar cells</b:Title>
    <b:Year>2008</b:Year>
    <b:Pages>503-536</b:Pages>
    <b:Publisher>Imperial College Press</b:Publisher>
    <b:City>Norzik</b:City>
    <b:BookTitle>Series on photoconversion of solar energy Vol. 3: nanostructured and photoelectrochemical systems for solar Photon conversion</b:BookTitle>
    <b:RefOrder>406</b:RefOrder>
  </b:Source>
  <b:Source>
    <b:Tag>Fer98</b:Tag>
    <b:SourceType>JournalArticle</b:SourceType>
    <b:Guid>{CFC0EF60-F7BA-44E5-A493-50EBD8C83232}</b:Guid>
    <b:Author>
      <b:Author>
        <b:NameList>
          <b:Person>
            <b:Last>Ferber</b:Last>
            <b:First>J.</b:First>
          </b:Person>
          <b:Person>
            <b:Last>Stangl</b:Last>
            <b:First>R.</b:First>
          </b:Person>
          <b:Person>
            <b:Last>Luther</b:Last>
            <b:First>G.</b:First>
          </b:Person>
        </b:NameList>
      </b:Author>
    </b:Author>
    <b:Title>An Electrical Model of the Dye-Sensitized Solar Cell</b:Title>
    <b:JournalName>Solar Energy Materials and Solar Cells</b:JournalName>
    <b:Year>1998</b:Year>
    <b:Pages>29</b:Pages>
    <b:Volume>53</b:Volume>
    <b:RefOrder>407</b:RefOrder>
  </b:Source>
  <b:Source>
    <b:Tag>Red14</b:Tag>
    <b:SourceType>JournalArticle</b:SourceType>
    <b:Guid>{A2036847-F3D5-456D-ACA6-74EBBE5E4760}</b:Guid>
    <b:Author>
      <b:Author>
        <b:NameList>
          <b:Person>
            <b:Last>Reddy</b:Last>
            <b:First>K.G.</b:First>
          </b:Person>
          <b:Person>
            <b:Last>Deepak</b:Last>
            <b:First>T.G.</b:First>
          </b:Person>
          <b:Person>
            <b:Last>Anjusree</b:Last>
            <b:First>G.S.</b:First>
          </b:Person>
          <b:Person>
            <b:Last>Thomas</b:Last>
            <b:First>S.</b:First>
          </b:Person>
          <b:Person>
            <b:Last>Vadukumpully</b:Last>
            <b:First>S.</b:First>
          </b:Person>
          <b:Person>
            <b:Last>Subramanian</b:Last>
            <b:First>K.R.V.</b:First>
          </b:Person>
          <b:Person>
            <b:Last>Nair</b:Last>
            <b:First>S.V.</b:First>
          </b:Person>
          <b:Person>
            <b:Last>Nair</b:Last>
            <b:First>A.S.</b:First>
          </b:Person>
        </b:NameList>
      </b:Author>
    </b:Author>
    <b:Title>On global energy scenario, dye sensitized solar cells and the promise of nanotechnology</b:Title>
    <b:Year>2014</b:Year>
    <b:JournalName>Physical Chemistry Chemical Physics</b:JournalName>
    <b:Pages>6838-6858</b:Pages>
    <b:Volume>16</b:Volume>
    <b:Issue>15</b:Issue>
    <b:RefOrder>408</b:RefOrder>
  </b:Source>
  <b:Source>
    <b:Tag>Kal06</b:Tag>
    <b:SourceType>JournalArticle</b:SourceType>
    <b:Guid>{E49177B2-C4C4-4B6F-8481-FCE4D8EC0B9C}</b:Guid>
    <b:Author>
      <b:Author>
        <b:NameList>
          <b:Person>
            <b:Last>Kalaignan</b:Last>
            <b:First>G.</b:First>
          </b:Person>
          <b:Person>
            <b:Last>Kang</b:Last>
            <b:First>Y.</b:First>
          </b:Person>
        </b:NameList>
      </b:Author>
    </b:Author>
    <b:Title>A Review on Mass Transport in DSSCs</b:Title>
    <b:JournalName>Journal of Photochemistry and Photobiology C: Photochemistry Reviews</b:JournalName>
    <b:Year>2006</b:Year>
    <b:Pages>17 – 22.</b:Pages>
    <b:Volume>7</b:Volume>
    <b:RefOrder>409</b:RefOrder>
  </b:Source>
  <b:Source>
    <b:Tag>Tha09</b:Tag>
    <b:SourceType>JournalArticle</b:SourceType>
    <b:Guid>{30F4E5BE-AF37-4C44-AD86-2238120F151E}</b:Guid>
    <b:Author>
      <b:Author>
        <b:NameList>
          <b:Person>
            <b:Last>Thavasi</b:Last>
            <b:First>V.</b:First>
          </b:Person>
          <b:Person>
            <b:Last>Renugopalakrishnan</b:Last>
            <b:First>V.</b:First>
          </b:Person>
          <b:Person>
            <b:Last>Jose</b:Last>
            <b:First>R.</b:First>
          </b:Person>
          <b:Person>
            <b:Last>Ramakrishna</b:Last>
            <b:First>S.</b:First>
          </b:Person>
        </b:NameList>
      </b:Author>
    </b:Author>
    <b:Title>Controlled Electron Injection and Transport in Material Interfaces in DSSCs</b:Title>
    <b:JournalName>Materials Science and Engineering: Reports</b:JournalName>
    <b:Year>2009</b:Year>
    <b:Pages>81 – 99.</b:Pages>
    <b:Volume>63</b:Volume>
    <b:RefOrder>410</b:RefOrder>
  </b:Source>
  <b:Source>
    <b:Tag>Kal98</b:Tag>
    <b:SourceType>JournalArticle</b:SourceType>
    <b:Guid>{624916AD-4263-4B9C-8903-103B2B18CEA8}</b:Guid>
    <b:Author>
      <b:Author>
        <b:NameList>
          <b:Person>
            <b:Last>Kalyanasundaram</b:Last>
            <b:First>K.</b:First>
          </b:Person>
          <b:Person>
            <b:Last>Grätzel</b:Last>
            <b:First>M.</b:First>
          </b:Person>
        </b:NameList>
      </b:Author>
    </b:Author>
    <b:Title>Applications of functionalized transition metal complexes in photonic and optoelectronic devices</b:Title>
    <b:JournalName>Co-ordination Chemistry Reviews</b:JournalName>
    <b:Year>1998</b:Year>
    <b:Pages>347 – 414</b:Pages>
    <b:Volume>77</b:Volume>
    <b:RefOrder>411</b:RefOrder>
  </b:Source>
  <b:Source>
    <b:Tag>Kay99</b:Tag>
    <b:SourceType>JournalArticle</b:SourceType>
    <b:Guid>{8955A17F-7E89-43F3-9BD4-D310B7FAD4DA}</b:Guid>
    <b:Author>
      <b:Author>
        <b:NameList>
          <b:Person>
            <b:Last>Kay</b:Last>
            <b:First>A.</b:First>
          </b:Person>
          <b:Person>
            <b:Last>Grätzel</b:Last>
            <b:First>M.</b:First>
          </b:Person>
        </b:NameList>
      </b:Author>
    </b:Author>
    <b:Title>Low-cost PV modules based on dye-sensitized nanocrystalline TiO2 and Carbon powder</b:Title>
    <b:JournalName>Solar Energy Materials and Solar Cells</b:JournalName>
    <b:Year>1999</b:Year>
    <b:Pages>99 – 117.</b:Pages>
    <b:Volume>44</b:Volume>
    <b:Issue>1</b:Issue>
    <b:RefOrder>412</b:RefOrder>
  </b:Source>
  <b:Source>
    <b:Tag>Fuj71</b:Tag>
    <b:SourceType>JournalArticle</b:SourceType>
    <b:Guid>{DD2C2D36-A70C-41E0-AB46-8892B37E4AC3}</b:Guid>
    <b:Author>
      <b:Author>
        <b:NameList>
          <b:Person>
            <b:Last>Fujishima</b:Last>
            <b:First>A.</b:First>
          </b:Person>
          <b:Person>
            <b:Last>Honda</b:Last>
            <b:First>K.</b:First>
          </b:Person>
        </b:NameList>
      </b:Author>
    </b:Author>
    <b:Title>Electrochemical evidence for mechanisms of the primary stage of photosynthesis</b:Title>
    <b:JournalName>Bulletin of the Chemical Society of Japan</b:JournalName>
    <b:Year>1971</b:Year>
    <b:Pages>1148</b:Pages>
    <b:Volume>44</b:Volume>
    <b:RefOrder>413</b:RefOrder>
  </b:Source>
  <b:Source>
    <b:Tag>Duo84</b:Tag>
    <b:SourceType>JournalArticle</b:SourceType>
    <b:Guid>{C60BDB92-7459-49DB-9B23-ABFA256A3C16}</b:Guid>
    <b:Author>
      <b:Author>
        <b:NameList>
          <b:Person>
            <b:Last>Duonghong</b:Last>
            <b:First>D.</b:First>
          </b:Person>
          <b:Person>
            <b:Last>Serpone</b:Last>
            <b:First>N.</b:First>
          </b:Person>
          <b:Person>
            <b:Last>Grätzel</b:Last>
            <b:First>M.</b:First>
          </b:Person>
        </b:NameList>
      </b:Author>
    </b:Author>
    <b:Title>Integrated systems for water cleavage by visible light: sensitization of Titanium Dioxide particles by surface derivatization with Ruthenium complex</b:Title>
    <b:JournalName>Helvetica Chemica Acta</b:JournalName>
    <b:Year>1984</b:Year>
    <b:Pages>1012</b:Pages>
    <b:Volume>6</b:Volume>
    <b:Issue>4</b:Issue>
    <b:RefOrder>414</b:RefOrder>
  </b:Source>
  <b:Source>
    <b:Tag>Pap96</b:Tag>
    <b:SourceType>JournalArticle</b:SourceType>
    <b:Guid>{43FCA43E-44E7-4174-927B-408C096A5620}</b:Guid>
    <b:Author>
      <b:Author>
        <b:NameList>
          <b:Person>
            <b:Last>Papageorgion</b:Last>
            <b:First>N.</b:First>
          </b:Person>
          <b:Person>
            <b:Last>Athanassov</b:Last>
            <b:First>Y.</b:First>
          </b:Person>
          <b:Person>
            <b:Last>Armand</b:Last>
            <b:First>M.</b:First>
          </b:Person>
          <b:Person>
            <b:Last>Bonhote</b:Last>
            <b:First>P.</b:First>
          </b:Person>
          <b:Person>
            <b:Last>Petterson</b:Last>
            <b:First>H.</b:First>
          </b:Person>
        </b:NameList>
      </b:Author>
    </b:Author>
    <b:Title>The performance and stability of ambient temperature molten salts for solar cell applications</b:Title>
    <b:JournalName>Journal of Electrochemical Society</b:JournalName>
    <b:Year>1996</b:Year>
    <b:Pages>3099 - 3108</b:Pages>
    <b:Volume>143</b:Volume>
    <b:Issue>10</b:Issue>
    <b:RefOrder>415</b:RefOrder>
  </b:Source>
  <b:Source>
    <b:Tag>Hel03</b:Tag>
    <b:SourceType>JournalArticle</b:SourceType>
    <b:Guid>{D575779C-3BA5-43B9-9BD3-93A556ABA5ED}</b:Guid>
    <b:Author>
      <b:Author>
        <b:NameList>
          <b:Person>
            <b:Last>Helena</b:Last>
            <b:First>G.</b:First>
          </b:Person>
          <b:Person>
            <b:Last>Lindgren</b:Last>
            <b:First>J.</b:First>
          </b:Person>
          <b:Person>
            <b:Last>Hagfeldt</b:Last>
            <b:First>A.</b:First>
          </b:Person>
        </b:NameList>
      </b:Author>
    </b:Author>
    <b:Title>Degradation mechanisms in a DSSC studied by UV-VIS and IR spectroscopy</b:Title>
    <b:JournalName>Solar Energy</b:JournalName>
    <b:Year>2003</b:Year>
    <b:Pages>169 - 180.</b:Pages>
    <b:RefOrder>416</b:RefOrder>
  </b:Source>
  <b:Source>
    <b:Tag>Kat09</b:Tag>
    <b:SourceType>JournalArticle</b:SourceType>
    <b:Guid>{2D360D13-499B-4EBD-B21A-9899EFB9488B}</b:Guid>
    <b:Author>
      <b:Author>
        <b:NameList>
          <b:Person>
            <b:Last>Kato</b:Last>
            <b:First>N.</b:First>
          </b:Person>
          <b:Person>
            <b:Last>Takeda</b:Last>
            <b:First>Y.</b:First>
          </b:Person>
          <b:Person>
            <b:Last>Higuchi</b:Last>
            <b:First>K.</b:First>
          </b:Person>
          <b:Person>
            <b:Last>Takeichi</b:Last>
            <b:First>A.</b:First>
          </b:Person>
          <b:Person>
            <b:Last>Sudo</b:Last>
            <b:First>E.</b:First>
          </b:Person>
          <b:Person>
            <b:Last>Tanaka</b:Last>
            <b:First>H.</b:First>
          </b:Person>
          <b:Person>
            <b:Last>Motohiro</b:Last>
            <b:First>T.</b:First>
          </b:Person>
          <b:Person>
            <b:Last>Sano</b:Last>
            <b:First>T.</b:First>
          </b:Person>
          <b:Person>
            <b:Last>Toyoda</b:Last>
            <b:First>T.</b:First>
          </b:Person>
        </b:NameList>
      </b:Author>
    </b:Author>
    <b:Title>Degradation analysis of DSSM after long-term stability test under outdoor working conditions</b:Title>
    <b:JournalName>Solar Energy Materials and Solar Cells</b:JournalName>
    <b:Year>2009</b:Year>
    <b:Pages>893-897</b:Pages>
    <b:Volume>93</b:Volume>
    <b:Issue>6-7</b:Issue>
    <b:RefOrder>417</b:RefOrder>
  </b:Source>
  <b:Source>
    <b:Tag>Kua11</b:Tag>
    <b:SourceType>JournalArticle</b:SourceType>
    <b:Guid>{6F2D3B61-9E7B-4363-B064-86497EF6410D}</b:Guid>
    <b:Author>
      <b:Author>
        <b:NameList>
          <b:Person>
            <b:Last>Kuang</b:Last>
            <b:First>D.</b:First>
          </b:Person>
          <b:Person>
            <b:Last>Comte</b:Last>
            <b:First>P.</b:First>
          </b:Person>
          <b:Person>
            <b:Last>Zakeeruddin</b:Last>
            <b:First>S.</b:First>
          </b:Person>
          <b:Person>
            <b:Last>Hagberg</b:Last>
            <b:First>D.</b:First>
          </b:Person>
          <b:Person>
            <b:Last>Karlsson</b:Last>
            <b:First>K.</b:First>
          </b:Person>
          <b:Person>
            <b:Last>Sun</b:Last>
            <b:First>L.</b:First>
          </b:Person>
          <b:Person>
            <b:Last>Nazeeruddin</b:Last>
            <b:First>Md.</b:First>
          </b:Person>
          <b:Person>
            <b:Last>Grätzel</b:Last>
            <b:First>M.</b:First>
          </b:Person>
        </b:NameList>
      </b:Author>
    </b:Author>
    <b:Title>Stable DSSCs based on organic chromophores and ionic liquid electrolyte</b:Title>
    <b:JournalName>Solar Energy</b:JournalName>
    <b:Year>2011</b:Year>
    <b:Pages>1189 - 1194.</b:Pages>
    <b:Volume>85</b:Volume>
    <b:RefOrder>418</b:RefOrder>
  </b:Source>
  <b:Source>
    <b:Tag>Kro</b:Tag>
    <b:SourceType>JournalArticle</b:SourceType>
    <b:Guid>{85170E43-CB00-4C88-9461-364D944DFA71}</b:Guid>
    <b:Author>
      <b:Author>
        <b:NameList>
          <b:Person>
            <b:Last>Kroon</b:Last>
            <b:First>J.</b:First>
          </b:Person>
          <b:Person>
            <b:Last>Bakker</b:Last>
            <b:First>N.</b:First>
          </b:Person>
          <b:Person>
            <b:Last>Smit</b:Last>
            <b:First>H.</b:First>
          </b:Person>
          <b:Person>
            <b:Last>Liska</b:Last>
            <b:First>P.</b:First>
          </b:Person>
          <b:Person>
            <b:Last>Thampi</b:Last>
            <b:First>K.</b:First>
          </b:Person>
          <b:Person>
            <b:Last>Wang</b:Last>
            <b:First>P.</b:First>
          </b:Person>
          <b:Person>
            <b:Last>Zakeeruddin</b:Last>
            <b:First>S.</b:First>
          </b:Person>
          <b:Person>
            <b:Last>Grätzel</b:Last>
            <b:First>M.</b:First>
          </b:Person>
          <b:Person>
            <b:Last>Hinch</b:Last>
            <b:First>A.</b:First>
          </b:Person>
          <b:Person>
            <b:Last>Hore</b:Last>
            <b:First>S.</b:First>
          </b:Person>
          <b:Person>
            <b:Last>Würfel</b:Last>
            <b:First>U.</b:First>
          </b:Person>
          <b:Person>
            <b:Last>Sastrawan</b:Last>
            <b:First>R.</b:First>
          </b:Person>
          <b:Person>
            <b:Last>Durrant</b:Last>
            <b:First>J.</b:First>
          </b:Person>
          <b:Person>
            <b:Last>Palomares</b:Last>
            <b:First>E.</b:First>
          </b:Person>
          <b:Person>
            <b:Last>Pettersson</b:Last>
            <b:First>H.</b:First>
          </b:Person>
          <b:Person>
            <b:Last>Gruszecki</b:Last>
            <b:First>T.</b:First>
          </b:Person>
          <b:Person>
            <b:Last>Walter</b:Last>
            <b:First>J.</b:First>
          </b:Person>
          <b:Person>
            <b:Last>Skupien</b:Last>
            <b:First>K.</b:First>
          </b:Person>
          <b:Person>
            <b:Last>Tulloh</b:Last>
            <b:First>G.</b:First>
          </b:Person>
        </b:NameList>
      </b:Author>
    </b:Author>
    <b:Title>Nanocrystalline DSSCs having maximum performance</b:Title>
    <b:JournalName>Progress in Photovoltaics: Research and Applications</b:JournalName>
    <b:Year>2007</b:Year>
    <b:Pages>1-18</b:Pages>
    <b:Volume>15</b:Volume>
    <b:RefOrder>419</b:RefOrder>
  </b:Source>
  <b:Source>
    <b:Tag>Nel10</b:Tag>
    <b:SourceType>JournalArticle</b:SourceType>
    <b:Guid>{B6BFBBB0-3E08-4D00-B884-293014BE40B1}</b:Guid>
    <b:Author>
      <b:Author>
        <b:NameList>
          <b:Person>
            <b:Last>Nelson</b:Last>
            <b:First>J.</b:First>
          </b:Person>
        </b:NameList>
      </b:Author>
    </b:Author>
    <b:Title>Physics of solar cells, lecture notes for winter college on optics and energy</b:Title>
    <b:JournalName>International Centre for Theoretical Physics (ICTP)</b:JournalName>
    <b:Year>2010</b:Year>
    <b:Pages>1-32</b:Pages>
    <b:Volume>2132</b:Volume>
    <b:Issue>2</b:Issue>
    <b:RefOrder>420</b:RefOrder>
  </b:Source>
  <b:Source>
    <b:Tag>Han12</b:Tag>
    <b:SourceType>JournalArticle</b:SourceType>
    <b:Guid>{8E9D4119-C570-4DB3-880C-E1416BFEBAD0}</b:Guid>
    <b:Author>
      <b:Author>
        <b:NameList>
          <b:Person>
            <b:Last>Han</b:Last>
            <b:First>L.</b:First>
          </b:Person>
          <b:Person>
            <b:Last>Islam</b:Last>
            <b:First>A.</b:First>
          </b:Person>
          <b:Person>
            <b:Last>Chen</b:Last>
            <b:First>H.</b:First>
          </b:Person>
          <b:Person>
            <b:Last>Malapaka</b:Last>
            <b:First>C.</b:First>
          </b:Person>
          <b:Person>
            <b:Last>Chiranjeevi</b:Last>
            <b:First>B.</b:First>
          </b:Person>
          <b:Person>
            <b:Last>Zhang</b:Last>
            <b:First>S.</b:First>
          </b:Person>
          <b:Person>
            <b:Last>Yang</b:Last>
            <b:First>X.</b:First>
          </b:Person>
          <b:Person>
            <b:Last>Yanagida</b:Last>
            <b:First>M.</b:First>
          </b:Person>
        </b:NameList>
      </b:Author>
    </b:Author>
    <b:Title>High efficiency dye-sensitized solar cell with a novel co-adsorbent</b:Title>
    <b:JournalName>Energy and Environmental Science</b:JournalName>
    <b:Year>2012</b:Year>
    <b:Pages>149</b:Pages>
    <b:Volume>2</b:Volume>
    <b:RefOrder>421</b:RefOrder>
  </b:Source>
  <b:Source>
    <b:Tag>YuQ12</b:Tag>
    <b:SourceType>JournalArticle</b:SourceType>
    <b:Guid>{E0F1B976-D2CF-415D-AFA2-EEF20AC11329}</b:Guid>
    <b:Author>
      <b:Author>
        <b:NameList>
          <b:Person>
            <b:Last>Yu</b:Last>
            <b:First>Q.</b:First>
          </b:Person>
          <b:Person>
            <b:Last>Yu</b:Last>
            <b:First>C.</b:First>
          </b:Person>
          <b:Person>
            <b:Last>Guo</b:Last>
            <b:First>F.</b:First>
          </b:Person>
          <b:Person>
            <b:Last>Wang</b:Last>
            <b:First>J.</b:First>
          </b:Person>
          <b:Person>
            <b:Last>Jioa</b:Last>
            <b:First>S.</b:First>
          </b:Person>
          <b:Person>
            <b:Last>Gao</b:Last>
            <b:First>S.</b:First>
          </b:Person>
          <b:Person>
            <b:Last>Li</b:Last>
            <b:First>H.</b:First>
          </b:Person>
          <b:Person>
            <b:Last>Zhao</b:Last>
            <b:First>L.</b:First>
          </b:Person>
        </b:NameList>
      </b:Author>
    </b:Author>
    <b:Title>A stable and efficient quasi-solid-state DSSC with a low molecular weight organic galetor</b:Title>
    <b:JournalName>Energy and Environmental Science</b:JournalName>
    <b:Year>2012</b:Year>
    <b:Pages>1-5</b:Pages>
    <b:RefOrder>422</b:RefOrder>
  </b:Source>
  <b:Source>
    <b:Tag>Sna06</b:Tag>
    <b:SourceType>JournalArticle</b:SourceType>
    <b:Guid>{26E08397-473B-4E46-8A8A-5A07A5521F21}</b:Guid>
    <b:Author>
      <b:Author>
        <b:NameList>
          <b:Person>
            <b:Last>Snaith</b:Last>
            <b:First>H.</b:First>
          </b:Person>
          <b:Person>
            <b:Last>Schmidt-Mende</b:Last>
            <b:First>L.</b:First>
          </b:Person>
          <b:Person>
            <b:Last>Grátzel</b:Last>
            <b:First>M.</b:First>
          </b:Person>
          <b:Person>
            <b:Last>Chieza</b:Last>
            <b:First>M.</b:First>
          </b:Person>
        </b:NameList>
      </b:Author>
    </b:Author>
    <b:Title>Light intensity, temperature and thickness dependence of the open circuit voltage in solid-state DSSCs</b:Title>
    <b:JournalName>Journal of Physical Chemistry</b:JournalName>
    <b:Year>2006</b:Year>
    <b:Pages>1-6.</b:Pages>
    <b:Volume>74</b:Volume>
    <b:Issue>4</b:Issue>
    <b:RefOrder>423</b:RefOrder>
  </b:Source>
  <b:Source>
    <b:Tag>Ber08</b:Tag>
    <b:SourceType>JournalArticle</b:SourceType>
    <b:Guid>{CC6DCC89-5673-4C66-BA1F-F7566B8EBCE9}</b:Guid>
    <b:Author>
      <b:Author>
        <b:NameList>
          <b:Person>
            <b:Last>Bergine</b:Last>
            <b:First>M.</b:First>
          </b:Person>
          <b:Person>
            <b:Last>Krašovec</b:Last>
            <b:First>U.</b:First>
          </b:Person>
          <b:Person>
            <b:Last>Hočevar</b:Last>
            <b:First>M.</b:First>
          </b:Person>
          <b:Person>
            <b:Last>Topič</b:Last>
            <b:First>M.</b:First>
          </b:Person>
        </b:NameList>
      </b:Author>
    </b:Author>
    <b:Title>Performance of DSSCs based on ionic liquids: Effect of temperature and iodine concentration</b:Title>
    <b:JournalName>Thin Solid Films</b:JournalName>
    <b:Year>2008</b:Year>
    <b:Pages>7155-7159</b:Pages>
    <b:Volume>516</b:Volume>
    <b:RefOrder>424</b:RefOrder>
  </b:Source>
  <b:Source>
    <b:Tag>Lob06</b:Tag>
    <b:SourceType>JournalArticle</b:SourceType>
    <b:Guid>{55846F60-2AD6-4495-A1B2-0F035269BEF1}</b:Guid>
    <b:Author>
      <b:Author>
        <b:NameList>
          <b:Person>
            <b:Last>Lobato</b:Last>
            <b:First>K.</b:First>
          </b:Person>
          <b:Person>
            <b:Last>Peter</b:Last>
            <b:First>L.</b:First>
          </b:Person>
        </b:NameList>
      </b:Author>
    </b:Author>
    <b:Title>Direct measurement of the temperature coefficient of the electron quasi-fermi level in dye-sensitized nanocrystalline solar cells using a Titanium sensor electrode</b:Title>
    <b:JournalName>Journal of Physical Chemistry, B</b:JournalName>
    <b:Year>2006</b:Year>
    <b:Pages>2190-2192</b:Pages>
    <b:Volume>110</b:Volume>
    <b:Issue>43</b:Issue>
    <b:RefOrder>425</b:RefOrder>
  </b:Source>
  <b:Source>
    <b:Tag>Nik06</b:Tag>
    <b:SourceType>JournalArticle</b:SourceType>
    <b:Guid>{16E5325F-AAA8-4D59-A57F-6C2AA94A0098}</b:Guid>
    <b:Author>
      <b:Author>
        <b:NameList>
          <b:Person>
            <b:Last>Nikos</b:Last>
            <b:First>K.</b:First>
          </b:Person>
          <b:Person>
            <b:Last>Benkstein</b:Last>
            <b:First>K.</b:First>
          </b:Person>
          <b:Person>
            <b:Last>Lagemaat</b:Last>
            <b:First>J.</b:First>
          </b:Person>
          <b:Person>
            <b:Last>Frank</b:Last>
            <b:First>A.</b:First>
          </b:Person>
          <b:Person>
            <b:Last>Yuan</b:Last>
            <b:First>Q.</b:First>
          </b:Person>
          <b:Person>
            <b:Last>Schiff</b:Last>
            <b:First>A.</b:First>
          </b:Person>
        </b:NameList>
      </b:Author>
    </b:Author>
    <b:Title>Temperature dependence of the electron diffusion coefficient in electrolyte-filled TiO2 nanoparticle films: Evidence against multiple trapping in exponential conduction band tails</b:Title>
    <b:JournalName>Physical Review</b:JournalName>
    <b:Year>2006</b:Year>
    <b:Pages>1-8</b:Pages>
    <b:Volume>73</b:Volume>
    <b:Issue>045326</b:Issue>
    <b:RefOrder>426</b:RefOrder>
  </b:Source>
  <b:Source>
    <b:Tag>Bos05</b:Tag>
    <b:SourceType>JournalArticle</b:SourceType>
    <b:Guid>{9A9203B8-1C71-40D2-BC6A-8A5508B4CEF3}</b:Guid>
    <b:Author>
      <b:Author>
        <b:NameList>
          <b:Person>
            <b:Last>Boschloo</b:Last>
            <b:First>G.</b:First>
          </b:Person>
          <b:Person>
            <b:Last>Hagfeldt</b:Last>
            <b:First>A.</b:First>
          </b:Person>
        </b:NameList>
      </b:Author>
    </b:Author>
    <b:Title>Activation energy electron transport in dye-sensitized TiO2 solar cells</b:Title>
    <b:JournalName>Journal of Physical Chemistry, B</b:JournalName>
    <b:Year>2005</b:Year>
    <b:Pages>12093 – 12098.</b:Pages>
    <b:Volume>109</b:Volume>
    <b:Issue>24</b:Issue>
    <b:RefOrder>427</b:RefOrder>
  </b:Source>
  <b:Source>
    <b:Tag>Wai07</b:Tag>
    <b:SourceType>JournalArticle</b:SourceType>
    <b:Guid>{0B9B70A5-BF47-428F-BF86-CB94D0746A80}</b:Guid>
    <b:Author>
      <b:Author>
        <b:NameList>
          <b:Person>
            <b:Last>Waita</b:Last>
            <b:First>S.</b:First>
          </b:Person>
          <b:Person>
            <b:Last>Aduda</b:Last>
            <b:First>B.</b:First>
          </b:Person>
          <b:Person>
            <b:Last>Mwabora</b:Last>
            <b:First>J.</b:First>
          </b:Person>
          <b:Person>
            <b:Last>Granqvist</b:Last>
            <b:First>C.</b:First>
          </b:Person>
          <b:Person>
            <b:Last>Lindquist</b:Last>
            <b:First>S.</b:First>
          </b:Person>
          <b:Person>
            <b:Last>Niklasson</b:Last>
            <b:First>G.</b:First>
          </b:Person>
          <b:Person>
            <b:Last>Hagfeldt</b:Last>
            <b:First>A.</b:First>
          </b:Person>
          <b:Person>
            <b:Last>Boschloo</b:Last>
            <b:First>G.</b:First>
          </b:Person>
        </b:NameList>
      </b:Author>
    </b:Author>
    <b:Title>Electron transport and recombinations in DSSCs fabricated from obliquely sputtered and thermally annealed TiO2 films</b:Title>
    <b:JournalName>Journal of Electroanalytical Chemistry</b:JournalName>
    <b:Year>2007</b:Year>
    <b:Pages>151-156</b:Pages>
    <b:Volume>605</b:Volume>
    <b:Issue>2</b:Issue>
    <b:RefOrder>428</b:RefOrder>
  </b:Source>
  <b:Source>
    <b:Tag>Gre03</b:Tag>
    <b:SourceType>Report</b:SourceType>
    <b:Guid>{760ADD5B-93AE-4CDD-9222-3DA702CA6FC0}</b:Guid>
    <b:Author>
      <b:Author>
        <b:NameList>
          <b:Person>
            <b:Last>Greijer-Agrell</b:Last>
            <b:First>H.</b:First>
          </b:Person>
        </b:NameList>
      </b:Author>
    </b:Author>
    <b:Title>Interactions in DSSCs</b:Title>
    <b:Year>2003</b:Year>
    <b:Pages>1-68</b:Pages>
    <b:Publisher>Uppsala University</b:Publisher>
    <b:City>Uppsala</b:City>
    <b:RefOrder>429</b:RefOrder>
  </b:Source>
  <b:Source>
    <b:Tag>Ben13</b:Tag>
    <b:SourceType>InternetSite</b:SourceType>
    <b:Guid>{102A6108-D253-4578-9340-D402C1621BEE}</b:Guid>
    <b:Author>
      <b:Author>
        <b:NameList>
          <b:Person>
            <b:Last>Bendhoward</b:Last>
          </b:Person>
        </b:NameList>
      </b:Author>
    </b:Author>
    <b:Title>Solar spectrum</b:Title>
    <b:Year>2013</b:Year>
    <b:InternetSiteTitle>https://commons.wikimedia.org</b:InternetSiteTitle>
    <b:Month>February</b:Month>
    <b:Day>14</b:Day>
    <b:YearAccessed>2016</b:YearAccessed>
    <b:MonthAccessed>January</b:MonthAccessed>
    <b:DayAccessed>07</b:DayAccessed>
    <b:URL>https://commons.wikimedia.org/wiki/User:Bendhoward</b:URL>
    <b:RefOrder>430</b:RefOrder>
  </b:Source>
  <b:Source>
    <b:Tag>McE94</b:Tag>
    <b:SourceType>JournalArticle</b:SourceType>
    <b:Guid>{0DF119EB-9B68-49AE-BABA-0C279E021D9D}</b:Guid>
    <b:Author>
      <b:Author>
        <b:NameList>
          <b:Person>
            <b:Last>McEvoy</b:Last>
            <b:First>A.J.</b:First>
          </b:Person>
          <b:Person>
            <b:Last>Grätzel</b:Last>
            <b:First>M.</b:First>
          </b:Person>
        </b:NameList>
      </b:Author>
    </b:Author>
    <b:Title>Sensitization in photochemistry and photovoltaics</b:Title>
    <b:Year>1994</b:Year>
    <b:JournalName>Solar Energy Materials and Solar Cells</b:JournalName>
    <b:Pages>221-227</b:Pages>
    <b:Volume>32</b:Volume>
    <b:Issue>3</b:Issue>
    <b:RefOrder>431</b:RefOrder>
  </b:Source>
  <b:Source>
    <b:Tag>Hag00</b:Tag>
    <b:SourceType>JournalArticle</b:SourceType>
    <b:Guid>{B565BA22-BCC6-4734-9CB9-AF10F9A5C4D1}</b:Guid>
    <b:Author>
      <b:Author>
        <b:NameList>
          <b:Person>
            <b:Last>Hagfeldt</b:Last>
            <b:First>A.</b:First>
          </b:Person>
          <b:Person>
            <b:Last>Grätzel</b:Last>
            <b:First>A.</b:First>
          </b:Person>
        </b:NameList>
      </b:Author>
    </b:Author>
    <b:Title>Molecular photovoltaics</b:Title>
    <b:JournalName>Accounts of Chemical Research</b:JournalName>
    <b:Year>2000</b:Year>
    <b:Pages>269-277</b:Pages>
    <b:Volume>33</b:Volume>
    <b:Issue>5</b:Issue>
    <b:RefOrder>432</b:RefOrder>
  </b:Source>
  <b:Source>
    <b:Tag>Nam65</b:Tag>
    <b:SourceType>JournalArticle</b:SourceType>
    <b:Guid>{677E7107-1907-4A8A-8A91-AF5BE23A3D35}</b:Guid>
    <b:Author>
      <b:Author>
        <b:NameList>
          <b:Person>
            <b:Last>Namba</b:Last>
            <b:First>S.</b:First>
          </b:Person>
          <b:Person>
            <b:Last>Hishiki</b:Last>
            <b:First>Y.</b:First>
          </b:Person>
        </b:NameList>
      </b:Author>
    </b:Author>
    <b:Title>Colour sensitization of Zinc Oxide wiyh cyanide dyes</b:Title>
    <b:JournalName>Journal of Physical Chemistry</b:JournalName>
    <b:Year>1965</b:Year>
    <b:Pages>774</b:Pages>
    <b:Volume>69</b:Volume>
    <b:Issue>3</b:Issue>
    <b:RefOrder>433</b:RefOrder>
  </b:Source>
  <b:Source>
    <b:Tag>Tsu76</b:Tag>
    <b:SourceType>JournalArticle</b:SourceType>
    <b:Guid>{23B3689D-0A11-42CC-8136-A099FFC6C4AE}</b:Guid>
    <b:Author>
      <b:Author>
        <b:NameList>
          <b:Person>
            <b:Last>Tsubomura</b:Last>
            <b:First>H.</b:First>
          </b:Person>
          <b:Person>
            <b:Last>Matsumura</b:Last>
            <b:First>M.</b:First>
          </b:Person>
          <b:Person>
            <b:Last>Noyamura</b:Last>
            <b:First>Y.</b:First>
          </b:Person>
          <b:Person>
            <b:Last>Amamyiya</b:Last>
            <b:First>T.</b:First>
          </b:Person>
        </b:NameList>
      </b:Author>
    </b:Author>
    <b:Title>Dye sensitized zinc oxide: aqueous eletrolyte/platinum photocell</b:Title>
    <b:JournalName>Nature</b:JournalName>
    <b:Year>1976</b:Year>
    <b:Pages>402</b:Pages>
    <b:Volume>261</b:Volume>
    <b:RefOrder>434</b:RefOrder>
  </b:Source>
  <b:Source>
    <b:Tag>DeS85</b:Tag>
    <b:SourceType>JournalArticle</b:SourceType>
    <b:Guid>{9C6D8D8A-FEF0-458A-8AD2-F41592AA6F9F}</b:Guid>
    <b:Author>
      <b:Author>
        <b:NameList>
          <b:Person>
            <b:Last>DeSilvestro</b:Last>
            <b:First>J.</b:First>
          </b:Person>
          <b:Person>
            <b:Last>Grätzel</b:Last>
            <b:First>M.</b:First>
          </b:Person>
          <b:Person>
            <b:Last>Kavan</b:Last>
            <b:First>L.</b:First>
          </b:Person>
          <b:Person>
            <b:Last>Moser</b:Last>
            <b:First>J.</b:First>
          </b:Person>
          <b:Person>
            <b:Last>Augustynski</b:Last>
            <b:First>J.</b:First>
          </b:Person>
        </b:NameList>
      </b:Author>
    </b:Author>
    <b:Title>Highly efficient sensitization of Titanium Dioxide</b:Title>
    <b:JournalName>Journal of the American Chemical Society</b:JournalName>
    <b:Year>1985</b:Year>
    <b:Pages>2988-2990</b:Pages>
    <b:Volume>107</b:Volume>
    <b:RefOrder>435</b:RefOrder>
  </b:Source>
  <b:Source>
    <b:Tag>Ama90</b:Tag>
    <b:SourceType>JournalArticle</b:SourceType>
    <b:Guid>{B7CEC629-A5F2-48DD-8660-972FE83DB6B4}</b:Guid>
    <b:Author>
      <b:Author>
        <b:NameList>
          <b:Person>
            <b:Last>Amadelli</b:Last>
            <b:First>R.</b:First>
          </b:Person>
          <b:Person>
            <b:Last>Argazzi</b:Last>
            <b:First>R.</b:First>
          </b:Person>
          <b:Person>
            <b:Last>Bignozzi</b:Last>
            <b:First>C.A.</b:First>
          </b:Person>
          <b:Person>
            <b:Last>Scandola</b:Last>
            <b:First>F.</b:First>
          </b:Person>
        </b:NameList>
      </b:Author>
    </b:Author>
    <b:Title>Design of antenna-sensitizer: polynuclear of Titanium Dioxide with [Ru(bpy)2(CN)2]2Ru(bpy(COO)2)2^2</b:Title>
    <b:JournalName>Journal of the Americal Chemical Society</b:JournalName>
    <b:Year>1990</b:Year>
    <b:Pages>7099-7103</b:Pages>
    <b:Volume>112</b:Volume>
    <b:Issue>20</b:Issue>
    <b:RefOrder>436</b:RefOrder>
  </b:Source>
  <b:Source>
    <b:Tag>Sak05</b:Tag>
    <b:SourceType>Book</b:SourceType>
    <b:Guid>{D498CA93-7BF8-4AE4-BCAB-B21BEC862DA7}</b:Guid>
    <b:Author>
      <b:Author>
        <b:NameList>
          <b:Person>
            <b:Last>Sakka</b:Last>
            <b:First>S.</b:First>
          </b:Person>
        </b:NameList>
      </b:Author>
    </b:Author>
    <b:Title>Sol-gel science and technology: processing characterization and applications</b:Title>
    <b:Year>2005</b:Year>
    <b:City>Boston</b:City>
    <b:Publisher>Kluwer Academic Publishers</b:Publisher>
    <b:RefOrder>437</b:RefOrder>
  </b:Source>
  <b:Source>
    <b:Tag>Cor08</b:Tag>
    <b:SourceType>JournalArticle</b:SourceType>
    <b:Guid>{544485D7-70C3-422E-8E6B-075EDEE76B63}</b:Guid>
    <b:Author>
      <b:Author>
        <b:NameList>
          <b:Person>
            <b:Last>Cornaro</b:Last>
            <b:First>C.</b:First>
          </b:Person>
          <b:Person>
            <b:Last>Spena</b:Last>
            <b:First>A.</b:First>
          </b:Person>
          <b:Person>
            <b:Last>Brown</b:Last>
            <b:First>T.</b:First>
          </b:Person>
          <b:Person>
            <b:Last>Carlo</b:Last>
            <b:First>A.</b:First>
          </b:Person>
          <b:Person>
            <b:Last>Reale</b:Last>
            <b:First>A.</b:First>
          </b:Person>
        </b:NameList>
      </b:Author>
    </b:Author>
    <b:Title>The impact of outdoor meteorological parameters on the performance of DSSCs</b:Title>
    <b:Year>2008</b:Year>
    <b:JournalName>Institute of Electrical and Electronics Engineers (IEEE) Xplore</b:JournalName>
    <b:Pages>1-4</b:Pages>
    <b:RefOrder>438</b:RefOrder>
  </b:Source>
  <b:Source>
    <b:Tag>Tan13</b:Tag>
    <b:SourceType>JournalArticle</b:SourceType>
    <b:Guid>{4B29FDC2-42D3-4FB1-A0AC-9CD38E08F3CA}</b:Guid>
    <b:Author>
      <b:Author>
        <b:NameList>
          <b:Person>
            <b:Last>Tanabe</b:Last>
            <b:First>N.</b:First>
          </b:Person>
        </b:NameList>
      </b:Author>
    </b:Author>
    <b:Title>Dye sensitized solar cell for energy harvesting applications</b:Title>
    <b:JournalName>Fujikura Technical Review</b:JournalName>
    <b:Year>2013</b:Year>
    <b:Pages>109-113</b:Pages>
    <b:RefOrder>439</b:RefOrder>
  </b:Source>
  <b:Source>
    <b:Tag>Pet12</b:Tag>
    <b:SourceType>JournalArticle</b:SourceType>
    <b:Guid>{7B332BDC-F151-48C7-8D29-7B0FE27D288D}</b:Guid>
    <b:Author>
      <b:Author>
        <b:NameList>
          <b:Person>
            <b:Last>Pettersson</b:Last>
            <b:First>H.</b:First>
          </b:Person>
          <b:Person>
            <b:Last>Nonomura</b:Last>
            <b:First>K.</b:First>
          </b:Person>
          <b:Person>
            <b:Last>Kloo</b:Last>
            <b:First>L.</b:First>
          </b:Person>
          <b:Person>
            <b:Last>Hagfeldt</b:Last>
            <b:First>A.</b:First>
          </b:Person>
        </b:NameList>
      </b:Author>
    </b:Author>
    <b:Title>Trends in patent applications for dye sensitized solar cells</b:Title>
    <b:Pages>7376-7380</b:Pages>
    <b:Year>2012</b:Year>
    <b:JournalName>Energy &amp; Environmental Science</b:JournalName>
    <b:Volume>5</b:Volume>
    <b:RefOrder>440</b:RefOrder>
  </b:Source>
  <b:Source>
    <b:Tag>Cor13</b:Tag>
    <b:SourceType>JournalArticle</b:SourceType>
    <b:Guid>{10F0D9F8-3061-448E-9C78-4367B6F23AAD}</b:Guid>
    <b:Author>
      <b:Author>
        <b:NameList>
          <b:Person>
            <b:Last>Cornaro</b:Last>
            <b:First>C.</b:First>
          </b:Person>
          <b:Person>
            <b:Last>Bartocci</b:Last>
            <b:First>S.</b:First>
          </b:Person>
          <b:Person>
            <b:Last>Musella</b:Last>
            <b:First>D.</b:First>
          </b:Person>
          <b:Person>
            <b:Last>Strati</b:Last>
            <b:First>C.</b:First>
          </b:Person>
          <b:Person>
            <b:Last>Lunati</b:Last>
            <b:First>A.</b:First>
          </b:Person>
          <b:Person>
            <b:Last>Mastroianni</b:Last>
            <b:First>S.</b:First>
          </b:Person>
          <b:Person>
            <b:Last>Penna</b:Last>
            <b:First>S.</b:First>
          </b:Person>
          <b:Person>
            <b:Last>Guidobaldi</b:Last>
            <b:First>A.</b:First>
          </b:Person>
          <b:Person>
            <b:Last>Giordano</b:Last>
            <b:First>F.</b:First>
          </b:Person>
          <b:Person>
            <b:Last>Petrolati</b:Last>
            <b:First>E.</b:First>
          </b:Person>
          <b:Person>
            <b:Last>Brown</b:Last>
            <b:First>T.M.</b:First>
          </b:Person>
          <b:Person>
            <b:Last>Reale</b:Last>
            <b:First>A.</b:First>
          </b:Person>
          <b:Person>
            <b:Last>Carlo</b:Last>
            <b:First>A.D.</b:First>
          </b:Person>
        </b:NameList>
      </b:Author>
    </b:Author>
    <b:Title>Comparative analysis of the outdoor performance of a dye solar cell mini-panel for building integrated photovoltaics application</b:Title>
    <b:JournalName>Progress in Photovoltaics: Research and Applications</b:JournalName>
    <b:Year>2013</b:Year>
    <b:Pages>1-11 DOI:10.1002/pip</b:Pages>
    <b:RefOrder>441</b:RefOrder>
  </b:Source>
  <b:Source>
    <b:Tag>Kat091</b:Tag>
    <b:SourceType>JournalArticle</b:SourceType>
    <b:Guid>{85DE4EBD-1800-47CB-B498-B6E99651A453}</b:Guid>
    <b:Author>
      <b:Author>
        <b:NameList>
          <b:Person>
            <b:Last>Kato</b:Last>
            <b:First>N.</b:First>
          </b:Person>
          <b:Person>
            <b:Last>Takeda</b:Last>
            <b:First>Y.</b:First>
          </b:Person>
          <b:Person>
            <b:Last>Higuchi</b:Last>
            <b:First>K.</b:First>
          </b:Person>
          <b:Person>
            <b:Last>Takeichi</b:Last>
            <b:First>A.</b:First>
          </b:Person>
          <b:Person>
            <b:Last>Sodo</b:Last>
            <b:First>E.</b:First>
          </b:Person>
          <b:Person>
            <b:Last>Tanaka</b:Last>
            <b:First>H.</b:First>
          </b:Person>
          <b:Person>
            <b:Last>Motohiro</b:Last>
            <b:First>T.,</b:First>
            <b:Middle>Sano, T.</b:Middle>
          </b:Person>
          <b:Person>
            <b:Last>Toyoda</b:Last>
            <b:First>T.</b:First>
          </b:Person>
        </b:NameList>
      </b:Author>
    </b:Author>
    <b:Title>Degradation analysis of dye sensitized solar cell module after long-term stability test under outdoor working conditions</b:Title>
    <b:JournalName>Solar Energy Materials &amp; Solar Cells</b:JournalName>
    <b:Year>2009</b:Year>
    <b:Pages>893-897</b:Pages>
    <b:Volume>93</b:Volume>
    <b:RefOrder>442</b:RefOrder>
  </b:Source>
  <b:Source>
    <b:Tag>Mas12</b:Tag>
    <b:SourceType>JournalArticle</b:SourceType>
    <b:Guid>{C72AA3B0-6A42-4E75-BD79-EE5101C3B340}</b:Guid>
    <b:Author>
      <b:Author>
        <b:NameList>
          <b:Person>
            <b:Last>Mastroianni</b:Last>
            <b:First>S.</b:First>
          </b:Person>
          <b:Person>
            <b:Last>Lanuti</b:Last>
            <b:First>A.</b:First>
          </b:Person>
          <b:Person>
            <b:Last>Penna</b:Last>
            <b:First>S.</b:First>
          </b:Person>
          <b:Person>
            <b:Last>Peale</b:Last>
            <b:First>A.</b:First>
          </b:Person>
          <b:Person>
            <b:Last>Brown</b:Last>
            <b:First>T.M.</b:First>
          </b:Person>
          <b:Person>
            <b:Last>Di Carlo</b:Last>
            <b:First>A.</b:First>
          </b:Person>
          <b:Person>
            <b:Last>Decker</b:Last>
            <b:First>F.</b:First>
          </b:Person>
        </b:NameList>
      </b:Author>
    </b:Author>
    <b:Title>Physical and electrochemical analysis of an indoor-outdoor ageing test of large area dye solar cell devices</b:Title>
    <b:JournalName>ChemPhysChem</b:JournalName>
    <b:Year>2012</b:Year>
    <b:Pages>2925-2936</b:Pages>
    <b:Volume>13</b:Volume>
    <b:Issue>12</b:Issue>
    <b:RefOrder>443</b:RefOrder>
  </b:Source>
  <b:Source>
    <b:Tag>Kat06</b:Tag>
    <b:SourceType>JournalArticle</b:SourceType>
    <b:Guid>{F71F28FD-1CDE-4584-B3FB-7EB485838C5B}</b:Guid>
    <b:Author>
      <b:Author>
        <b:NameList>
          <b:Person>
            <b:Last>Katz</b:Last>
            <b:First>E.A.</b:First>
          </b:Person>
          <b:Person>
            <b:Last>Gevorgyan</b:Last>
            <b:First>S.</b:First>
          </b:Person>
          <b:Person>
            <b:Last>Orynbayer</b:Last>
            <b:First>M.S.</b:First>
          </b:Person>
          <b:Person>
            <b:Last>Krebs</b:Last>
            <b:First>F.C.</b:First>
          </b:Person>
        </b:NameList>
      </b:Author>
    </b:Author>
    <b:Title>Outdoor testing and long-term stability of plastic solar cells</b:Title>
    <b:JournalName>The European Physical Journal of Applied Physics</b:JournalName>
    <b:Year>2006</b:Year>
    <b:Pages>307-311</b:Pages>
    <b:Volume>36</b:Volume>
    <b:RefOrder>444</b:RefOrder>
  </b:Source>
  <b:Source>
    <b:Tag>Hau08</b:Tag>
    <b:SourceType>JournalArticle</b:SourceType>
    <b:Guid>{3E10CC93-780F-44DF-BD6B-AB2478C1583E}</b:Guid>
    <b:Author>
      <b:Author>
        <b:NameList>
          <b:Person>
            <b:Last>Hauch</b:Last>
            <b:First>J.A.</b:First>
          </b:Person>
          <b:Person>
            <b:Last>Schilinsky</b:Last>
            <b:First>P.</b:First>
          </b:Person>
          <b:Person>
            <b:Last>Choulis</b:Last>
            <b:First>S.A.</b:First>
          </b:Person>
          <b:Person>
            <b:Last>Childers</b:Last>
            <b:First>R.</b:First>
          </b:Person>
          <b:Person>
            <b:Last>Biele</b:Last>
            <b:First>M.</b:First>
          </b:Person>
          <b:Person>
            <b:Last>Brabec</b:Last>
            <b:First>C.J.</b:First>
          </b:Person>
        </b:NameList>
      </b:Author>
    </b:Author>
    <b:Title>Flexiblr outdoor lifetime e organic P3HT:PCBM bulk-heterojunction modules with more than 1 ye</b:Title>
    <b:JournalName>Solar Energy Materials &amp; Solar Cells</b:JournalName>
    <b:Year>2008</b:Year>
    <b:Pages>727-731</b:Pages>
    <b:Volume>92</b:Volume>
    <b:RefOrder>445</b:RefOrder>
  </b:Source>
  <b:Source>
    <b:Tag>Cor081</b:Tag>
    <b:SourceType>ConferenceProceedings</b:SourceType>
    <b:Guid>{1651168C-61A2-4C22-8EEB-C77AA7E2570D}</b:Guid>
    <b:Author>
      <b:Author>
        <b:NameList>
          <b:Person>
            <b:Last>Cornaro</b:Last>
            <b:First>C.</b:First>
          </b:Person>
          <b:Person>
            <b:Last>Spena</b:Last>
            <b:First>A.</b:First>
          </b:Person>
          <b:Person>
            <b:Last>Brown</b:Last>
            <b:First>T.M.</b:First>
          </b:Person>
          <b:Person>
            <b:Last>Di Carlo</b:Last>
            <b:First>A.,</b:First>
            <b:Middle>Reale, A.</b:Middle>
          </b:Person>
        </b:NameList>
      </b:Author>
    </b:Author>
    <b:Title>The impact of meteorological parameters on the performance of dye sensitized solar cells</b:Title>
    <b:Year>2008</b:Year>
    <b:ConferenceName>Proceedings of the 33rd IEEE PV Specialists Conference, May 11-16</b:ConferenceName>
    <b:City>San Diego</b:City>
    <b:RefOrder>446</b:RefOrder>
  </b:Source>
  <b:Source>
    <b:Tag>Cor09</b:Tag>
    <b:SourceType>ConferenceProceedings</b:SourceType>
    <b:Guid>{D7428C0F-BF61-41F5-9556-C2AC771035D3}</b:Guid>
    <b:Author>
      <b:Author>
        <b:NameList>
          <b:Person>
            <b:Last>Cornaro</b:Last>
            <b:First>C.</b:First>
          </b:Person>
          <b:Person>
            <b:Last>Spena</b:Last>
            <b:First>A.</b:First>
          </b:Person>
          <b:Person>
            <b:Last>Brown</b:Last>
            <b:First>T.M.</b:First>
          </b:Person>
          <b:Person>
            <b:Last>Di Carlo</b:Last>
            <b:First>A.,</b:First>
            <b:Middle>Reale, A.</b:Middle>
          </b:Person>
          <b:Person>
            <b:Last>Martella</b:Last>
            <b:First>S.</b:First>
          </b:Person>
        </b:NameList>
      </b:Author>
    </b:Author>
    <b:Title>Outdoor characterization of dye solar cells: first results</b:Title>
    <b:Year>2009</b:Year>
    <b:ConferenceName>Proceedings of the 24th European Photovoltaic Solar Energy Conference and Exhibition, September 21-24</b:ConferenceName>
    <b:RefOrder>447</b:RefOrder>
  </b:Source>
  <b:Source>
    <b:Tag>Ota12</b:Tag>
    <b:SourceType>JournalArticle</b:SourceType>
    <b:Guid>{51B947F3-B706-4840-93B8-B289BA851BF6}</b:Guid>
    <b:Author>
      <b:Author>
        <b:NameList>
          <b:Person>
            <b:Last>Otakwa</b:Last>
            <b:First>R.V.M.</b:First>
          </b:Person>
          <b:Person>
            <b:Last>Simiyu</b:Last>
            <b:First>J.</b:First>
          </b:Person>
          <b:Person>
            <b:Last>Waita</b:Last>
            <b:First>S.M.</b:First>
          </b:Person>
          <b:Person>
            <b:Last>Mwabora</b:Last>
            <b:First>J.M.</b:First>
          </b:Person>
        </b:NameList>
      </b:Author>
    </b:Author>
    <b:Title>Application of dye-sensitized solar cell technology in the tropics: effects of air mass on device performance</b:Title>
    <b:Pages>369-375</b:Pages>
    <b:Year>2012</b:Year>
    <b:JournalName>International Journal of Renewable Energy Research</b:JournalName>
    <b:Volume>3</b:Volume>
    <b:Issue>2</b:Issue>
    <b:RefOrder>448</b:RefOrder>
  </b:Source>
  <b:Source>
    <b:Tag>Ota121</b:Tag>
    <b:SourceType>JournalArticle</b:SourceType>
    <b:Guid>{D2BA9196-FB19-4557-A539-CB3855F26BF0}</b:Guid>
    <b:Author>
      <b:Author>
        <b:NameList>
          <b:Person>
            <b:Last>Otakwa</b:Last>
            <b:First>R.V.M.</b:First>
          </b:Person>
          <b:Person>
            <b:Last>Simiyu</b:Last>
            <b:First>J.</b:First>
          </b:Person>
          <b:Person>
            <b:Last>Waita</b:Last>
            <b:First>S.M.</b:First>
          </b:Person>
          <b:Person>
            <b:Last>Mwabora</b:Last>
            <b:First>J.M.</b:First>
          </b:Person>
        </b:NameList>
      </b:Author>
    </b:Author>
    <b:Title>Application of dye-sensitized solar cell technology in the tropics: effects of radiation intensity and temperature on DSSC performance</b:Title>
    <b:JournalName>International Journal of Advanced Renewable Energy Research</b:JournalName>
    <b:Year>2012</b:Year>
    <b:Pages>17-25</b:Pages>
    <b:Volume>1</b:Volume>
    <b:Issue>2(4)</b:Issue>
    <b:RefOrder>449</b:RefOrder>
  </b:Source>
  <b:Source>
    <b:Tag>Ota13</b:Tag>
    <b:SourceType>ConferenceProceedings</b:SourceType>
    <b:Guid>{54488FC0-7021-4435-9BE9-2AF3823CA235}</b:Guid>
    <b:Author>
      <b:Author>
        <b:NameList>
          <b:Person>
            <b:Last>Otakwa</b:Last>
            <b:First>R.V.M.</b:First>
          </b:Person>
          <b:Person>
            <b:Last>Simiyu</b:Last>
            <b:First>J.</b:First>
          </b:Person>
          <b:Person>
            <b:Last>Waita</b:Last>
            <b:First>S.M.</b:First>
          </b:Person>
          <b:Person>
            <b:Last>Mwabora</b:Last>
            <b:First>J.M.</b:First>
          </b:Person>
        </b:NameList>
      </b:Author>
    </b:Author>
    <b:Title>The complementarity of dye-sensitized and amorphous silicon photovoltaics in field application in the tropics</b:Title>
    <b:Year>2013</b:Year>
    <b:ConferenceName>1st Young Scientists' MSSESA Conference on Material Science and Solar Cell Technology, 28-29 November</b:ConferenceName>
    <b:City>United Kenya Club, Nairobi, Kenya</b:City>
    <b:RefOrder>450</b:RefOrder>
  </b:Source>
  <b:Source>
    <b:Tag>Ota131</b:Tag>
    <b:SourceType>JournalArticle</b:SourceType>
    <b:Guid>{BF8401B8-5B9B-4ABB-94A3-D6D91B694C82}</b:Guid>
    <b:Author>
      <b:Author>
        <b:NameList>
          <b:Person>
            <b:Last>Otakwa</b:Last>
            <b:First>R.V.M.</b:First>
          </b:Person>
          <b:Person>
            <b:Last>Simiyu</b:Last>
            <b:First>J.</b:First>
          </b:Person>
          <b:Person>
            <b:Last>Mwabora</b:Last>
            <b:First>J.M.</b:First>
          </b:Person>
        </b:NameList>
      </b:Author>
    </b:Author>
    <b:Title>Dye-sensitized and amorphous silicon photovoltaics (PV) devices' outdoor performance: a comparative study</b:Title>
    <b:Pages>532-538</b:Pages>
    <b:Year>2013</b:Year>
    <b:JournalName>International Journal of Emerging Technology and Advanced Engineering</b:JournalName>
    <b:Volume>3</b:Volume>
    <b:Issue>7</b:Issue>
    <b:RefOrder>451</b:RefOrder>
  </b:Source>
  <b:Source>
    <b:Tag>Sch11</b:Tag>
    <b:SourceType>BookSection</b:SourceType>
    <b:Guid>{DDDA1345-0B58-4EE6-8630-3576DA7965C2}</b:Guid>
    <b:Author>
      <b:Author>
        <b:NameList>
          <b:Person>
            <b:Last>Schiff</b:Last>
            <b:First>E.A.</b:First>
          </b:Person>
          <b:Person>
            <b:Last>Hegedus</b:Last>
            <b:First>S.</b:First>
          </b:Person>
          <b:Person>
            <b:Last>Deng</b:Last>
            <b:First>X.</b:First>
          </b:Person>
        </b:NameList>
      </b:Author>
      <b:BookAuthor>
        <b:NameList>
          <b:Person>
            <b:Last>Hegedus</b:Last>
            <b:First>Ed.</b:First>
            <b:Middle>A. Luque and S.</b:Middle>
          </b:Person>
        </b:NameList>
      </b:BookAuthor>
    </b:Author>
    <b:Title>Amorphous silicon-based solar cells</b:Title>
    <b:Year>2011</b:Year>
    <b:BookTitle>Handbook of photovoltaic science and engineering</b:BookTitle>
    <b:City>West Sussex</b:City>
    <b:Publisher>John Wiley &amp; Sons Ltd.</b:Publisher>
    <b:RefOrder>452</b:RefOrder>
  </b:Source>
  <b:Source>
    <b:Tag>Chi69</b:Tag>
    <b:SourceType>JournalArticle</b:SourceType>
    <b:Guid>{5D02C656-B0DA-4D9B-9929-0D2F7B8BE8CB}</b:Guid>
    <b:Author>
      <b:Author>
        <b:NameList>
          <b:Person>
            <b:Last>Chittick</b:Last>
            <b:First>R.C.</b:First>
          </b:Person>
          <b:Person>
            <b:Last>Alexander</b:Last>
            <b:First>J.H.</b:First>
          </b:Person>
          <b:Person>
            <b:Last>Sterling</b:Last>
            <b:First>H.F.</b:First>
          </b:Person>
        </b:NameList>
      </b:Author>
    </b:Author>
    <b:Title>The preparation and properties of amorphous silicon</b:Title>
    <b:Year>1969</b:Year>
    <b:Pages>77-81</b:Pages>
    <b:JournalName>Journal of the Electrochemical Society</b:JournalName>
    <b:Volume>116</b:Volume>
    <b:Issue>1</b:Issue>
    <b:RefOrder>453</b:RefOrder>
  </b:Source>
  <b:Source>
    <b:Tag>Chi85</b:Tag>
    <b:SourceType>BookSection</b:SourceType>
    <b:Guid>{0A6CA38F-7F2F-456A-A694-7E8166DB66FF}</b:Guid>
    <b:Author>
      <b:Author>
        <b:NameList>
          <b:Person>
            <b:Last>Chittick</b:Last>
            <b:First>R.</b:First>
          </b:Person>
          <b:Person>
            <b:Last>Sterling</b:Last>
            <b:First>H.</b:First>
          </b:Person>
        </b:NameList>
      </b:Author>
      <b:BookAuthor>
        <b:NameList>
          <b:Person>
            <b:Last>Adler</b:Last>
            <b:First>D.</b:First>
          </b:Person>
          <b:Person>
            <b:Last>Fritzsche</b:Last>
            <b:First>H.,</b:First>
            <b:Middle>Eds.</b:Middle>
          </b:Person>
        </b:NameList>
      </b:BookAuthor>
    </b:Author>
    <b:Year>1985</b:Year>
    <b:Pages>1-11</b:Pages>
    <b:BookTitle>Tetrahdrally bonded amorphous semiconductors</b:BookTitle>
    <b:City>New York</b:City>
    <b:Publisher>Plenum</b:Publisher>
    <b:RefOrder>454</b:RefOrder>
  </b:Source>
  <b:Source>
    <b:Tag>Wil84</b:Tag>
    <b:SourceType>Book</b:SourceType>
    <b:Guid>{F25D9AB2-1556-407C-AA5C-BB6D30150E06}</b:Guid>
    <b:Author>
      <b:Author>
        <b:NameList>
          <b:Person>
            <b:Last>Williams</b:Last>
            <b:First>E.</b:First>
          </b:Person>
        </b:NameList>
      </b:Author>
    </b:Author>
    <b:Title>The physics and technology of xenographic processes</b:Title>
    <b:Year>1984</b:Year>
    <b:City>New York</b:City>
    <b:Publisher>John Wiley &amp; Sons Ltd.</b:Publisher>
    <b:RefOrder>455</b:RefOrder>
  </b:Source>
  <b:Source>
    <b:Tag>Mor89</b:Tag>
    <b:SourceType>Book</b:SourceType>
    <b:Guid>{01EAD683-932B-467D-86B4-04F0C523D104}</b:Guid>
    <b:Author>
      <b:Author>
        <b:NameList>
          <b:Person>
            <b:Last>Mort</b:Last>
            <b:First>J.</b:First>
          </b:Person>
        </b:NameList>
      </b:Author>
    </b:Author>
    <b:Title>The anatomy of xenography: its invention and evolution</b:Title>
    <b:Year>1989</b:Year>
    <b:City>Jefferson</b:City>
    <b:Publisher>McFarland</b:Publisher>
    <b:RefOrder>456</b:RefOrder>
  </b:Source>
  <b:Source>
    <b:Tag>Den03</b:Tag>
    <b:SourceType>BookSection</b:SourceType>
    <b:Guid>{ECDB02A9-BE5A-4689-BDF7-A32AF29017C1}</b:Guid>
    <b:Author>
      <b:Author>
        <b:NameList>
          <b:Person>
            <b:Last>Deng</b:Last>
            <b:First>X.</b:First>
          </b:Person>
          <b:Person>
            <b:Last>Schiff</b:Last>
            <b:First>E.</b:First>
          </b:Person>
        </b:NameList>
      </b:Author>
      <b:BookAuthor>
        <b:NameList>
          <b:Person>
            <b:Last>Eds.</b:Last>
            <b:First>A.</b:First>
            <b:Middle>Luque and S. Hgedus</b:Middle>
          </b:Person>
        </b:NameList>
      </b:BookAuthor>
    </b:Author>
    <b:Title>Amorphous silicon based solar cells</b:Title>
    <b:Year>2003</b:Year>
    <b:City>Chichester</b:City>
    <b:Publisher>John Wiley &amp; Sons Ltd.</b:Publisher>
    <b:BookTitle>Handbook of photovoltaic science and engineering</b:BookTitle>
    <b:Pages>505-565</b:Pages>
    <b:RefOrder>457</b:RefOrder>
  </b:Source>
  <b:Source>
    <b:Tag>Spe75</b:Tag>
    <b:SourceType>JournalArticle</b:SourceType>
    <b:Guid>{83026278-9342-4CCC-B97B-27A47D38E6E4}</b:Guid>
    <b:Author>
      <b:Author>
        <b:NameList>
          <b:Person>
            <b:Last>Spear</b:Last>
            <b:First>W.</b:First>
          </b:Person>
          <b:Person>
            <b:Last>LeComber</b:Last>
            <b:First>P.</b:First>
          </b:Person>
        </b:NameList>
      </b:Author>
    </b:Author>
    <b:Title>Substitutional doping of amorphous silicon</b:Title>
    <b:Year>1975</b:Year>
    <b:Pages>1193</b:Pages>
    <b:JournalName>Solid State Communication</b:JournalName>
    <b:Volume>17</b:Volume>
    <b:RefOrder>458</b:RefOrder>
  </b:Source>
  <b:Source>
    <b:Tag>Car76</b:Tag>
    <b:SourceType>JournalArticle</b:SourceType>
    <b:Guid>{7F3CD9A9-5A3F-47BE-9AE5-EE9E7E88C071}</b:Guid>
    <b:Author>
      <b:Author>
        <b:NameList>
          <b:Person>
            <b:Last>Carlson</b:Last>
            <b:First>D.</b:First>
          </b:Person>
          <b:Person>
            <b:Last>Wronski</b:Last>
            <b:First>C.</b:First>
          </b:Person>
        </b:NameList>
      </b:Author>
    </b:Author>
    <b:Title>Amorphous silicon solar cell</b:Title>
    <b:JournalName>Applied Physics Letters</b:JournalName>
    <b:Year>1976</b:Year>
    <b:Pages>671-673</b:Pages>
    <b:Volume>28</b:Volume>
    <b:Issue>11</b:Issue>
    <b:RefOrder>459</b:RefOrder>
  </b:Source>
  <b:Source>
    <b:Tag>Van98</b:Tag>
    <b:SourceType>JournalArticle</b:SourceType>
    <b:Guid>{B6066B37-E5DE-456A-9AA0-0A508760D8F5}</b:Guid>
    <b:Author>
      <b:Author>
        <b:NameList>
          <b:Person>
            <b:Last>Vaněček</b:Last>
            <b:First>M.</b:First>
          </b:Person>
          <b:Person>
            <b:Last>Poruba</b:Last>
            <b:First>A.</b:First>
          </b:Person>
          <b:Person>
            <b:Last>Remes</b:Last>
            <b:First>Z.</b:First>
          </b:Person>
          <b:Person>
            <b:Last>Beck</b:Last>
            <b:First>N.</b:First>
          </b:Person>
          <b:Person>
            <b:Last>Nesladek</b:Last>
            <b:First>M.</b:First>
          </b:Person>
        </b:NameList>
      </b:Author>
    </b:Author>
    <b:Title>Optical properties of microcrystalline materials</b:Title>
    <b:Pages>967-972</b:Pages>
    <b:Year>1998</b:Year>
    <b:JournalName>Journal of Non-Crystalline Solids</b:JournalName>
    <b:Volume>227-230</b:Volume>
    <b:RefOrder>460</b:RefOrder>
  </b:Source>
  <b:Source>
    <b:Tag>Sta77</b:Tag>
    <b:SourceType>JournalArticle</b:SourceType>
    <b:Guid>{2091440A-9E98-4698-B085-725206F3E453}</b:Guid>
    <b:Author>
      <b:Author>
        <b:NameList>
          <b:Person>
            <b:Last>Staebler</b:Last>
            <b:First>D.</b:First>
          </b:Person>
          <b:Person>
            <b:Last>Wronski</b:Last>
            <b:First>C.</b:First>
          </b:Person>
        </b:NameList>
      </b:Author>
    </b:Author>
    <b:Title>Reversible conductivity changes in discharge-produced amorphous Si</b:Title>
    <b:JournalName>Applied Physics Letters</b:JournalName>
    <b:Year>1977</b:Year>
    <b:Pages>292-294</b:Pages>
    <b:Volume>31</b:Volume>
    <b:Issue>4</b:Issue>
    <b:RefOrder>461</b:RefOrder>
  </b:Source>
  <b:Source>
    <b:Tag>deC99</b:Tag>
    <b:SourceType>JournalArticle</b:SourceType>
    <b:Guid>{5CCF3621-9B7F-4908-82D0-7C1A24F985B5}</b:Guid>
    <b:Author>
      <b:Author>
        <b:NameList>
          <b:Person>
            <b:Last>de Cueto</b:Last>
            <b:First>J.</b:First>
          </b:Person>
          <b:Person>
            <b:Last>von Roedern</b:Last>
            <b:First>B.</b:First>
          </b:Person>
        </b:NameList>
      </b:Author>
    </b:Author>
    <b:Title>Temperature-induced changes in the performance of amorphous silicon multi-junction modules in controlled light soaking</b:Title>
    <b:Pages>101-112</b:Pages>
    <b:Year>1999</b:Year>
    <b:JournalName>Progress in Photovoltaics</b:JournalName>
    <b:Volume>7</b:Volume>
    <b:Issue>2</b:Issue>
    <b:RefOrder>462</b:RefOrder>
  </b:Source>
  <b:Source>
    <b:Tag>Kin</b:Tag>
    <b:SourceType>ConferenceProceedings</b:SourceType>
    <b:Guid>{0D63328B-3619-4EAB-A288-EFC4AE367443}</b:Guid>
    <b:Author>
      <b:Author>
        <b:NameList>
          <b:Person>
            <b:Last>King</b:Last>
            <b:First>D.</b:First>
          </b:Person>
          <b:Person>
            <b:Last>Boyson</b:Last>
            <b:First>W.</b:First>
          </b:Person>
          <b:Person>
            <b:Last>Bower</b:Last>
            <b:First>W.</b:First>
          </b:Person>
        </b:NameList>
      </b:Author>
    </b:Author>
    <b:Title>Field experience with new performance characterisation procedure for photovoltaic arrays</b:Title>
    <b:ConferenceName>2nd World Conference and Exhibition on Photovoltaic Solar Energy Conversion</b:ConferenceName>
    <b:City>Vienna</b:City>
    <b:Year>1998</b:Year>
    <b:RefOrder>463</b:RefOrder>
  </b:Source>
  <b:Source>
    <b:Tag>Sko11</b:Tag>
    <b:SourceType>ConferenceProceedings</b:SourceType>
    <b:Guid>{87B0EA3B-7073-4278-8E30-7438772DAF75}</b:Guid>
    <b:Author>
      <b:Author>
        <b:NameList>
          <b:Person>
            <b:Last>Skoczek</b:Last>
            <b:First>A.</b:First>
          </b:Person>
          <b:Person>
            <b:Last>Virtuani</b:Last>
            <b:First>A.</b:First>
          </b:Person>
          <b:Person>
            <b:Last>Cebecauer</b:Last>
            <b:First>T.</b:First>
          </b:Person>
          <b:Person>
            <b:Last>Chianese</b:Last>
            <b:First>D.</b:First>
          </b:Person>
        </b:NameList>
      </b:Author>
    </b:Author>
    <b:Title>Energy yield of amorphous silicon PV modules using full time series of irradiance and temeprature for different geographical locations</b:Title>
    <b:Year>2011</b:Year>
    <b:ConferenceName>26th European Photovoltaics Solar Energy Conference</b:ConferenceName>
    <b:City>Hamburg, Germany</b:City>
    <b:RefOrder>464</b:RefOrder>
  </b:Source>
  <b:Source>
    <b:Tag>YeJ13</b:Tag>
    <b:SourceType>JournalArticle</b:SourceType>
    <b:Guid>{ADF3B787-4895-46BD-9B3A-783F3969FB4C}</b:Guid>
    <b:Author>
      <b:Author>
        <b:NameList>
          <b:Person>
            <b:Last>Ye</b:Last>
            <b:First>J.</b:First>
          </b:Person>
          <b:Person>
            <b:Last>Ding</b:Last>
            <b:First>K.</b:First>
          </b:Person>
          <b:Person>
            <b:Last>Reindl</b:Last>
            <b:First>T.</b:First>
          </b:Person>
          <b:Person>
            <b:Last>Aberle</b:Last>
            <b:First>A.</b:First>
          </b:Person>
        </b:NameList>
      </b:Author>
    </b:Author>
    <b:Title>Outdoor PV module performance under fluctuating irradiance in tropical climates</b:Title>
    <b:Pages>238-247</b:Pages>
    <b:Year>2013</b:Year>
    <b:JournalName>Energy Procedia</b:JournalName>
    <b:Volume>33</b:Volume>
    <b:RefOrder>465</b:RefOrder>
  </b:Source>
  <b:Source>
    <b:Tag>Ish10</b:Tag>
    <b:SourceType>JournalArticle</b:SourceType>
    <b:Guid>{6919AA9D-F7CA-4516-A1C9-9E0AF6D946E3}</b:Guid>
    <b:Author>
      <b:Author>
        <b:NameList>
          <b:Person>
            <b:Last>Ishii</b:Last>
            <b:First>T.</b:First>
          </b:Person>
          <b:Person>
            <b:Last>Otani</b:Last>
            <b:First>K.</b:First>
          </b:Person>
          <b:Person>
            <b:Last>Takashima</b:Last>
            <b:First>T.</b:First>
          </b:Person>
        </b:NameList>
      </b:Author>
    </b:Author>
    <b:Title>Effects of solar spectrum and module temperature on outdoor performance of photovoltaic modules in round-robin measurements in Japan</b:Title>
    <b:JournalName>Progress in Photovoltaics</b:JournalName>
    <b:Year>2010</b:Year>
    <b:Pages>141-148</b:Pages>
    <b:Volume>19</b:Volume>
    <b:Issue>2</b:Issue>
    <b:RefOrder>466</b:RefOrder>
  </b:Source>
  <b:Source>
    <b:Tag>Bas14</b:Tag>
    <b:SourceType>JournalArticle</b:SourceType>
    <b:Guid>{C8F223C1-64FB-4014-8212-59A4FF244E38}</b:Guid>
    <b:Author>
      <b:Author>
        <b:NameList>
          <b:Person>
            <b:Last>Bashir</b:Last>
            <b:First>M.</b:First>
          </b:Person>
          <b:Person>
            <b:Last>Ali</b:Last>
            <b:First>H.</b:First>
          </b:Person>
          <b:Person>
            <b:Last>Khalil</b:Last>
            <b:First>S.</b:First>
          </b:Person>
          <b:Person>
            <b:Last>Ali</b:Last>
            <b:First>M.</b:First>
          </b:Person>
          <b:Person>
            <b:Last>Siddigui</b:Last>
            <b:First>A.</b:First>
          </b:Person>
        </b:NameList>
      </b:Author>
    </b:Author>
    <b:Title>Comparison of performance measurements of photovoltaic modules during winter months in Taxila, Pakistan</b:Title>
    <b:JournalName>International Journal of Photoenergy</b:JournalName>
    <b:Year>2014</b:Year>
    <b:Pages>Article ID. 898414, Volume 2014, 8 pages, doi:10.1155/2014/898414</b:Pages>
    <b:RefOrder>467</b:RefOrder>
  </b:Source>
  <b:Source>
    <b:Tag>Ugw121</b:Tag>
    <b:SourceType>JournalArticle</b:SourceType>
    <b:Guid>{C88822AB-21EA-4B3C-8D0E-F182C5A2A1AB}</b:Guid>
    <b:Author>
      <b:Author>
        <b:NameList>
          <b:Person>
            <b:Last>Ugwoke</b:Last>
            <b:First>P.</b:First>
          </b:Person>
          <b:Person>
            <b:Last>Okeke</b:Last>
            <b:First>C.</b:First>
          </b:Person>
        </b:NameList>
      </b:Author>
    </b:Author>
    <b:Title>Performance assessment of three PV modules as a function of solar insolation in South Eastern Nigeria</b:Title>
    <b:JournalName>International Journal of Applied Science and Technology</b:JournalName>
    <b:Year>2012</b:Year>
    <b:Pages>319-327</b:Pages>
    <b:Volume>2</b:Volume>
    <b:Issue>3</b:Issue>
    <b:RefOrder>468</b:RefOrder>
  </b:Source>
  <b:Source>
    <b:Tag>Car03</b:Tag>
    <b:SourceType>JournalArticle</b:SourceType>
    <b:Guid>{763D263D-AFE4-4D66-90C7-720CFDDEE2FA}</b:Guid>
    <b:Author>
      <b:Author>
        <b:NameList>
          <b:Person>
            <b:Last>Carr</b:Last>
            <b:First>A.</b:First>
          </b:Person>
          <b:Person>
            <b:Last>Pryor</b:Last>
            <b:First>T.</b:First>
          </b:Person>
        </b:NameList>
      </b:Author>
    </b:Author>
    <b:Title>A comparison of the performance of different PV module types in temperate climates</b:Title>
    <b:JournalName>Solar Energy</b:JournalName>
    <b:Year>2003</b:Year>
    <b:Pages>285-294</b:Pages>
    <b:Volume>76</b:Volume>
    <b:RefOrder>469</b:RefOrder>
  </b:Source>
  <b:Source>
    <b:Tag>Akh97</b:Tag>
    <b:SourceType>JournalArticle</b:SourceType>
    <b:Guid>{54AE4319-9B72-4979-AC69-522C6CA85193}</b:Guid>
    <b:Author>
      <b:Author>
        <b:NameList>
          <b:Person>
            <b:Last>Akhmad</b:Last>
            <b:First>K.</b:First>
          </b:Person>
          <b:Person>
            <b:Last>Kitamura</b:Last>
            <b:First>A.</b:First>
          </b:Person>
          <b:Person>
            <b:Last>Yamamoto</b:Last>
            <b:First>F.</b:First>
          </b:Person>
          <b:Person>
            <b:Last>Okamoto</b:Last>
            <b:First>H.</b:First>
          </b:Person>
          <b:Person>
            <b:Last>Takakura</b:Last>
            <b:First>H.,</b:First>
            <b:Middle>Hamakawa, Y.</b:Middle>
          </b:Person>
        </b:NameList>
      </b:Author>
    </b:Author>
    <b:Title>Outdoor performance of a-Si and p-Si modules</b:Title>
    <b:Pages>209-218</b:Pages>
    <b:Year>1997</b:Year>
    <b:JournalName>Solar Energy Materials and Solar Cells</b:JournalName>
    <b:Volume>46</b:Volume>
    <b:RefOrder>470</b:RefOrder>
  </b:Source>
  <b:Source>
    <b:Tag>Bou12</b:Tag>
    <b:SourceType>JournalArticle</b:SourceType>
    <b:Guid>{D0BF5B69-40F0-49B8-9563-81E68C32A238}</b:Guid>
    <b:Author>
      <b:Author>
        <b:NameList>
          <b:Person>
            <b:Last>Boutchich</b:Last>
            <b:First>M.</b:First>
          </b:Person>
          <b:Person>
            <b:Last>Alvarez</b:Last>
            <b:First>J.</b:First>
          </b:Person>
          <b:Person>
            <b:Last>Diouf</b:Last>
            <b:First>D.</b:First>
          </b:Person>
          <b:Person>
            <b:Last>Cabarrocas</b:Last>
            <b:First>P.</b:First>
          </b:Person>
          <b:Person>
            <b:Last>Liao</b:Last>
            <b:First>M.</b:First>
            <b:Middle>Masataka, T.</b:Middle>
          </b:Person>
        </b:NameList>
      </b:Author>
    </b:Author>
    <b:Title>Amorphous silicon diamond based heterojunction with high rectification ratio</b:Title>
    <b:JournalName>Journal of Non-Crystalline Solids</b:JournalName>
    <b:Year>2012</b:Year>
    <b:Pages>2110-2113</b:Pages>
    <b:Volume>358</b:Volume>
    <b:Issue>17</b:Issue>
    <b:RefOrder>471</b:RefOrder>
  </b:Source>
  <b:Source>
    <b:Tag>Rad09</b:Tag>
    <b:SourceType>JournalArticle</b:SourceType>
    <b:Guid>{2509CF73-CCD1-418C-AF1E-080559B6F3DE}</b:Guid>
    <b:Author>
      <b:Author>
        <b:NameList>
          <b:Person>
            <b:Last>Radue</b:Last>
            <b:First>C.</b:First>
          </b:Person>
          <b:Person>
            <b:Last>van Dyk</b:Last>
            <b:First>E.</b:First>
          </b:Person>
          <b:Person>
            <b:Last>Macabebe</b:Last>
            <b:First>E.</b:First>
          </b:Person>
        </b:NameList>
      </b:Author>
    </b:Author>
    <b:Title>Analysis of performance and device parameters of CIGS PV modules deployed outdoors</b:Title>
    <b:JournalName>Thin Solid Films</b:JournalName>
    <b:Year>2009</b:Year>
    <b:Pages>2383-2385</b:Pages>
    <b:Volume>517</b:Volume>
    <b:RefOrder>472</b:RefOrder>
  </b:Source>
  <b:Source>
    <b:Tag>Mit15</b:Tag>
    <b:SourceType>JournalArticle</b:SourceType>
    <b:Guid>{D71E1AAA-7D8B-4423-805D-60C329213724}</b:Guid>
    <b:Author>
      <b:Author>
        <b:NameList>
          <b:Person>
            <b:Last>Mittal</b:Last>
            <b:First>A.</b:First>
          </b:Person>
          <b:Person>
            <b:Last>Rennhofer</b:Last>
            <b:First>M.</b:First>
          </b:Person>
          <b:Person>
            <b:Last>Danger</b:Last>
            <b:First>A.</b:First>
          </b:Person>
          <b:Person>
            <b:Last>Duman</b:Last>
            <b:First>B.</b:First>
          </b:Person>
          <b:Person>
            <b:Last>Schlosser</b:Last>
            <b:First>V.</b:First>
          </b:Person>
        </b:NameList>
      </b:Author>
    </b:Author>
    <b:Title>Power change in amorphous silicon technology by low temperature annealing</b:Title>
    <b:JournalName>European Physical Journal of Photovoltaics</b:JournalName>
    <b:Year>2015</b:Year>
    <b:Pages>1-7</b:Pages>
    <b:Volume>6</b:Volume>
    <b:Issue>65304</b:Issue>
    <b:RefOrder>473</b:RefOrder>
  </b:Source>
  <b:Source>
    <b:Tag>del99</b:Tag>
    <b:SourceType>JournalArticle</b:SourceType>
    <b:Guid>{3730F92D-4DDB-47E5-B0CE-5F41CF8FBFE6}</b:Guid>
    <b:Author>
      <b:Author>
        <b:NameList>
          <b:Person>
            <b:Last>del Cueto</b:Last>
            <b:First>J.</b:First>
          </b:Person>
          <b:Person>
            <b:Last>von Roedern</b:Last>
            <b:First>B.</b:First>
          </b:Person>
        </b:NameList>
      </b:Author>
    </b:Author>
    <b:Title>Temperature-induced changes in the performance of amorphous silicon multi-junction modules in light controlled light-soaking</b:Title>
    <b:JournalName>Progress in Photovoltaics: Research and Applications</b:JournalName>
    <b:Year>1999</b:Year>
    <b:Pages>101-112</b:Pages>
    <b:Volume>7</b:Volume>
    <b:RefOrder>474</b:RefOrder>
  </b:Source>
  <b:Source>
    <b:Tag>Ren11</b:Tag>
    <b:SourceType>ConferenceProceedings</b:SourceType>
    <b:Guid>{424CC58E-555B-4CD4-9E5E-1D64FA7A003B}</b:Guid>
    <b:Author>
      <b:Author>
        <b:NameList>
          <b:Person>
            <b:Last>Rennhofer</b:Last>
            <b:First>M.</b:First>
          </b:Person>
        </b:NameList>
      </b:Author>
    </b:Author>
    <b:Title>Correlation of weather and spectral changes for evaluation of thin-film PV module performance</b:Title>
    <b:Year>2011</b:Year>
    <b:Pages>56-62</b:Pages>
    <b:ConferenceName>Thin-Film Conference</b:ConferenceName>
    <b:City>München</b:City>
    <b:RefOrder>475</b:RefOrder>
  </b:Source>
  <b:Source>
    <b:Tag>Hel12</b:Tag>
    <b:SourceType>ConferenceProceedings</b:SourceType>
    <b:Guid>{D1397CBD-8F70-42FA-AB4F-31E4A1EEDDF7}</b:Guid>
    <b:Author>
      <b:Author>
        <b:NameList>
          <b:Person>
            <b:Last>Helmbrecht</b:Last>
            <b:First>V.</b:First>
          </b:Person>
          <b:Person>
            <b:Last>Craciun</b:Last>
            <b:First>D.</b:First>
          </b:Person>
          <b:Person>
            <b:Last>Ellis</b:Last>
            <b:First>A.</b:First>
          </b:Person>
          <b:Person>
            <b:Last>Granata</b:Last>
            <b:First>J.</b:First>
          </b:Person>
          <b:Person>
            <b:Last>Tselepis</b:Last>
            <b:First>S.</b:First>
          </b:Person>
          <b:Person>
            <b:Last>Kyritsis</b:Last>
            <b:First>A.</b:First>
          </b:Person>
          <b:Person>
            <b:Last>Hatziargyriou</b:Last>
            <b:First>A.</b:First>
          </b:Person>
        </b:NameList>
      </b:Author>
    </b:Author>
    <b:Title>Harmonized procedures for long term energy yield measurements and performance evaluation</b:Title>
    <b:Pages>194-201</b:Pages>
    <b:Year>2012</b:Year>
    <b:ConferenceName>Photovoltaics International 15th Edition</b:ConferenceName>
    <b:City>Alberta, Canada</b:City>
    <b:RefOrder>476</b:RefOrder>
  </b:Source>
  <b:Source>
    <b:Tag>Stu85</b:Tag>
    <b:SourceType>JournalArticle</b:SourceType>
    <b:Guid>{844C9292-DFD9-4A6C-8D4D-D0FBEE758AEF}</b:Guid>
    <b:Author>
      <b:Author>
        <b:NameList>
          <b:Person>
            <b:Last>Stutzmann</b:Last>
            <b:First>M.</b:First>
          </b:Person>
          <b:Person>
            <b:Last>Jackson</b:Last>
            <b:First>W.</b:First>
          </b:Person>
          <b:Person>
            <b:Last>Tsai</b:Last>
            <b:First>C.</b:First>
          </b:Person>
        </b:NameList>
      </b:Author>
    </b:Author>
    <b:Title>Light-induced metastable defects in hydrogenated amorphous silicon</b:Title>
    <b:Year>1985</b:Year>
    <b:Pages>23-47</b:Pages>
    <b:JournalName>Physical Review B</b:JournalName>
    <b:Volume>32</b:Volume>
    <b:RefOrder>477</b:RefOrder>
  </b:Source>
  <b:Source>
    <b:Tag>Bra98</b:Tag>
    <b:SourceType>JournalArticle</b:SourceType>
    <b:Guid>{150EF692-2DCB-4796-A3D5-E7DE2A8CA6F5}</b:Guid>
    <b:Author>
      <b:Author>
        <b:NameList>
          <b:Person>
            <b:Last>Branz</b:Last>
            <b:First>H.</b:First>
          </b:Person>
        </b:NameList>
      </b:Author>
    </b:Author>
    <b:Title>Hydrogen collision model of light-induced metastability in hydrogenated amorphous silicon</b:Title>
    <b:JournalName>Solid State Communications</b:JournalName>
    <b:Year>1998</b:Year>
    <b:Pages>387-391</b:Pages>
    <b:Volume>105</b:Volume>
    <b:Issue>6</b:Issue>
    <b:RefOrder>478</b:RefOrder>
  </b:Source>
  <b:Source>
    <b:Tag>Zaf89</b:Tag>
    <b:SourceType>JournalArticle</b:SourceType>
    <b:Guid>{BECAB7A9-0FFC-45A5-9A25-9275AE98BF6A}</b:Guid>
    <b:Author>
      <b:Author>
        <b:NameList>
          <b:Person>
            <b:Last>Zafar</b:Last>
            <b:First>S.</b:First>
          </b:Person>
          <b:Person>
            <b:Last>Schiff</b:Last>
            <b:First>E.</b:First>
          </b:Person>
        </b:NameList>
      </b:Author>
    </b:Author>
    <b:Title>Hydrogen-mediated model for defect metastability in hydrogenated amorphous silicon</b:Title>
    <b:JournalName>Physical Review B: Condensed Matter</b:JournalName>
    <b:Year>1989</b:Year>
    <b:Pages>5235-5238</b:Pages>
    <b:Volume>1;40</b:Volume>
    <b:Issue>7</b:Issue>
    <b:RefOrder>479</b:RefOrder>
  </b:Source>
  <b:Source>
    <b:Tag>Bon98</b:Tag>
    <b:SourceType>JournalArticle</b:SourceType>
    <b:Guid>{028F9EBC-3B44-4B6E-BBA3-2942674E34B1}</b:Guid>
    <b:Author>
      <b:Author>
        <b:NameList>
          <b:Person>
            <b:Last>Bonnet</b:Last>
            <b:First>D.</b:First>
          </b:Person>
          <b:Person>
            <b:Last>Meyers</b:Last>
            <b:First>P.</b:First>
          </b:Person>
        </b:NameList>
      </b:Author>
    </b:Author>
    <b:Title>Cadmium telluride - metarial for thin film solar cells</b:Title>
    <b:Year>1998</b:Year>
    <b:JournalName>Journal of Material Research</b:JournalName>
    <b:Pages>2740-2753</b:Pages>
    <b:Volume>13</b:Volume>
    <b:RefOrder>480</b:RefOrder>
  </b:Source>
  <b:Source>
    <b:Tag>Bir971</b:Tag>
    <b:SourceType>JournalArticle</b:SourceType>
    <b:Guid>{34EEBB50-19DD-4A9F-9481-AC87F582F866}</b:Guid>
    <b:Author>
      <b:Author>
        <b:NameList>
          <b:Person>
            <b:Last>Birkmire</b:Last>
            <b:First>R.</b:First>
          </b:Person>
          <b:Person>
            <b:Last>Eser</b:Last>
            <b:First>E.</b:First>
          </b:Person>
        </b:NameList>
      </b:Author>
    </b:Author>
    <b:Title>Polycrystalline thin film solar cells</b:Title>
    <b:JournalName>Journal of Material Research</b:JournalName>
    <b:Year>1997</b:Year>
    <b:Pages>625-653</b:Pages>
    <b:Volume>27</b:Volume>
    <b:RefOrder>481</b:RefOrder>
  </b:Source>
  <b:Source>
    <b:Tag>Dur99</b:Tag>
    <b:SourceType>JournalArticle</b:SourceType>
    <b:Guid>{68FC16DC-4DE1-4836-983E-3E24C4EAB3A4}</b:Guid>
    <b:Author>
      <b:Author>
        <b:NameList>
          <b:Person>
            <b:Last>Durose</b:Last>
            <b:First>K.</b:First>
          </b:Person>
          <b:Person>
            <b:Last>Edwards</b:Last>
            <b:First>P.</b:First>
          </b:Person>
          <b:Person>
            <b:Last>Halliday</b:Last>
            <b:First>D.</b:First>
          </b:Person>
        </b:NameList>
      </b:Author>
    </b:Author>
    <b:Title>Materials aspects of CdTe/CdS solar cells</b:Title>
    <b:Year>1999</b:Year>
    <b:JournalName>Journal of Crystal Growth</b:JournalName>
    <b:Pages>733-742</b:Pages>
    <b:RefOrder>482</b:RefOrder>
  </b:Source>
  <b:Source>
    <b:Tag>Bon981</b:Tag>
    <b:SourceType>JournalArticle</b:SourceType>
    <b:Guid>{78664AC4-EE5D-45E5-9539-B416AC505142}</b:Guid>
    <b:Author>
      <b:Author>
        <b:NameList>
          <b:Person>
            <b:Last>Bonnet</b:Last>
            <b:First>D.</b:First>
          </b:Person>
          <b:Person>
            <b:Last>Meyers</b:Last>
            <b:First>P.</b:First>
          </b:Person>
        </b:NameList>
      </b:Author>
    </b:Author>
    <b:Title>Cadmium telluride materials for thin film solar cells</b:Title>
    <b:JournalName>Journal of Materials Research</b:JournalName>
    <b:Year>1998</b:Year>
    <b:Pages>2740-2753</b:Pages>
    <b:Volume>13</b:Volume>
    <b:Issue>10</b:Issue>
    <b:RefOrder>483</b:RefOrder>
  </b:Source>
  <b:Source>
    <b:Tag>Bag15</b:Tag>
    <b:SourceType>JournalArticle</b:SourceType>
    <b:Guid>{0C2FD810-C26F-44EF-902A-639D1A41E218}</b:Guid>
    <b:Author>
      <b:Author>
        <b:NameList>
          <b:Person>
            <b:Last>Bagher</b:Last>
            <b:First>A.</b:First>
          </b:Person>
          <b:Person>
            <b:Last>Vahid</b:Last>
            <b:First>M.</b:First>
          </b:Person>
          <b:Person>
            <b:Last>Mohsen</b:Last>
            <b:First>M.</b:First>
          </b:Person>
        </b:NameList>
      </b:Author>
    </b:Author>
    <b:Title>Types of solar cells and applications</b:Title>
    <b:Year>2015</b:Year>
    <b:JournalName>American Journal of Optics and Photonics</b:JournalName>
    <b:Pages>94-113</b:Pages>
    <b:Volume>3</b:Volume>
    <b:Issue>5</b:Issue>
    <b:RefOrder>484</b:RefOrder>
  </b:Source>
  <b:Source>
    <b:Tag>Mak12</b:Tag>
    <b:SourceType>BookSection</b:SourceType>
    <b:Guid>{26250D0D-3663-430C-82A7-22F3E9DF7ED8}</b:Guid>
    <b:Author>
      <b:Author>
        <b:NameList>
          <b:Person>
            <b:Last>Makrides</b:Last>
            <b:First>G.</b:First>
          </b:Person>
          <b:Person>
            <b:Last>Zinsser</b:Last>
            <b:First>B.</b:First>
          </b:Person>
          <b:Person>
            <b:Last>Norton</b:Last>
            <b:First>M.</b:First>
          </b:Person>
          <b:Person>
            <b:Last>Georghiou</b:Last>
            <b:First>G.</b:First>
          </b:Person>
        </b:NameList>
      </b:Author>
      <b:BookAuthor>
        <b:NameList>
          <b:Person>
            <b:Last>(Ed.)</b:Last>
            <b:First>Dr.</b:First>
            <b:Middle>V. Fthenakis</b:Middle>
          </b:Person>
        </b:NameList>
      </b:BookAuthor>
    </b:Author>
    <b:Title>Performance of photovoltaics under actual operating conditions</b:Title>
    <b:Year>2012</b:Year>
    <b:Pages>1-33</b:Pages>
    <b:City>Rijeka, Croatia</b:City>
    <b:Publisher>In Tech, Avaliable from http://cdn.intechopen.com/pdfs/32596/InTech-Performance_of_photovoltaics_under_actual_operating_conditions.pdf</b:Publisher>
    <b:BookTitle>Third Generation Photovoltaics</b:BookTitle>
    <b:RefOrder>485</b:RefOrder>
  </b:Source>
  <b:Source>
    <b:Tag>Chi10</b:Tag>
    <b:SourceType>ConferenceProceedings</b:SourceType>
    <b:Guid>{7F8F7108-E135-40C4-8BE0-57937FA2061C}</b:Guid>
    <b:Author>
      <b:Author>
        <b:NameList>
          <b:Person>
            <b:Last>Chin</b:Last>
            <b:First>K.</b:First>
          </b:Person>
          <b:Person>
            <b:Last>Gessert</b:Last>
            <b:First>T.</b:First>
          </b:Person>
          <b:Person>
            <b:Last>Su-Huai</b:Last>
            <b:First>W.</b:First>
          </b:Person>
        </b:NameList>
      </b:Author>
    </b:Author>
    <b:Title>The role of Cu impurity states in CdTe thin film solar cells</b:Title>
    <b:Year>2010</b:Year>
    <b:Pages>278-278</b:Pages>
    <b:City>Honolulu, Hawai, USA</b:City>
    <b:ConferenceName>Proceedings of the 39th IEEE Photovoltaics Specialists Conference, ISBN 978-1-4244-58905</b:ConferenceName>
    <b:RefOrder>486</b:RefOrder>
  </b:Source>
  <b:Source>
    <b:Tag>Gui00</b:Tag>
    <b:SourceType>JournalArticle</b:SourceType>
    <b:Guid>{69B646B7-629A-46E0-BBB2-94374874FCF7}</b:Guid>
    <b:Author>
      <b:Author>
        <b:NameList>
          <b:Person>
            <b:Last>Guillemoles</b:Last>
            <b:First>J.</b:First>
          </b:Person>
          <b:Person>
            <b:Last>Kronik</b:Last>
            <b:First>L.</b:First>
          </b:Person>
          <b:Person>
            <b:Last>Cahen</b:Last>
            <b:First>D.</b:First>
          </b:Person>
          <b:Person>
            <b:Last>Rau</b:Last>
            <b:First>U.</b:First>
          </b:Person>
          <b:Person>
            <b:Last>Jasenek</b:Last>
            <b:First>A.</b:First>
          </b:Person>
          <b:Person>
            <b:Last>Schock</b:Last>
            <b:First>H.</b:First>
          </b:Person>
        </b:NameList>
      </b:Author>
    </b:Author>
    <b:Title>Stability issues of Cu(In, Ga)Se2-based solar cells</b:Title>
    <b:Pages>4849-4862</b:Pages>
    <b:Year>2000</b:Year>
    <b:JournalName>Journal of Physical Chemistry, B</b:JournalName>
    <b:Volume>104</b:Volume>
    <b:Issue>20</b:Issue>
    <b:RefOrder>487</b:RefOrder>
  </b:Source>
  <b:Source>
    <b:Tag>Sch00</b:Tag>
    <b:SourceType>JournalArticle</b:SourceType>
    <b:Guid>{3E500511-2BF4-4924-BD98-D162864CF659}</b:Guid>
    <b:Author>
      <b:Author>
        <b:NameList>
          <b:Person>
            <b:Last>Schmidt</b:Last>
            <b:First>M.</b:First>
          </b:Person>
          <b:Person>
            <b:Last>Braunger</b:Last>
            <b:First>D.</b:First>
          </b:Person>
          <b:Person>
            <b:Last>Schaffler</b:Last>
            <b:First>R.</b:First>
          </b:Person>
          <b:Person>
            <b:Last>Schock</b:Last>
            <b:First>H.</b:First>
          </b:Person>
          <b:Person>
            <b:Last>Rau</b:Last>
            <b:First>U.</b:First>
          </b:Person>
        </b:NameList>
      </b:Author>
    </b:Author>
    <b:Title>Influence of damp heat on the electrical properties of Cu(In,Ga)Se2 solar cells</b:Title>
    <b:JournalName>Thin Solid Films</b:JournalName>
    <b:Year>2000</b:Year>
    <b:Pages>283-287</b:Pages>
    <b:Volume>361-362</b:Volume>
    <b:RefOrder>488</b:RefOrder>
  </b:Source>
  <b:Source>
    <b:Tag>Iga02</b:Tag>
    <b:SourceType>JournalArticle</b:SourceType>
    <b:Guid>{B7D6963B-C146-4F21-89FE-614480BD8517}</b:Guid>
    <b:Author>
      <b:Author>
        <b:NameList>
          <b:Person>
            <b:Last>Igalson</b:Last>
            <b:First>M.</b:First>
          </b:Person>
          <b:Person>
            <b:Last>Wimbor</b:Last>
            <b:First>M.</b:First>
          </b:Person>
          <b:Person>
            <b:Last>Wennerberg</b:Last>
            <b:First>J.</b:First>
          </b:Person>
        </b:NameList>
      </b:Author>
    </b:Author>
    <b:Title>The change of the electronic properties of CIGS devices induced by the damp heat treatment</b:Title>
    <b:JournalName>Thin Solid Films</b:JournalName>
    <b:Year>2002</b:Year>
    <b:Pages>320-324</b:Pages>
    <b:Volume>403-404</b:Volume>
    <b:RefOrder>489</b:RefOrder>
  </b:Source>
  <b:Source>
    <b:Tag>Mal03</b:Tag>
    <b:SourceType>JournalArticle</b:SourceType>
    <b:Guid>{B22005E8-7078-4F61-AA10-157308466B2C}</b:Guid>
    <b:Author>
      <b:Author>
        <b:NameList>
          <b:Person>
            <b:Last>Malmström</b:Last>
            <b:First>J.</b:First>
          </b:Person>
          <b:Person>
            <b:Last>Wennerberg</b:Last>
            <b:First>J.</b:First>
          </b:Person>
          <b:Person>
            <b:Last>Stott</b:Last>
            <b:First>L.</b:First>
          </b:Person>
        </b:NameList>
      </b:Author>
    </b:Author>
    <b:Title>A study of the influence of the Ga content on the long term stability of Cu(In,Ga)Se2 thin film solar cells</b:Title>
    <b:JournalName>Thin Solid Films</b:JournalName>
    <b:Year>2003</b:Year>
    <b:Pages>436-442</b:Pages>
    <b:Volume>431-432</b:Volume>
    <b:RefOrder>490</b:RefOrder>
  </b:Source>
  <b:Source>
    <b:Tag>Kin97</b:Tag>
    <b:SourceType>ConferenceProceedings</b:SourceType>
    <b:Guid>{70483FBE-FE82-4401-A179-C4B10C3AF053}</b:Guid>
    <b:Author>
      <b:Author>
        <b:NameList>
          <b:Person>
            <b:Last>King</b:Last>
            <b:First>D.</b:First>
          </b:Person>
          <b:Person>
            <b:Last>Kratochvil</b:Last>
            <b:First>J.</b:First>
          </b:Person>
          <b:Person>
            <b:Last>Boyson</b:Last>
            <b:First>W.</b:First>
          </b:Person>
        </b:NameList>
      </b:Author>
    </b:Author>
    <b:Title>Measuring the solar spectral and angle of incidence effects on photovoltaic modules and solar irradiance sensors</b:Title>
    <b:Year>1997</b:Year>
    <b:Pages>1113-1116</b:Pages>
    <b:ConferenceName>26th IEEE Photovoltaic Specialists Conference</b:ConferenceName>
    <b:City>Aneheim, USA</b:City>
    <b:Publisher>ISBN 0-7803-3767-0</b:Publisher>
    <b:RefOrder>491</b:RefOrder>
  </b:Source>
  <b:Source>
    <b:Tag>Wen071</b:Tag>
    <b:SourceType>Book</b:SourceType>
    <b:Guid>{8B90377B-F9A7-4DFF-8B0A-43EF24923E0D}</b:Guid>
    <b:Author>
      <b:Author>
        <b:NameList>
          <b:Person>
            <b:Last>Wenham</b:Last>
            <b:First>S.</b:First>
          </b:Person>
          <b:Person>
            <b:Last>Green</b:Last>
            <b:First>M.</b:First>
          </b:Person>
          <b:Person>
            <b:Last>Watt</b:Last>
            <b:First>M.</b:First>
          </b:Person>
        </b:NameList>
      </b:Author>
    </b:Author>
    <b:Title>Applied Photovoltaics (Second Edition)</b:Title>
    <b:Year>2007</b:Year>
    <b:City>London, UK</b:City>
    <b:Publisher>Earthscan, ISBN 978-1-84407-401-3</b:Publisher>
    <b:RefOrder>492</b:RefOrder>
  </b:Source>
  <b:Source>
    <b:Tag>Per91</b:Tag>
    <b:SourceType>ConferenceProceedings</b:SourceType>
    <b:Guid>{31B44989-B1B4-4E10-B20E-CE32A1FAEE4D}</b:Guid>
    <b:Author>
      <b:Author>
        <b:NameList>
          <b:Person>
            <b:Last>Pern</b:Last>
            <b:First>F.</b:First>
          </b:Person>
          <b:Person>
            <b:Last>Czanderna</b:Last>
            <b:First>A.</b:First>
          </b:Person>
          <b:Person>
            <b:Last>Emery</b:Last>
            <b:First>K.</b:First>
          </b:Person>
          <b:Person>
            <b:Last>Dhere</b:Last>
            <b:First>R.</b:First>
          </b:Person>
        </b:NameList>
      </b:Author>
    </b:Author>
    <b:Title>Weather degradation of EVA encapsulant and the effect of its yellowing of solar cell efficiency</b:Title>
    <b:Year>1991</b:Year>
    <b:City>Las Vegas, USA</b:City>
    <b:Publisher>ISBN 0-87942-636-5</b:Publisher>
    <b:Pages>557-561</b:Pages>
    <b:ConferenceName>22nd IEEE Photovoltaic Specialists Conference</b:ConferenceName>
    <b:RefOrder>493</b:RefOrder>
  </b:Source>
  <b:Source>
    <b:Tag>Erm93</b:Tag>
    <b:SourceType>JournalArticle</b:SourceType>
    <b:Guid>{83C71B12-C5ED-43BE-ABCF-88BA208EDB9E}</b:Guid>
    <b:Author>
      <b:Author>
        <b:NameList>
          <b:Person>
            <b:Last>Ermer</b:Last>
            <b:First>J.</b:First>
          </b:Person>
          <b:Person>
            <b:Last>Gay</b:Last>
            <b:First>R.</b:First>
          </b:Person>
          <b:Person>
            <b:Last>Pier</b:Last>
            <b:First>D.</b:First>
          </b:Person>
          <b:Person>
            <b:Last>Tarrant</b:Last>
            <b:First>D.</b:First>
          </b:Person>
        </b:NameList>
      </b:Author>
    </b:Author>
    <b:Title>Challenges and progress in the scale up of CuInSe2 thin film photovoltaic technology</b:Title>
    <b:Pages>188</b:Pages>
    <b:Year>1993</b:Year>
    <b:JournalName>Journal of Vacuum Science Technology, A</b:JournalName>
    <b:Volume>11</b:Volume>
    <b:RefOrder>494</b:RefOrder>
  </b:Source>
  <b:Source>
    <b:Tag>Rau91</b:Tag>
    <b:SourceType>JournalArticle</b:SourceType>
    <b:Guid>{607B009B-3911-4920-BAA8-ADF1AFA7E642}</b:Guid>
    <b:Author>
      <b:Author>
        <b:NameList>
          <b:Person>
            <b:Last>Raud</b:Last>
            <b:First>S.</b:First>
          </b:Person>
          <b:Person>
            <b:Last>Chen</b:Last>
            <b:First>J.</b:First>
          </b:Person>
          <b:Person>
            <b:Last>Nicolet</b:Last>
            <b:First>M.</b:First>
          </b:Person>
        </b:NameList>
      </b:Author>
    </b:Author>
    <b:Title>Influence of oxygen diffusion in the Cu/Mo/Au system</b:Title>
    <b:JournalName>Applied Physics, A</b:JournalName>
    <b:Year>1991</b:Year>
    <b:Pages>151-153</b:Pages>
    <b:Volume>52</b:Volume>
    <b:RefOrder>495</b:RefOrder>
  </b:Source>
  <b:Source>
    <b:Tag>Rad091</b:Tag>
    <b:SourceType>JournalArticle</b:SourceType>
    <b:Guid>{DF5BA511-D654-4949-BB67-7A75C28EA16B}</b:Guid>
    <b:Author>
      <b:Author>
        <b:NameList>
          <b:Person>
            <b:Last>Radue</b:Last>
            <b:First>C.</b:First>
          </b:Person>
          <b:Person>
            <b:Last>van Dyk</b:Last>
            <b:First>E.</b:First>
          </b:Person>
        </b:NameList>
      </b:Author>
    </b:Author>
    <b:Title>Degradation analysis of thin film photovoltaic modules</b:Title>
    <b:Year>2009</b:Year>
    <b:JournalName>Physica B; Condensed Matter</b:JournalName>
    <b:Pages>4449-4452</b:Pages>
    <b:Volume>404</b:Volume>
    <b:Issue>22</b:Issue>
    <b:RefOrder>496</b:RefOrder>
  </b:Source>
  <b:Source>
    <b:Tag>Mar05</b:Tag>
    <b:SourceType>ConferenceProceedings</b:SourceType>
    <b:Guid>{272A4C81-1A2A-44EC-A40C-3230783F8875}</b:Guid>
    <b:Author>
      <b:Author>
        <b:NameList>
          <b:Person>
            <b:Last>Marion</b:Last>
            <b:First>B.</b:First>
          </b:Person>
          <b:Person>
            <b:Last>Adelstein</b:Last>
            <b:First>J.</b:First>
          </b:Person>
          <b:Person>
            <b:Last>Boyle</b:Last>
            <b:First>K.</b:First>
          </b:Person>
          <b:Person>
            <b:Last>Hayden</b:Last>
            <b:First>H.</b:First>
          </b:Person>
          <b:Person>
            <b:Last>Hammond</b:Last>
            <b:First>B.</b:First>
          </b:Person>
          <b:Person>
            <b:Last>Fletcher</b:Last>
            <b:First>T.</b:First>
          </b:Person>
          <b:Person>
            <b:Last>Canada</b:Last>
            <b:First>B.</b:First>
          </b:Person>
          <b:Person>
            <b:Last>Narang</b:Last>
            <b:First>D.</b:First>
          </b:Person>
          <b:Person>
            <b:Last>Kimber</b:Last>
            <b:First>A.</b:First>
          </b:Person>
          <b:Person>
            <b:Last>Mitchell</b:Last>
            <b:First>L.</b:First>
          </b:Person>
          <b:Person>
            <b:Last>Rich</b:Last>
            <b:First>G.</b:First>
          </b:Person>
          <b:Person>
            <b:Last>Townsend</b:Last>
            <b:First>T.</b:First>
          </b:Person>
        </b:NameList>
      </b:Author>
    </b:Author>
    <b:Title>Performance parameters for grid-connected PV systems</b:Title>
    <b:Pages>1601-1606</b:Pages>
    <b:Year>2005</b:Year>
    <b:ConferenceName>Proceedings of the 31st Photovltaic Specialists Conference</b:ConferenceName>
    <b:City>Lake Buena</b:City>
    <b:Publisher>FL, USA</b:Publisher>
    <b:RefOrder>497</b:RefOrder>
  </b:Source>
  <b:Source>
    <b:Tag>Mar01</b:Tag>
    <b:SourceType>Report</b:SourceType>
    <b:Guid>{7799F27E-A4B5-4656-AFD7-EE76A7F987DF}</b:Guid>
    <b:Author>
      <b:Author>
        <b:NameList>
          <b:Person>
            <b:Last>Marion</b:Last>
            <b:First>B.</b:First>
          </b:Person>
          <b:Person>
            <b:Last>del Cueto</b:Last>
            <b:First>J.</b:First>
          </b:Person>
          <b:Person>
            <b:Last>McNutt</b:Last>
            <b:First>P.</b:First>
          </b:Person>
          <b:Person>
            <b:Last>Rose</b:Last>
            <b:First>D.</b:First>
          </b:Person>
        </b:NameList>
      </b:Author>
    </b:Author>
    <b:Title>Performance summary for the first solar CdTe 1-kW system</b:Title>
    <b:Year>2001</b:Year>
    <b:City>Lakewood, Colorado, USA</b:City>
    <b:Publisher>NREL/CP-520-30942</b:Publisher>
    <b:RefOrder>498</b:RefOrder>
  </b:Source>
  <b:Source>
    <b:Tag>Ros06</b:Tag>
    <b:SourceType>ConferenceProceedings</b:SourceType>
    <b:Guid>{044BD0AB-689B-4CB9-841D-F452565FD58F}</b:Guid>
    <b:Author>
      <b:Author>
        <b:NameList>
          <b:Person>
            <b:Last>Ross</b:Last>
            <b:First>M.</b:First>
          </b:Person>
          <b:Person>
            <b:Last>Rich</b:Last>
            <b:First>G.</b:First>
          </b:Person>
          <b:Person>
            <b:Last>Petacci</b:Last>
            <b:First>L.</b:First>
          </b:Person>
          <b:Person>
            <b:Last>Klammer</b:Last>
            <b:First>J.</b:First>
          </b:Person>
        </b:NameList>
      </b:Author>
    </b:Author>
    <b:Title>Improvement in reliability and energy yield prediction of thin film CdS/CdTe PV modules</b:Title>
    <b:Year>2006</b:Year>
    <b:Publisher>HI</b:Publisher>
    <b:City>Waikoloa</b:City>
    <b:Pages>2148-2151</b:Pages>
    <b:ConferenceName>Proceedings of the 4th World Conference on Photovoltaic Energy Conversion</b:ConferenceName>
    <b:RefOrder>499</b:RefOrder>
  </b:Source>
  <b:Source>
    <b:Tag>Jor13</b:Tag>
    <b:SourceType>JournalArticle</b:SourceType>
    <b:Guid>{AD6A1CC9-CB85-4479-AF6D-3E89B1332EB0}</b:Guid>
    <b:Author>
      <b:Author>
        <b:NameList>
          <b:Person>
            <b:Last>Jordan</b:Last>
            <b:First>D.</b:First>
          </b:Person>
          <b:Person>
            <b:Last>Kurtz</b:Last>
            <b:First>S.</b:First>
          </b:Person>
        </b:NameList>
      </b:Author>
    </b:Author>
    <b:Title>Photovoltaic degradation rates - an analytical review</b:Title>
    <b:Pages>12-29</b:Pages>
    <b:Year>2013</b:Year>
    <b:JournalName>Progress in Photovoltaics: Research and Applications</b:JournalName>
    <b:Volume>21</b:Volume>
    <b:Issue>1</b:Issue>
    <b:RefOrder>500</b:RefOrder>
  </b:Source>
  <b:Source>
    <b:Tag>Fos06</b:Tag>
    <b:SourceType>ConferenceProceedings</b:SourceType>
    <b:Guid>{54C726E0-8D8E-4EFF-AEEB-E4A9DE999633}</b:Guid>
    <b:Author>
      <b:Author>
        <b:NameList>
          <b:Person>
            <b:Last>Foster</b:Last>
            <b:First>R.</b:First>
          </b:Person>
          <b:Person>
            <b:Last>Gómez</b:Last>
            <b:First>R.</b:First>
          </b:Person>
          <b:Person>
            <b:Last>Gupta</b:Last>
            <b:First>V.</b:First>
          </b:Person>
          <b:Person>
            <b:Last>Sánchez-Juárez</b:Last>
            <b:First>A.</b:First>
          </b:Person>
          <b:Person>
            <b:Last>Cruz</b:Last>
            <b:First>J.</b:First>
          </b:Person>
          <b:Person>
            <b:Last>Rosas</b:Last>
            <b:First>J.</b:First>
          </b:Person>
        </b:NameList>
      </b:Author>
    </b:Author>
    <b:Title>Field testing of CdTe PV modules in Mexico</b:Title>
    <b:Year>2006</b:Year>
    <b:ConferenceName>American Solar Energy Society Annual Solar Conference</b:ConferenceName>
    <b:City>Denver, Colorado, USA</b:City>
    <b:RefOrder>501</b:RefOrder>
  </b:Source>
  <b:Source>
    <b:Tag>del08</b:Tag>
    <b:SourceType>ConferenceProceedings</b:SourceType>
    <b:Guid>{CED45997-4198-441A-A5E7-139AFE930506}</b:Guid>
    <b:Author>
      <b:Author>
        <b:NameList>
          <b:Person>
            <b:Last>del Cueto</b:Last>
            <b:First>J.</b:First>
          </b:Person>
          <b:Person>
            <b:Last>Rummel</b:Last>
            <b:First>S.</b:First>
          </b:Person>
          <b:Person>
            <b:Last>Kroposki</b:Last>
            <b:First>B.</b:First>
          </b:Person>
          <b:Person>
            <b:Last>Osterwald</b:Last>
            <b:First>C.</b:First>
          </b:Person>
          <b:Person>
            <b:Last>Anderberg</b:Last>
            <b:First>A.</b:First>
          </b:Person>
        </b:NameList>
      </b:Author>
    </b:Author>
    <b:Title>Stability of CIS/CIGS modules at the outdoor test facility over two decades</b:Title>
    <b:Pages>1-6</b:Pages>
    <b:Year>2008</b:Year>
    <b:ConferenceName>Proceedings of the 33rd Photovoltaic Specialists Conference</b:ConferenceName>
    <b:City>San Diego, California, USA</b:City>
    <b:RefOrder>502</b:RefOrder>
  </b:Source>
  <b:Source>
    <b:Tag>Mus10</b:Tag>
    <b:SourceType>ConferenceProceedings</b:SourceType>
    <b:Guid>{18623A94-EEC8-451B-8DF8-B27397DAEDB4}</b:Guid>
    <b:Author>
      <b:Author>
        <b:NameList>
          <b:Person>
            <b:Last>Musikowski</b:Last>
            <b:First>H.</b:First>
          </b:Person>
          <b:Person>
            <b:Last>Styczynski</b:Last>
            <b:First>A.</b:First>
          </b:Person>
        </b:NameList>
      </b:Author>
    </b:Author>
    <b:Title>Analysis of the operational behaviour and long-term performance of a CIS PV system</b:Title>
    <b:Pages>3942-3946</b:Pages>
    <b:Year>2010</b:Year>
    <b:ConferenceName>Proceedings of the 25th European Photovoltaic Solar Energy Conference</b:ConferenceName>
    <b:City>Valencia, Spain</b:City>
    <b:RefOrder>503</b:RefOrder>
  </b:Source>
  <b:Source>
    <b:Tag>Jor11</b:Tag>
    <b:SourceType>ConferenceProceedings</b:SourceType>
    <b:Guid>{7CC3FD81-B138-4EAC-84F9-655F092EA5A3}</b:Guid>
    <b:Author>
      <b:Author>
        <b:NameList>
          <b:Person>
            <b:Last>Jordan</b:Last>
            <b:First>D.</b:First>
          </b:Person>
          <b:Person>
            <b:Last>Kurtz</b:Last>
            <b:First>S.</b:First>
          </b:Person>
        </b:NameList>
      </b:Author>
    </b:Author>
    <b:Title>Thin film reliability trends towards improved stability</b:Title>
    <b:Year>2011</b:Year>
    <b:ConferenceName>Proceedings of the 37th Photovoltaic Specialists Conference</b:ConferenceName>
    <b:City>Seattle, WA, USA</b:City>
    <b:RefOrder>504</b:RefOrder>
  </b:Source>
  <b:Source>
    <b:Tag>Fox07</b:Tag>
    <b:SourceType>JournalArticle</b:SourceType>
    <b:Guid>{DE7D4171-5B84-4E17-A58A-FC776097E54F}</b:Guid>
    <b:Author>
      <b:Author>
        <b:NameList>
          <b:Person>
            <b:Last>Foxon</b:Last>
            <b:First>T.</b:First>
          </b:Person>
          <b:Person>
            <b:Last>Pearson</b:Last>
            <b:First>P.</b:First>
          </b:Person>
        </b:NameList>
      </b:Author>
    </b:Author>
    <b:Title>Towards improved policy process for promoting innovation in renewable electricity in the UK</b:Title>
    <b:Pages>1539-1550</b:Pages>
    <b:Year>2007</b:Year>
    <b:JournalName>Energy Policy</b:JournalName>
    <b:Volume>35</b:Volume>
    <b:Issue>3</b:Issue>
    <b:RefOrder>505</b:RefOrder>
  </b:Source>
  <b:Source>
    <b:Tag>Zog10</b:Tag>
    <b:SourceType>JournalArticle</b:SourceType>
    <b:Guid>{2E8E1EA9-5AD4-4A77-9AA6-EA6C7CA1BEE6}</b:Guid>
    <b:Author>
      <b:Author>
        <b:NameList>
          <b:Person>
            <b:Last>Zografakis</b:Last>
            <b:First>N.</b:First>
          </b:Person>
          <b:Person>
            <b:Last>Sifaki</b:Last>
            <b:First>E.</b:First>
          </b:Person>
          <b:Person>
            <b:Last>Pagalou</b:Last>
            <b:First>M.</b:First>
          </b:Person>
          <b:Person>
            <b:Last>Nikitaki</b:Last>
            <b:First>G.</b:First>
          </b:Person>
          <b:Person>
            <b:Last>Psarakis</b:Last>
            <b:First>V.</b:First>
          </b:Person>
          <b:Person>
            <b:Last>Tsagarakis</b:Last>
            <b:First>K.</b:First>
          </b:Person>
        </b:NameList>
      </b:Author>
    </b:Author>
    <b:Title>Assessment of public acceptance and willingness to pay for renewable energy sources in Crete</b:Title>
    <b:JournalName>Renewable and Sustainable Energy Reviews</b:JournalName>
    <b:Year>2010</b:Year>
    <b:Pages>1088-1095</b:Pages>
    <b:Volume>14</b:Volume>
    <b:RefOrder>506</b:RefOrder>
  </b:Source>
  <b:Source>
    <b:Tag>Byr15</b:Tag>
    <b:SourceType>Report</b:SourceType>
    <b:Guid>{AC9AEFAE-FB64-44D3-BC77-E68DA841F7AA}</b:Guid>
    <b:Author>
      <b:Author>
        <b:NameList>
          <b:Person>
            <b:Last>Byrka</b:Last>
            <b:First>K.</b:First>
          </b:Person>
          <b:Person>
            <b:Last>Jedrzejewski</b:Last>
            <b:First>A.</b:First>
          </b:Person>
          <b:Person>
            <b:Last>Sznajd-Weron</b:Last>
            <b:First>K.</b:First>
          </b:Person>
          <b:Person>
            <b:Last>Weron</b:Last>
            <b:First>R.</b:First>
          </b:Person>
        </b:NameList>
      </b:Author>
    </b:Author>
    <b:Title>Difficulty is critical: psychological factors in modelling diffusion of green products and practices</b:Title>
    <b:Year>2015</b:Year>
    <b:Publisher>Hugo Steinhaus Centre, Wrocław University of Technology</b:Publisher>
    <b:City>Wrocław, Poland</b:City>
    <b:RefOrder>507</b:RefOrder>
  </b:Source>
  <b:Source>
    <b:Tag>Kow14</b:Tag>
    <b:SourceType>JournalArticle</b:SourceType>
    <b:Guid>{F0381035-C5DD-4E92-A6C2-88DC31D8BB25}</b:Guid>
    <b:Author>
      <b:Author>
        <b:NameList>
          <b:Person>
            <b:Last>Kowalska-Pyzalska</b:Last>
            <b:First>A.</b:First>
          </b:Person>
          <b:Person>
            <b:Last>Maciejowska</b:Last>
            <b:First>K.</b:First>
          </b:Person>
          <b:Person>
            <b:Last>Suszczynski</b:Last>
            <b:First>K.</b:First>
          </b:Person>
          <b:Person>
            <b:Last>Sznajd-Weron</b:Last>
            <b:First>K.</b:First>
          </b:Person>
          <b:Person>
            <b:Last>Weron</b:Last>
            <b:First>R.</b:First>
          </b:Person>
        </b:NameList>
      </b:Author>
    </b:Author>
    <b:Title>Turning green: Agent-based modelling of the adoption of dynamic electricity tariffs</b:Title>
    <b:Year>2014</b:Year>
    <b:JournalName>Energy Policy</b:JournalName>
    <b:Pages>164-174</b:Pages>
    <b:Volume>71</b:Volume>
    <b:RefOrder>508</b:RefOrder>
  </b:Source>
  <b:Source>
    <b:Tag>HuZ15</b:Tag>
    <b:SourceType>JournalArticle</b:SourceType>
    <b:Guid>{1BD57C4B-97A9-4354-99AA-6A3D6D3F68A9}</b:Guid>
    <b:Author>
      <b:Author>
        <b:NameList>
          <b:Person>
            <b:Last>Hu</b:Last>
            <b:First>Z.</b:First>
          </b:Person>
          <b:Person>
            <b:Last>ho Kim</b:Last>
            <b:First>J.</b:First>
          </b:Person>
          <b:Person>
            <b:Last>Wang</b:Last>
            <b:First>J.</b:First>
          </b:Person>
          <b:Person>
            <b:Last>Byrne</b:Last>
            <b:First>J.</b:First>
          </b:Person>
        </b:NameList>
      </b:Author>
    </b:Author>
    <b:Title>Review of dynamic pricing programs in the U.S. and Europe: Status quo and policy recommendations</b:Title>
    <b:JournalName>Renewable and Sustainable Energy Reviews</b:JournalName>
    <b:Year>2015</b:Year>
    <b:Pages>743-751</b:Pages>
    <b:Volume>42</b:Volume>
    <b:RefOrder>509</b:RefOrder>
  </b:Source>
  <b:Source>
    <b:Tag>Gya13</b:Tag>
    <b:SourceType>JournalArticle</b:SourceType>
    <b:Guid>{4ED9BEBC-CEF7-4A9F-BDF9-220FE1E04A92}</b:Guid>
    <b:Author>
      <b:Author>
        <b:NameList>
          <b:Person>
            <b:Last>Gyamfi</b:Last>
            <b:First>S.</b:First>
          </b:Person>
          <b:Person>
            <b:Last>Krumdieck</b:Last>
            <b:First>S.</b:First>
          </b:Person>
          <b:Person>
            <b:Last>Urmee</b:Last>
            <b:First>T.</b:First>
          </b:Person>
        </b:NameList>
      </b:Author>
    </b:Author>
    <b:Title>Residential peak electricity demand response - highlights of some behavioural issues</b:Title>
    <b:JournalName>Renewable and Sustainable Energy Reviews</b:JournalName>
    <b:Year>2013</b:Year>
    <b:Pages>71-77</b:Pages>
    <b:Volume>25</b:Volume>
    <b:RefOrder>510</b:RefOrder>
  </b:Source>
  <b:Source>
    <b:Tag>Cal98</b:Tag>
    <b:SourceType>Book</b:SourceType>
    <b:Guid>{3BCE6DC5-3EE4-45DD-88AA-8A815D317E05}</b:Guid>
    <b:Author>
      <b:Author>
        <b:NameList>
          <b:Person>
            <b:Last>Caldini</b:Last>
            <b:First>R.</b:First>
          </b:Person>
          <b:Person>
            <b:Last>Trost</b:Last>
            <b:First>M.</b:First>
          </b:Person>
        </b:NameList>
      </b:Author>
    </b:Author>
    <b:Title>Social influence: Social norms, conformity and compliance</b:Title>
    <b:Year>1998</b:Year>
    <b:City>New York</b:City>
    <b:Publisher>McGraw-Hill</b:Publisher>
    <b:RefOrder>511</b:RefOrder>
  </b:Source>
  <b:Source>
    <b:Tag>Nol08</b:Tag>
    <b:SourceType>JournalArticle</b:SourceType>
    <b:Guid>{958C9715-C64E-457E-A314-E0276B7727B7}</b:Guid>
    <b:Author>
      <b:Author>
        <b:NameList>
          <b:Person>
            <b:Last>Nolan</b:Last>
            <b:First>J.</b:First>
          </b:Person>
          <b:Person>
            <b:Last>Schultz</b:Last>
            <b:First>P.</b:First>
          </b:Person>
          <b:Person>
            <b:Last>Cialdini</b:Last>
            <b:First>R.</b:First>
          </b:Person>
          <b:Person>
            <b:Last>Goldstein</b:Last>
            <b:First>N.</b:First>
          </b:Person>
          <b:Person>
            <b:Last>Griskevicius</b:Last>
            <b:First>V.</b:First>
          </b:Person>
        </b:NameList>
      </b:Author>
    </b:Author>
    <b:Title>Normative social influence is underdetected</b:Title>
    <b:Year>2008</b:Year>
    <b:JournalName>Personality and Social Psychology Bulletin</b:JournalName>
    <b:Pages>913-923</b:Pages>
    <b:Volume>34</b:Volume>
    <b:RefOrder>512</b:RefOrder>
  </b:Source>
  <b:Source>
    <b:Tag>Bol121</b:Tag>
    <b:SourceType>JournalArticle</b:SourceType>
    <b:Guid>{43462D6F-6F13-451B-A296-1E5916609D8D}</b:Guid>
    <b:Author>
      <b:Author>
        <b:NameList>
          <b:Person>
            <b:Last>Bollinger</b:Last>
            <b:First>B.</b:First>
          </b:Person>
          <b:Person>
            <b:Last>Gillingham</b:Last>
            <b:First>K.</b:First>
          </b:Person>
        </b:NameList>
      </b:Author>
    </b:Author>
    <b:Title>Peer effects in the diffusion of solar photovoltaic panels</b:Title>
    <b:JournalName>Marketing Science</b:JournalName>
    <b:Year>2012</b:Year>
    <b:Pages>900-912</b:Pages>
    <b:Volume>31</b:Volume>
    <b:RefOrder>513</b:RefOrder>
  </b:Source>
  <b:Source>
    <b:Tag>Bra13</b:Tag>
    <b:SourceType>JournalArticle</b:SourceType>
    <b:Guid>{C8495E5F-9D19-46C4-BC67-D1B26FB0FCE8}</b:Guid>
    <b:Author>
      <b:Author>
        <b:NameList>
          <b:Person>
            <b:Last>Bravo</b:Last>
            <b:First>G.</b:First>
          </b:Person>
          <b:Person>
            <b:Last>Vallino</b:Last>
            <b:First>E.</b:First>
          </b:Person>
          <b:Person>
            <b:Last>Cerutti</b:Last>
            <b:First>A.</b:First>
          </b:Person>
          <b:Person>
            <b:Last>Pairotti</b:Last>
            <b:First>M.</b:First>
          </b:Person>
        </b:NameList>
      </b:Author>
    </b:Author>
    <b:Title>Alternative scenarios of green consumption in Itally: An empirically grounded model</b:Title>
    <b:JournalName>Environmental Modelling and Software</b:JournalName>
    <b:Year>2013</b:Year>
    <b:Pages>225-234</b:Pages>
    <b:Volume>47</b:Volume>
    <b:RefOrder>514</b:RefOrder>
  </b:Source>
  <b:Source>
    <b:Tag>Bal13</b:Tag>
    <b:SourceType>JournalArticle</b:SourceType>
    <b:Guid>{28AB06BA-4DBB-4129-AF3C-4614F9BF703C}</b:Guid>
    <b:Author>
      <b:Author>
        <b:NameList>
          <b:Person>
            <b:Last>Bale</b:Last>
            <b:First>C.</b:First>
          </b:Person>
          <b:Person>
            <b:Last>McCullen</b:Last>
            <b:First>N.</b:First>
          </b:Person>
          <b:Person>
            <b:Last>Foxon</b:Last>
            <b:First>T.</b:First>
          </b:Person>
          <b:Person>
            <b:Last>Rucklidge</b:Last>
            <b:First>A.</b:First>
          </b:Person>
          <b:Person>
            <b:Last>Gale</b:Last>
            <b:First>W.</b:First>
          </b:Person>
        </b:NameList>
      </b:Author>
    </b:Author>
    <b:Title>Harnesting social networks for promoting adoption of energy technologies in the domestic sector</b:Title>
    <b:JournalName>Energy Policy</b:JournalName>
    <b:Year>2013</b:Year>
    <b:Pages>833-844</b:Pages>
    <b:Volume>63</b:Volume>
    <b:RefOrder>515</b:RefOrder>
  </b:Source>
  <b:Source>
    <b:Tag>Liy08</b:Tag>
    <b:SourceType>Book</b:SourceType>
    <b:Guid>{2F733897-D423-4A18-BA0D-82954B9D01C3}</b:Guid>
    <b:Author>
      <b:Author>
        <b:NameList>
          <b:Person>
            <b:Last>Liyoshi</b:Last>
            <b:First>T.</b:First>
          </b:Person>
          <b:Person>
            <b:Last>Kumar</b:Last>
            <b:First>M.</b:First>
          </b:Person>
        </b:NameList>
      </b:Author>
    </b:Author>
    <b:Title>The collective advancement of education through open technology, open content and open knowledge</b:Title>
    <b:Year>2008</b:Year>
    <b:City>Cambridge, Massachusetts</b:City>
    <b:Publisher>The Carnegie Foundation for Advancement of Teaching, The MIT Press</b:Publisher>
    <b:RefOrder>516</b:RefOrder>
  </b:Source>
  <b:Source>
    <b:Tag>Mou13</b:Tag>
    <b:SourceType>JournalArticle</b:SourceType>
    <b:Guid>{DC1FCC82-A365-4665-8090-B941988F65B1}</b:Guid>
    <b:Author>
      <b:Author>
        <b:NameList>
          <b:Person>
            <b:Last>Moula</b:Last>
            <b:First>Md.</b:First>
          </b:Person>
          <b:Person>
            <b:Last>Maula</b:Last>
            <b:First>J.</b:First>
          </b:Person>
          <b:Person>
            <b:Last>Hamdy</b:Last>
            <b:First>M.</b:First>
          </b:Person>
          <b:Person>
            <b:Last>Fang</b:Last>
            <b:First>T.</b:First>
          </b:Person>
          <b:Person>
            <b:Last>Jung</b:Last>
            <b:First>N.</b:First>
          </b:Person>
          <b:Person>
            <b:Last>Lahdelma</b:Last>
            <b:First>R.</b:First>
          </b:Person>
        </b:NameList>
      </b:Author>
    </b:Author>
    <b:Title>Researching social acceptability of renewable energy technologies in Finland</b:Title>
    <b:Year>2013</b:Year>
    <b:JournalName>International Journal of Sustainable Built Environment</b:JournalName>
    <b:Pages>89-98</b:Pages>
    <b:Volume>2</b:Volume>
    <b:Issue>1</b:Issue>
    <b:RefOrder>517</b:RefOrder>
  </b:Source>
  <b:Source>
    <b:Tag>Rog95</b:Tag>
    <b:SourceType>Book</b:SourceType>
    <b:Guid>{AEFD168C-FF97-4625-9202-4423E627E70A}</b:Guid>
    <b:Author>
      <b:Author>
        <b:NameList>
          <b:Person>
            <b:Last>Rogers</b:Last>
            <b:First>E.</b:First>
          </b:Person>
        </b:NameList>
      </b:Author>
    </b:Author>
    <b:Title>Diffusion of innovations, 4th Edition</b:Title>
    <b:Year>1995</b:Year>
    <b:City>New York</b:City>
    <b:Publisher>Free Press</b:Publisher>
    <b:RefOrder>518</b:RefOrder>
  </b:Source>
  <b:Source>
    <b:Tag>Sul93</b:Tag>
    <b:SourceType>JournalArticle</b:SourceType>
    <b:Guid>{CDD970B1-4E0E-4854-9CCE-C1DA66F5CBBF}</b:Guid>
    <b:Author>
      <b:Author>
        <b:NameList>
          <b:Person>
            <b:Last>Sultan</b:Last>
            <b:First>F.</b:First>
          </b:Person>
          <b:Person>
            <b:Last>Winer</b:Last>
            <b:First>R.</b:First>
          </b:Person>
        </b:NameList>
      </b:Author>
    </b:Author>
    <b:Title>Time preferences for products and attributes and the adoption of technology-driven consumer durable innovations</b:Title>
    <b:Year>1993</b:Year>
    <b:JournalName>Journal of Economic Psychology</b:JournalName>
    <b:Pages>587-613</b:Pages>
    <b:Volume>14</b:Volume>
    <b:RefOrder>519</b:RefOrder>
  </b:Source>
  <b:Source>
    <b:Tag>Fai06</b:Tag>
    <b:SourceType>JournalArticle</b:SourceType>
    <b:Guid>{ABD79944-7BDC-409B-8ED7-E6D3C8AA273C}</b:Guid>
    <b:Author>
      <b:Author>
        <b:NameList>
          <b:Person>
            <b:Last>Faiers</b:Last>
            <b:First>A.</b:First>
          </b:Person>
          <b:Person>
            <b:Last>Neame</b:Last>
            <b:First>C.</b:First>
          </b:Person>
        </b:NameList>
      </b:Author>
    </b:Author>
    <b:Title>Consumer attributes towards domestic solar power systems</b:Title>
    <b:Year>2006</b:Year>
    <b:JournalName>Journal of Energy Policy</b:JournalName>
    <b:Pages>1797-1806</b:Pages>
    <b:Volume>34</b:Volume>
    <b:Issue>14</b:Issue>
    <b:RefOrder>520</b:RefOrder>
  </b:Source>
  <b:Source>
    <b:Tag>Gar01</b:Tag>
    <b:SourceType>JournalArticle</b:SourceType>
    <b:Guid>{7329C9AF-9406-4201-A0D9-F3FDFC7ABE9C}</b:Guid>
    <b:Author>
      <b:Author>
        <b:NameList>
          <b:Person>
            <b:Last>Garling</b:Last>
            <b:First>A.</b:First>
          </b:Person>
          <b:Person>
            <b:Last>Thorgorsen</b:Last>
            <b:First>J.</b:First>
          </b:Person>
        </b:NameList>
      </b:Author>
    </b:Author>
    <b:Title>Marketing of electric vehicles</b:Title>
    <b:JournalName>Business Strategy and the Environment</b:JournalName>
    <b:Year>2001</b:Year>
    <b:Pages>33-65</b:Pages>
    <b:Volume>10</b:Volume>
    <b:RefOrder>521</b:RefOrder>
  </b:Source>
  <b:Source>
    <b:Tag>Lar01</b:Tag>
    <b:SourceType>JournalArticle</b:SourceType>
    <b:Guid>{3AE8CE10-8D48-4EFD-95A1-63D9181C903D}</b:Guid>
    <b:Author>
      <b:Author>
        <b:NameList>
          <b:Person>
            <b:Last>Laroche</b:Last>
            <b:First>M.</b:First>
          </b:Person>
          <b:Person>
            <b:Last>Bergeron</b:Last>
            <b:First>J.</b:First>
          </b:Person>
          <b:Person>
            <b:Last>Barbaro-Ferleo</b:Last>
            <b:First>G.</b:First>
          </b:Person>
        </b:NameList>
      </b:Author>
    </b:Author>
    <b:Title>Targeting consumers who are willing to pay more for environmentally friendly products</b:Title>
    <b:JournalName>Journal of Consumer Marketing</b:JournalName>
    <b:Year>2001</b:Year>
    <b:Pages>503-520</b:Pages>
    <b:Volume>18</b:Volume>
    <b:Issue>6</b:Issue>
    <b:RefOrder>522</b:RefOrder>
  </b:Source>
  <b:Source>
    <b:Tag>Ped00</b:Tag>
    <b:SourceType>JournalArticle</b:SourceType>
    <b:Guid>{86D243FC-EA47-4A98-917F-64A5B3A75F16}</b:Guid>
    <b:Author>
      <b:Author>
        <b:NameList>
          <b:Person>
            <b:Last>Pedersen</b:Last>
            <b:First>L.</b:First>
          </b:Person>
        </b:NameList>
      </b:Author>
    </b:Author>
    <b:Title>The dynamics of green consumption: A matter of visibility?</b:Title>
    <b:JournalName>Journal of Environmental Policy and Planning</b:JournalName>
    <b:Year>2000</b:Year>
    <b:Pages>193-210</b:Pages>
    <b:Volume>2</b:Volume>
    <b:RefOrder>523</b:RefOrder>
  </b:Source>
  <b:Source>
    <b:Tag>Lyn96</b:Tag>
    <b:SourceType>JournalArticle</b:SourceType>
    <b:Guid>{1123D1D3-2E7F-4E83-B7CA-7E3F5D85FF05}</b:Guid>
    <b:Author>
      <b:Author>
        <b:NameList>
          <b:Person>
            <b:Last>Lynn</b:Last>
            <b:First>M.</b:First>
          </b:Person>
          <b:Person>
            <b:Last>Gelb</b:Last>
            <b:First>B.</b:First>
          </b:Person>
        </b:NameList>
      </b:Author>
    </b:Author>
    <b:Title>Identifying innovative national markets for technical consumer goods</b:Title>
    <b:JournalName>International Marketing Review</b:JournalName>
    <b:Year>1996</b:Year>
    <b:Pages>43-57</b:Pages>
    <b:Volume>13</b:Volume>
    <b:Issue>6</b:Issue>
    <b:RefOrder>524</b:RefOrder>
  </b:Source>
  <b:Source>
    <b:Tag>Dia03</b:Tag>
    <b:SourceType>JournalArticle</b:SourceType>
    <b:Guid>{4FA66543-4322-4B42-B070-69FBED3587F1}</b:Guid>
    <b:Author>
      <b:Author>
        <b:NameList>
          <b:Person>
            <b:Last>Diamantopoulos</b:Last>
            <b:First>A.</b:First>
          </b:Person>
          <b:Person>
            <b:Last>Schlegelmilch</b:Last>
            <b:First>B.</b:First>
          </b:Person>
          <b:Person>
            <b:Last>Siakovics</b:Last>
            <b:First>R.</b:First>
          </b:Person>
          <b:Person>
            <b:Last>Bohlen</b:Last>
            <b:First>G.</b:First>
          </b:Person>
        </b:NameList>
      </b:Author>
    </b:Author>
    <b:Title>Can socio-demographics still play a role in profiling green consumers? A review of the evidence and an empirical investigation</b:Title>
    <b:JournalName>Journal of Business Research</b:JournalName>
    <b:Year>2003</b:Year>
    <b:Pages>465-480</b:Pages>
    <b:Volume>56</b:Volume>
    <b:RefOrder>525</b:RefOrder>
  </b:Source>
  <b:Source>
    <b:Tag>Lus73</b:Tag>
    <b:SourceType>JournalArticle</b:SourceType>
    <b:Guid>{7E459904-7FE8-4E9D-B7A3-58B22593DB05}</b:Guid>
    <b:Author>
      <b:Author>
        <b:NameList>
          <b:Person>
            <b:Last>Lusk</b:Last>
            <b:First>E.</b:First>
          </b:Person>
        </b:NameList>
      </b:Author>
    </b:Author>
    <b:Title>A bipolar adjective screening methodology</b:Title>
    <b:JournalName>Journal of marketing research</b:JournalName>
    <b:Year>1973</b:Year>
    <b:Pages>202-203</b:Pages>
    <b:Volume>10</b:Volume>
    <b:RefOrder>526</b:RefOrder>
  </b:Source>
  <b:Source>
    <b:Tag>Aut98</b:Tag>
    <b:SourceType>JournalArticle</b:SourceType>
    <b:Guid>{98448427-C96E-4827-9447-AF2C70E7E4A1}</b:Guid>
    <b:Author>
      <b:Author>
        <b:NameList>
          <b:Person>
            <b:Last>Auty</b:Last>
            <b:First>S.</b:First>
          </b:Person>
          <b:Person>
            <b:Last>Elliot</b:Last>
            <b:First>R.</b:First>
          </b:Person>
        </b:NameList>
      </b:Author>
    </b:Author>
    <b:Title>Fashion involvement, self-monitoring and the meaning of brands</b:Title>
    <b:JournalName>The Journal of Products and Brand Management</b:JournalName>
    <b:Year>1998</b:Year>
    <b:Pages>109-123</b:Pages>
    <b:Volume>7</b:Volume>
    <b:Issue>2</b:Issue>
    <b:RefOrder>527</b:RefOrder>
  </b:Source>
  <b:Source>
    <b:Tag>Hsu00</b:Tag>
    <b:SourceType>JournalArticle</b:SourceType>
    <b:Guid>{4AD23051-1E71-48F3-BF1E-41186A8EA05E}</b:Guid>
    <b:Author>
      <b:Author>
        <b:NameList>
          <b:Person>
            <b:Last>Hsu</b:Last>
            <b:First>S.</b:First>
          </b:Person>
          <b:Person>
            <b:Last>Chuang</b:Last>
            <b:First>M.</b:First>
          </b:Person>
          <b:Person>
            <b:Last>Chang</b:Last>
            <b:First>C.</b:First>
          </b:Person>
        </b:NameList>
      </b:Author>
    </b:Author>
    <b:Title>A semantic differential study of designers and users product form perception</b:Title>
    <b:JournalName>International Journal of Industrial Ergonomics</b:JournalName>
    <b:Year>2000</b:Year>
    <b:Pages>375-391</b:Pages>
    <b:Volume>25</b:Volume>
    <b:RefOrder>528</b:RefOrder>
  </b:Source>
  <b:Source>
    <b:Tag>Dun95</b:Tag>
    <b:SourceType>JournalArticle</b:SourceType>
    <b:Guid>{DCE836C2-22D3-4D9A-80F2-599FBDD382CE}</b:Guid>
    <b:Author>
      <b:Author>
        <b:NameList>
          <b:Person>
            <b:Last>Dunphy</b:Last>
            <b:First>S.</b:First>
          </b:Person>
          <b:Person>
            <b:Last>Herbig</b:Last>
            <b:First>P.</b:First>
          </b:Person>
        </b:NameList>
      </b:Author>
    </b:Author>
    <b:Title>Acceptance of innovations: The consumer is the key!</b:Title>
    <b:JournalName>The Journal of High Technology Maganement Research</b:JournalName>
    <b:Year>1995</b:Year>
    <b:Pages>193-209</b:Pages>
    <b:Volume>6</b:Volume>
    <b:Issue>2</b:Issue>
    <b:RefOrder>529</b:RefOrder>
  </b:Source>
  <b:Source>
    <b:Tag>Mar98</b:Tag>
    <b:SourceType>JournalArticle</b:SourceType>
    <b:Guid>{9188204A-CBEB-4D6D-97D0-DC3F3F0DE85F}</b:Guid>
    <b:Author>
      <b:Author>
        <b:NameList>
          <b:Person>
            <b:Last>Martinez</b:Last>
            <b:First>E.</b:First>
          </b:Person>
          <b:Person>
            <b:Last>Polo</b:Last>
            <b:First>Y.</b:First>
          </b:Person>
          <b:Person>
            <b:Last>Flavian</b:Last>
            <b:First>C.</b:First>
          </b:Person>
        </b:NameList>
      </b:Author>
    </b:Author>
    <b:Title>The acceptance and diffusion of new consumer durables: Differences between first and last adopters</b:Title>
    <b:JournalName>Journal of Consumer Marketing</b:JournalName>
    <b:Year>1998</b:Year>
    <b:Pages>323-342</b:Pages>
    <b:Volume>15</b:Volume>
    <b:Issue>4</b:Issue>
    <b:RefOrder>530</b:RefOrder>
  </b:Source>
  <b:Source>
    <b:Tag>Ven00</b:Tag>
    <b:SourceType>JournalArticle</b:SourceType>
    <b:Guid>{EEE18371-3078-40DC-B7F1-4CFB0F53E062}</b:Guid>
    <b:Author>
      <b:Author>
        <b:NameList>
          <b:Person>
            <b:Last>Venkatesh</b:Last>
            <b:First>V.</b:First>
          </b:Person>
          <b:Person>
            <b:Last>Davis</b:Last>
            <b:First>F.</b:First>
          </b:Person>
        </b:NameList>
      </b:Author>
    </b:Author>
    <b:Title>A theoretical extension of the technology acceptance model: Four longitudinal field studies</b:Title>
    <b:JournalName>Management Science</b:JournalName>
    <b:Year>2000</b:Year>
    <b:Pages>186-204</b:Pages>
    <b:RefOrder>531</b:RefOrder>
  </b:Source>
  <b:Source>
    <b:Tag>Fis75</b:Tag>
    <b:SourceType>Report</b:SourceType>
    <b:Guid>{A9A61D0B-5665-41EE-A7B6-B0452DA4563D}</b:Guid>
    <b:Author>
      <b:Author>
        <b:NameList>
          <b:Person>
            <b:Last>Fishbein</b:Last>
            <b:First>M.</b:First>
          </b:Person>
          <b:Person>
            <b:Last>Ajzen</b:Last>
            <b:First>J.</b:First>
          </b:Person>
          <b:Person>
            <b:Last>Jackson</b:Last>
            <b:First>C.</b:First>
          </b:Person>
        </b:NameList>
      </b:Author>
    </b:Author>
    <b:Title>Evaluating performance of domestic solar thermal systems</b:Title>
    <b:Year>1975</b:Year>
    <b:Publisher>ETSU</b:Publisher>
    <b:RefOrder>532</b:RefOrder>
  </b:Source>
  <b:Source>
    <b:Tag>Lil15</b:Tag>
    <b:SourceType>JournalArticle</b:SourceType>
    <b:Guid>{0F616830-DAB0-4B37-8411-93F311A2EB96}</b:Guid>
    <b:Author>
      <b:Author>
        <b:NameList>
          <b:Person>
            <b:Last>Lillich</b:Last>
            <b:First>R.</b:First>
          </b:Person>
        </b:NameList>
      </b:Author>
    </b:Author>
    <b:Title>Economic</b:Title>
    <b:JournalName>Jane</b:JournalName>
    <b:Year>2015</b:Year>
    <b:Pages>10-15</b:Pages>
    <b:Volume>5</b:Volume>
    <b:Issue>1</b:Issue>
    <b:RefOrder>533</b:RefOrder>
  </b:Source>
  <b:Source>
    <b:Tag>Kam90</b:Tag>
    <b:SourceType>JournalArticle</b:SourceType>
    <b:Guid>{5962283E-2E49-4C0D-9369-BE96D91B2BD2}</b:Guid>
    <b:Author>
      <b:Author>
        <b:NameList>
          <b:Person>
            <b:Last>Kamau</b:Last>
            <b:First>S.</b:First>
          </b:Person>
          <b:Person>
            <b:Last>Jane</b:Last>
            <b:First>B.</b:First>
          </b:Person>
        </b:NameList>
      </b:Author>
    </b:Author>
    <b:Title>Going to school</b:Title>
    <b:JournalName>Please</b:JournalName>
    <b:Year>1290</b:Year>
    <b:Pages>2</b:Pages>
    <b:Volume>2</b:Volume>
    <b:Issue>1</b:Issue>
    <b:RefOrder>534</b:RefOrder>
  </b:Source>
  <b:Source>
    <b:Tag>Jac12</b:Tag>
    <b:SourceType>JournalArticle</b:SourceType>
    <b:Guid>{C45BBA55-FECA-4D3E-B7F1-6A947DAC3CFC}</b:Guid>
    <b:Author>
      <b:Author>
        <b:NameList>
          <b:Person>
            <b:Last>Jack</b:Last>
            <b:First>N,</b:First>
          </b:Person>
          <b:Person>
            <b:Last>James</b:Last>
            <b:First>P.</b:First>
          </b:Person>
          <b:Person>
            <b:Last>Joseph</b:Last>
            <b:First>O.</b:First>
          </b:Person>
        </b:NameList>
      </b:Author>
    </b:Author>
    <b:Title>xxxx</b:Title>
    <b:JournalName>tttt</b:JournalName>
    <b:Year>12</b:Year>
    <b:Pages>3</b:Pages>
    <b:RefOrder>535</b:RefOrder>
  </b:Source>
  <b:Source>
    <b:Tag>Oro03</b:Tag>
    <b:SourceType>Book</b:SourceType>
    <b:Guid>{B92277AF-5E5E-41F1-9A45-A6800E164A89}</b:Guid>
    <b:Author>
      <b:Author>
        <b:NameList>
          <b:Person>
            <b:Last>Orodho</b:Last>
            <b:First>A.</b:First>
          </b:Person>
        </b:NameList>
      </b:Author>
    </b:Author>
    <b:Title>Essentials of educational and social sciences research</b:Title>
    <b:Year>2003</b:Year>
    <b:City>Nairobi</b:City>
    <b:Publisher>Masola Publishers</b:Publisher>
    <b:RefOrder>536</b:RefOrder>
  </b:Source>
  <b:Source>
    <b:Tag>Burn97</b:Tag>
    <b:SourceType>Book</b:SourceType>
    <b:Guid>{888CCC7E-34D5-4767-9BD2-C00674D1B2BC}</b:Guid>
    <b:Author>
      <b:Author>
        <b:NameList>
          <b:Person>
            <b:Last>Burns</b:Last>
            <b:First>N.</b:First>
          </b:Person>
          <b:Person>
            <b:Last>Grove</b:Last>
            <b:First>S.</b:First>
          </b:Person>
        </b:NameList>
      </b:Author>
    </b:Author>
    <b:Title>The practice of nursing research: Critique and utilization (3rd Edition)</b:Title>
    <b:Year>1997</b:Year>
    <b:City>Philadelphia, PA</b:City>
    <b:Publisher>WA Saunders</b:Publisher>
    <b:RefOrder>537</b:RefOrder>
  </b:Source>
  <b:Source>
    <b:Tag>Mug99</b:Tag>
    <b:SourceType>Book</b:SourceType>
    <b:Guid>{A5C2E0AB-9EA5-4695-8115-F327B3A87D31}</b:Guid>
    <b:Author>
      <b:Author>
        <b:NameList>
          <b:Person>
            <b:Last>Mugenda</b:Last>
            <b:First>O.</b:First>
          </b:Person>
          <b:Person>
            <b:Last>Mugenda</b:Last>
            <b:First>A.</b:First>
          </b:Person>
        </b:NameList>
      </b:Author>
    </b:Author>
    <b:Title>Research methods: Qualitative and quantitative approaches</b:Title>
    <b:Year>1999</b:Year>
    <b:City>Nairobi</b:City>
    <b:Publisher>Acts Press</b:Publisher>
    <b:RefOrder>538</b:RefOrder>
  </b:Source>
  <b:Source>
    <b:Tag>Coo03</b:Tag>
    <b:SourceType>Book</b:SourceType>
    <b:Guid>{191C3F83-8280-488F-A0AC-F72CE7EA0737}</b:Guid>
    <b:Author>
      <b:Author>
        <b:NameList>
          <b:Person>
            <b:Last>Cooper</b:Last>
            <b:First>D.</b:First>
          </b:Person>
          <b:Person>
            <b:Last>Schindler</b:Last>
            <b:First>P.</b:First>
          </b:Person>
        </b:NameList>
      </b:Author>
    </b:Author>
    <b:Title>Business research methods</b:Title>
    <b:Year>2003</b:Year>
    <b:City>Boston</b:City>
    <b:Publisher>McGraw-Hill Irwin</b:Publisher>
    <b:RefOrder>539</b:RefOrder>
  </b:Source>
  <b:Source>
    <b:Tag>Mor88</b:Tag>
    <b:SourceType>Book</b:SourceType>
    <b:Guid>{C35274E1-EDB2-42DB-9A1E-D8833B43959C}</b:Guid>
    <b:Author>
      <b:Author>
        <b:NameList>
          <b:Person>
            <b:Last>Morgan</b:Last>
            <b:First>D.</b:First>
          </b:Person>
        </b:NameList>
      </b:Author>
    </b:Author>
    <b:Title>Focus group as a qualitative research</b:Title>
    <b:Year>1988</b:Year>
    <b:City>London, UK</b:City>
    <b:Publisher>Sage Publishers</b:Publisher>
    <b:RefOrder>540</b:RefOrder>
  </b:Source>
  <b:Source>
    <b:Tag>Mar89</b:Tag>
    <b:SourceType>Book</b:SourceType>
    <b:Guid>{354DC21F-3006-4C95-88EA-F1A9900138B4}</b:Guid>
    <b:Author>
      <b:Author>
        <b:NameList>
          <b:Person>
            <b:Last>Marshall</b:Last>
            <b:First>C.</b:First>
          </b:Person>
          <b:Person>
            <b:Last>Rossman</b:Last>
            <b:First>G.</b:First>
          </b:Person>
        </b:NameList>
      </b:Author>
    </b:Author>
    <b:Title>Designing qualitative research</b:Title>
    <b:Year>1989</b:Year>
    <b:Publisher>Sage Publishers</b:Publisher>
    <b:City>Newbury Park, CA</b:City>
    <b:RefOrder>541</b:RefOrder>
  </b:Source>
  <b:Source>
    <b:Tag>Erl93</b:Tag>
    <b:SourceType>Book</b:SourceType>
    <b:Guid>{284D6963-83B3-4E10-9FCC-6AD20A9B88D1}</b:Guid>
    <b:Author>
      <b:Author>
        <b:NameList>
          <b:Person>
            <b:Last>Erlandson</b:Last>
            <b:First>D.</b:First>
          </b:Person>
          <b:Person>
            <b:Last>Harris</b:Last>
            <b:First>E.</b:First>
          </b:Person>
          <b:Person>
            <b:Last>Skipper</b:Last>
            <b:First>B.</b:First>
          </b:Person>
          <b:Person>
            <b:Last>Allen</b:Last>
            <b:First>S.</b:First>
          </b:Person>
        </b:NameList>
      </b:Author>
    </b:Author>
    <b:Title>Doing naturalistic inquiry: A guide to methods</b:Title>
    <b:Year>1993</b:Year>
    <b:City>Newbury, CA</b:City>
    <b:Publisher>Sage Publishers</b:Publisher>
    <b:RefOrder>542</b:RefOrder>
  </b:Source>
  <b:Source>
    <b:Tag>Ber94</b:Tag>
    <b:SourceType>Book</b:SourceType>
    <b:Guid>{C72924B2-1F47-4A7A-B6A8-C1375E06ED1A}</b:Guid>
    <b:Author>
      <b:Author>
        <b:NameList>
          <b:Person>
            <b:Last>Bernard</b:Last>
            <b:First>H.</b:First>
          </b:Person>
        </b:NameList>
      </b:Author>
    </b:Author>
    <b:Title>Research methods in anthropology: qualitative and quantitative approaches (2nd edition)</b:Title>
    <b:Year>1994</b:Year>
    <b:City>Walnut Creek, CA</b:City>
    <b:Publisher>AltaMira Press</b:Publisher>
    <b:RefOrder>543</b:RefOrder>
  </b:Source>
  <b:Source>
    <b:Tag>Bat42</b:Tag>
    <b:SourceType>Book</b:SourceType>
    <b:Guid>{B0586252-25EB-4936-B36B-CC0329CFB094}</b:Guid>
    <b:Author>
      <b:Author>
        <b:NameList>
          <b:Person>
            <b:Last>Bateson</b:Last>
            <b:First>G.</b:First>
          </b:Person>
          <b:Person>
            <b:Last>Mead</b:Last>
            <b:First>M.</b:First>
          </b:Person>
        </b:NameList>
      </b:Author>
    </b:Author>
    <b:Title>Balinese character: Special publication of the New York Academy of Sciences</b:Title>
    <b:Year>1942</b:Year>
    <b:City>New York</b:City>
    <b:Publisher>New York Academi of Sciences</b:Publisher>
    <b:Volume>II</b:Volume>
    <b:RefOrder>544</b:RefOrder>
  </b:Source>
  <b:Source>
    <b:Tag>Col67</b:Tag>
    <b:SourceType>Book</b:SourceType>
    <b:Guid>{FC24D69B-AA9F-4C3E-9ADB-A8B598BCD994}</b:Guid>
    <b:Author>
      <b:Author>
        <b:NameList>
          <b:Person>
            <b:Last>Collier</b:Last>
            <b:First>J.</b:First>
          </b:Person>
        </b:NameList>
      </b:Author>
    </b:Author>
    <b:Title>Visual anthropology: Photography as a research method</b:Title>
    <b:Year>1967</b:Year>
    <b:City>New York</b:City>
    <b:Publisher>Holt, Rinehart, Wiston</b:Publisher>
    <b:RefOrder>545</b:RefOrder>
  </b:Source>
  <b:Source>
    <b:Tag>Bec74</b:Tag>
    <b:SourceType>JournalArticle</b:SourceType>
    <b:Guid>{C6F6001F-2B0F-49B7-B4FD-7F73CCB54C12}</b:Guid>
    <b:Author>
      <b:Author>
        <b:NameList>
          <b:Person>
            <b:Last>Becker</b:Last>
            <b:First>H.</b:First>
          </b:Person>
        </b:NameList>
      </b:Author>
    </b:Author>
    <b:Title>Photography and sociology</b:Title>
    <b:Year>1974</b:Year>
    <b:JournalName>Studies in the Athropology of Visual Communication</b:JournalName>
    <b:Pages>3-26</b:Pages>
    <b:Volume>1</b:Volume>
    <b:Issue>1</b:Issue>
    <b:RefOrder>546</b:RefOrder>
  </b:Source>
  <b:Source>
    <b:Tag>Wag79</b:Tag>
    <b:SourceType>Book</b:SourceType>
    <b:Guid>{99BF9BB3-803E-493F-8D15-F1D02A6A10F9}</b:Guid>
    <b:Author>
      <b:Author>
        <b:NameList>
          <b:Person>
            <b:Last>Wagner</b:Last>
            <b:First>J.</b:First>
            <b:Middle>(Ed.)</b:Middle>
          </b:Person>
        </b:NameList>
      </b:Author>
    </b:Author>
    <b:Title>Images of information: Still photography in the social sciences</b:Title>
    <b:Year>1979</b:Year>
    <b:City>Beverly Hills, CA</b:City>
    <b:Publisher>Sage Publishers</b:Publisher>
    <b:RefOrder>547</b:RefOrder>
  </b:Source>
  <b:Source>
    <b:Tag>Cal85</b:Tag>
    <b:SourceType>JournalArticle</b:SourceType>
    <b:Guid>{B75257D3-DD18-4853-BAD5-29599FEF2F51}</b:Guid>
    <b:Author>
      <b:Author>
        <b:NameList>
          <b:Person>
            <b:Last>Caldarola</b:Last>
            <b:First>V.</b:First>
          </b:Person>
        </b:NameList>
      </b:Author>
    </b:Author>
    <b:Title>Visual contexts: A photographic research method in anthropology</b:Title>
    <b:Year>1985</b:Year>
    <b:JournalName>Studies in Visual Communication</b:JournalName>
    <b:Pages>33-53</b:Pages>
    <b:Volume>11</b:Volume>
    <b:Issue>3</b:Issue>
    <b:RefOrder>548</b:RefOrder>
  </b:Source>
  <b:Source>
    <b:Tag>Rub09</b:Tag>
    <b:SourceType>Book</b:SourceType>
    <b:Guid>{6BB9F3B7-EEF6-4EF5-A773-EA23B6681496}</b:Guid>
    <b:Author>
      <b:Author>
        <b:NameList>
          <b:Person>
            <b:Last>Rubin</b:Last>
            <b:First>A.</b:First>
          </b:Person>
          <b:Person>
            <b:Last>Babbie</b:Last>
            <b:First>E.</b:First>
          </b:Person>
        </b:NameList>
      </b:Author>
    </b:Author>
    <b:Title>Essential research methods for social work (2nd edition)</b:Title>
    <b:Year>2009</b:Year>
    <b:City>Brooks/Cole</b:City>
    <b:Publisher>Cengage Learning</b:Publisher>
    <b:RefOrder>549</b:RefOrder>
  </b:Source>
  <b:Source>
    <b:Tag>Bus12</b:Tag>
    <b:SourceType>InternetSite</b:SourceType>
    <b:Guid>{A3DB9188-B1EE-420F-8207-11F5565965F6}</b:Guid>
    <b:Author>
      <b:Author>
        <b:NameList>
          <b:Person>
            <b:Last>Bushong</b:Last>
            <b:First>S.</b:First>
          </b:Person>
        </b:NameList>
      </b:Author>
    </b:Author>
    <b:Title>Under the roof: How households decide to install PV</b:Title>
    <b:Year>2012</b:Year>
    <b:InternetSiteTitle>http://www.solarpowerworldonline.com</b:InternetSiteTitle>
    <b:Month>August</b:Month>
    <b:Day>8</b:Day>
    <b:YearAccessed>2016</b:YearAccessed>
    <b:MonthAccessed>January</b:MonthAccessed>
    <b:DayAccessed>18</b:DayAccessed>
    <b:URL>http://www.solarpowerworldonline.com/2012/08/under-the-roof-how-households-decide-to-install-pv/</b:URL>
    <b:RefOrder>550</b:RefOrder>
  </b:Source>
  <b:Source>
    <b:Tag>Val97</b:Tag>
    <b:SourceType>InternetSite</b:SourceType>
    <b:Guid>{FC0588F0-7792-4538-A82F-69D35A299439}</b:Guid>
    <b:Author>
      <b:Author>
        <b:NameList>
          <b:Person>
            <b:Last>Valerie</b:Last>
            <b:First>J.</b:First>
          </b:Person>
          <b:Person>
            <b:Last>John</b:Last>
            <b:First>H.</b:First>
          </b:Person>
        </b:NameList>
      </b:Author>
    </b:Author>
    <b:Title>Statistics glossary v1.1</b:Title>
    <b:Year>1997</b:Year>
    <b:InternetSiteTitle>http://www.stats.gla.ac.uk</b:InternetSiteTitle>
    <b:Month>September</b:Month>
    <b:YearAccessed>2016</b:YearAccessed>
    <b:MonthAccessed>January</b:MonthAccessed>
    <b:DayAccessed>18</b:DayAccessed>
    <b:URL>http://www.stats.gla.ac.uk/steps/glossary/</b:URL>
    <b:RefOrder>551</b:RefOrder>
  </b:Source>
  <b:Source>
    <b:Tag>Oli16</b:Tag>
    <b:SourceType>InternetSite</b:SourceType>
    <b:Guid>{4327EE77-54DC-4BCE-A196-49401FECCA15}</b:Guid>
    <b:Author>
      <b:Author>
        <b:Corporate>Olive Leaf Foundation</b:Corporate>
      </b:Author>
    </b:Author>
    <b:Title>Kitui county profile</b:Title>
    <b:Year>2016</b:Year>
    <b:InternetSiteTitle>http://frontline-interactive.com</b:InternetSiteTitle>
    <b:YearAccessed>2016</b:YearAccessed>
    <b:MonthAccessed>January</b:MonthAccessed>
    <b:DayAccessed>18</b:DayAccessed>
    <b:URL>http://frontline-interactive.com/olive-leaf1/?page_id=317</b:URL>
    <b:RefOrder>552</b:RefOrder>
  </b:Source>
  <b:Source>
    <b:Tag>Kaj13</b:Tag>
    <b:SourceType>Report</b:SourceType>
    <b:Guid>{4DCEC2CD-1B2B-4119-A64C-A92832237252}</b:Guid>
    <b:Author>
      <b:Author>
        <b:NameList>
          <b:Person>
            <b:Last>Government</b:Last>
            <b:First>Kajiado</b:First>
            <b:Middle>County</b:Middle>
          </b:Person>
        </b:NameList>
      </b:Author>
    </b:Author>
    <b:Title>County integrated development plan 2013-2017</b:Title>
    <b:Year>2013</b:Year>
    <b:Publisher>Republic of Kenya</b:Publisher>
    <b:City>Nairobi</b:City>
    <b:RefOrder>553</b:RefOrder>
  </b:Source>
  <b:Source>
    <b:Tag>Fis91</b:Tag>
    <b:SourceType>Book</b:SourceType>
    <b:Guid>{7937D9A2-5987-4C18-9AA9-AC61557B252B}</b:Guid>
    <b:Author>
      <b:Author>
        <b:NameList>
          <b:Person>
            <b:Last>Fischer</b:Last>
            <b:First>A.</b:First>
          </b:Person>
          <b:Person>
            <b:Last>Laing</b:Last>
            <b:First>J.</b:First>
          </b:Person>
          <b:Person>
            <b:Last>Stockel</b:Last>
            <b:First>J.</b:First>
          </b:Person>
          <b:Person>
            <b:Last>Townsend</b:Last>
            <b:First>J.</b:First>
          </b:Person>
        </b:NameList>
      </b:Author>
    </b:Author>
    <b:Title>Handbook for family planning operations research design</b:Title>
    <b:Year>1991</b:Year>
    <b:Publisher>Population Council</b:Publisher>
    <b:City>New York</b:City>
    <b:RefOrder>554</b:RefOrder>
  </b:Source>
  <b:Source>
    <b:Tag>Ang11</b:Tag>
    <b:SourceType>ConferenceProceedings</b:SourceType>
    <b:Guid>{D364D4B7-6548-4E81-B558-F15B153AE7A0}</b:Guid>
    <b:Author>
      <b:Author>
        <b:NameList>
          <b:Person>
            <b:Last>Angell</b:Last>
            <b:First>B.</b:First>
          </b:Person>
          <b:Person>
            <b:Last>Townsend</b:Last>
            <b:First>I.</b:First>
          </b:Person>
        </b:NameList>
      </b:Author>
    </b:Author>
    <b:Title>Designing and conducting mixed methods studies</b:Title>
    <b:Year>2011</b:Year>
    <b:City>Grand Salon G (Tampa Marriott Waterside &amp; Marina)</b:City>
    <b:Publisher>Society for Social Work and Research</b:Publisher>
    <b:ConferenceName>Workshop for the 2011 Society for Social Work and Research Annual Meeting</b:ConferenceName>
    <b:RefOrder>555</b:RefOrder>
  </b:Source>
  <b:Source>
    <b:Tag>Bor03</b:Tag>
    <b:SourceType>Book</b:SourceType>
    <b:Guid>{4272166F-415C-497C-8AB5-CEA640E51396}</b:Guid>
    <b:Author>
      <b:Author>
        <b:NameList>
          <b:Person>
            <b:Last>Borg</b:Last>
            <b:First>W.</b:First>
          </b:Person>
          <b:Person>
            <b:Last>Gall</b:Last>
            <b:First>M.</b:First>
          </b:Person>
        </b:NameList>
      </b:Author>
    </b:Author>
    <b:Title>Educational research: An introduction (5th edition)</b:Title>
    <b:Year>2003</b:Year>
    <b:City>New York</b:City>
    <b:Publisher>Longman</b:Publisher>
    <b:RefOrder>556</b:RefOrder>
  </b:Source>
  <b:Source>
    <b:Tag>MOR04</b:Tag>
    <b:SourceType>DocumentFromInternetSite</b:SourceType>
    <b:Guid>{1AAC8003-5461-4949-83B0-2C96728FEE93}</b:Guid>
    <b:Author>
      <b:Author>
        <b:Corporate>MORI Social Research Institute for Regen South West</b:Corporate>
      </b:Author>
    </b:Author>
    <b:Title>Attitudes towards renewable energy in Devon</b:Title>
    <b:InternetSiteTitle>http://www.regensw.co.uk</b:InternetSiteTitle>
    <b:Year>2004</b:Year>
    <b:YearAccessed>2016</b:YearAccessed>
    <b:MonthAccessed>January</b:MonthAccessed>
    <b:DayAccessed>18</b:DayAccessed>
    <b:URL>http://www.regensw.co.uk/content-download/DevonMORIPollReport-091104.pdf</b:URL>
    <b:RefOrder>557</b:RefOrder>
  </b:Source>
  <b:Source>
    <b:Tag>Pop05</b:Tag>
    <b:SourceType>DocumentFromInternetSite</b:SourceType>
    <b:Guid>{D61AE5B8-00D5-4489-82BC-59E20FE2C167}</b:Guid>
    <b:Author>
      <b:Author>
        <b:NameList>
          <b:Person>
            <b:Last>Populus</b:Last>
          </b:Person>
        </b:NameList>
      </b:Author>
    </b:Author>
    <b:Title>Energy balance of power poll</b:Title>
    <b:InternetSiteTitle>http://www.populuslimited.com</b:InternetSiteTitle>
    <b:Year>2005</b:Year>
    <b:YearAccessed>2016</b:YearAccessed>
    <b:MonthAccessed>January</b:MonthAccessed>
    <b:DayAccessed>18</b:DayAccessed>
    <b:URL>http://www.populuslimited.com/pdf/2005_07_01_times_nuclear.pdf</b:URL>
    <b:RefOrder>558</b:RefOrder>
  </b:Source>
  <b:Source>
    <b:Tag>Poo06</b:Tag>
    <b:SourceType>Report</b:SourceType>
    <b:Guid>{8C47B7B9-FEE9-45B2-8477-7CE45A741061}</b:Guid>
    <b:Author>
      <b:Author>
        <b:NameList>
          <b:Person>
            <b:Last>Poortinga</b:Last>
            <b:First>W.</b:First>
          </b:Person>
          <b:Person>
            <b:Last>Pidgeon</b:Last>
            <b:First>N.</b:First>
          </b:Person>
          <b:Person>
            <b:Last>Lorenzioni</b:Last>
            <b:First>L.</b:First>
          </b:Person>
        </b:NameList>
      </b:Author>
    </b:Author>
    <b:Title>Public perceptions of nuclear power, climate change and energy options in Britain: summary of findings of a survey conducted during October and November 2005</b:Title>
    <b:Year>2006</b:Year>
    <b:JournalName>School of Environmental Science, University of East Anglia</b:JournalName>
    <b:Publisher>School of Environmental Science, University of East Anglia</b:Publisher>
    <b:RefOrder>559</b:RefOrder>
  </b:Source>
  <b:Source>
    <b:Tag>War05</b:Tag>
    <b:SourceType>JournalArticle</b:SourceType>
    <b:Guid>{E3A66971-D033-4693-947D-D9058586D1E8}</b:Guid>
    <b:Author>
      <b:Author>
        <b:NameList>
          <b:Person>
            <b:Last>Warren</b:Last>
            <b:First>C.</b:First>
          </b:Person>
          <b:Person>
            <b:Last>Lumsden</b:Last>
            <b:First>C.</b:First>
          </b:Person>
          <b:Person>
            <b:Last>O'Dowd</b:Last>
            <b:First>S.</b:First>
          </b:Person>
          <b:Person>
            <b:Last>Birnie</b:Last>
            <b:First>R.</b:First>
          </b:Person>
        </b:NameList>
      </b:Author>
    </b:Author>
    <b:Title>'Green on green': public perceptions on wind power in Scotland and Ireland</b:Title>
    <b:Year>2005</b:Year>
    <b:JournalName>Journal of Environmental Planning and Management</b:JournalName>
    <b:Pages>853-875</b:Pages>
    <b:Volume>48</b:Volume>
    <b:RefOrder>560</b:RefOrder>
  </b:Source>
  <b:Source>
    <b:Tag>Dev05</b:Tag>
    <b:SourceType>JournalArticle</b:SourceType>
    <b:Guid>{CD7ABC2F-77D4-4A43-9855-BB0B08502693}</b:Guid>
    <b:Author>
      <b:Author>
        <b:NameList>
          <b:Person>
            <b:Last>Devine-Wright</b:Last>
            <b:First>P.</b:First>
          </b:Person>
        </b:NameList>
      </b:Author>
    </b:Author>
    <b:Title>Local aspects of renewable energy development in the UK: public beliefs and policy implications</b:Title>
    <b:JournalName>Local Environment</b:JournalName>
    <b:Year>2005</b:Year>
    <b:Pages>57-69</b:Pages>
    <b:Volume>10</b:Volume>
    <b:Issue>1</b:Issue>
    <b:RefOrder>561</b:RefOrder>
  </b:Source>
  <b:Source>
    <b:Tag>Vor01</b:Tag>
    <b:SourceType>JournalArticle</b:SourceType>
    <b:Guid>{A068A5B6-2205-4519-8D11-DD0712DB5198}</b:Guid>
    <b:Author>
      <b:Author>
        <b:NameList>
          <b:Person>
            <b:Last>Vorkinm</b:Last>
            <b:First>M.</b:First>
          </b:Person>
          <b:Person>
            <b:Last>Riese</b:Last>
            <b:First>H.</b:First>
          </b:Person>
        </b:NameList>
      </b:Author>
    </b:Author>
    <b:Title>Environmental concern in a local context: the significance of place attachment</b:Title>
    <b:JournalName>Environment and Behaviour</b:JournalName>
    <b:Year>2001</b:Year>
    <b:Pages>249-263</b:Pages>
    <b:Volume>33</b:Volume>
    <b:RefOrder>562</b:RefOrder>
  </b:Source>
  <b:Source>
    <b:Tag>Sim05</b:Tag>
    <b:SourceType>BookSection</b:SourceType>
    <b:Guid>{97B314CA-E55D-4A7C-9D92-D220D70EC19E}</b:Guid>
    <b:Author>
      <b:Author>
        <b:NameList>
          <b:Person>
            <b:Last>Simmons</b:Last>
            <b:First>P.</b:First>
          </b:Person>
          <b:Person>
            <b:Last>Walker</b:Last>
            <b:First>G.</b:First>
          </b:Person>
        </b:NameList>
      </b:Author>
      <b:BookAuthor>
        <b:NameList>
          <b:Person>
            <b:Last>Löfstedt</b:Last>
            <b:First>A.</b:First>
            <b:Middle>Boholm and R.</b:Middle>
          </b:Person>
        </b:NameList>
      </b:BookAuthor>
    </b:Author>
    <b:Title>Living with technological risk: industrial encroachment on sense of place</b:Title>
    <b:Year>2005</b:Year>
    <b:Pages>90-106</b:Pages>
    <b:BookTitle>Facility sitting: risk, power and identity in land use planning (Eds)</b:BookTitle>
    <b:City>London and Sterling, VA</b:City>
    <b:Publisher>Earthscan</b:Publisher>
    <b:RefOrder>563</b:RefOrder>
  </b:Source>
  <b:Source>
    <b:Tag>Hag04</b:Tag>
    <b:SourceType>ConferenceProceedings</b:SourceType>
    <b:Guid>{95826548-0F0A-48FC-AF67-B9E3631A0370}</b:Guid>
    <b:Author>
      <b:Author>
        <b:NameList>
          <b:Person>
            <b:Last>Haggett</b:Last>
            <b:First>C.</b:First>
          </b:Person>
          <b:Person>
            <b:Last>Smith</b:Last>
            <b:First>J.</b:First>
          </b:Person>
        </b:NameList>
      </b:Author>
    </b:Author>
    <b:Title>Tilting at windmills? Using doscourse analysis to understand the attitude-behaviour gap in renewable energy conflicts</b:Title>
    <b:Year>2004</b:Year>
    <b:City>New York</b:City>
    <b:Publisher>Univeristy of York</b:Publisher>
    <b:ConferenceName>British Sociological Association Annual Conference, March 22-24</b:ConferenceName>
    <b:RefOrder>564</b:RefOrder>
  </b:Source>
  <b:Source>
    <b:Tag>Zoe05</b:Tag>
    <b:SourceType>ConferenceProceedings</b:SourceType>
    <b:Guid>{80796CE8-A21C-4E51-AF27-0E2E968D5B09}</b:Guid>
    <b:Author>
      <b:Author>
        <b:NameList>
          <b:Person>
            <b:Last>Zoellner</b:Last>
            <b:First>J.</b:First>
          </b:Person>
          <b:Person>
            <b:Last>Ittner</b:Last>
            <b:First>H.</b:First>
          </b:Person>
          <b:Person>
            <b:Last>Schweizer-Ries</b:Last>
            <b:First>P.</b:First>
          </b:Person>
        </b:NameList>
      </b:Author>
    </b:Author>
    <b:Title>Perceived procedural justice as a conflict factor in wind energy plants planning process</b:Title>
    <b:Year>2005</b:Year>
    <b:ConferenceName>6th Bi-Annual Conference of Environmental Psychology</b:ConferenceName>
    <b:City>Bochum</b:City>
    <b:Publisher>University of Ruhr</b:Publisher>
    <b:RefOrder>565</b:RefOrder>
  </b:Source>
  <b:Source>
    <b:Tag>Uph06</b:Tag>
    <b:SourceType>JournalArticle</b:SourceType>
    <b:Guid>{60CDA22E-94A3-4CF0-AD5A-2507470D2812}</b:Guid>
    <b:Author>
      <b:Author>
        <b:NameList>
          <b:Person>
            <b:Last>Upham</b:Last>
            <b:First>P.</b:First>
          </b:Person>
          <b:Person>
            <b:Last>Shackley</b:Last>
            <b:First>S.</b:First>
          </b:Person>
        </b:NameList>
      </b:Author>
    </b:Author>
    <b:Title>Stakeholder opinion of a proposed 21.5 MW biomass gasifier in Winkleigh, Devon: implications for bioenergy planning and policy</b:Title>
    <b:Pages>45-66</b:Pages>
    <b:Year>2006</b:Year>
    <b:JournalName>Journal of Environmental Planning and Policy</b:JournalName>
    <b:Volume>8</b:Volume>
    <b:Issue>1</b:Issue>
    <b:RefOrder>566</b:RefOrder>
  </b:Source>
  <b:Source>
    <b:Tag>Hin00</b:Tag>
    <b:SourceType>JournalArticle</b:SourceType>
    <b:Guid>{0621998E-9830-420B-BFEF-AED401A07845}</b:Guid>
    <b:Author>
      <b:Author>
        <b:NameList>
          <b:Person>
            <b:Last>Hinshelwood</b:Last>
            <b:First>E.</b:First>
          </b:Person>
        </b:NameList>
      </b:Author>
    </b:Author>
    <b:Title>Whistling in the wind: the role of communities in renewable energy development</b:Title>
    <b:Year>2000</b:Year>
    <b:JournalName>Network for Alternative Technology and Technology Assessment Newsletter127</b:JournalName>
    <b:Pages>17-20</b:Pages>
    <b:RefOrder>567</b:RefOrder>
  </b:Source>
  <b:Source>
    <b:Tag>Upr04</b:Tag>
    <b:SourceType>JournalArticle</b:SourceType>
    <b:Guid>{29786B74-FFC8-458E-84CF-09D82350875C}</b:Guid>
    <b:Author>
      <b:Author>
        <b:NameList>
          <b:Person>
            <b:Last>Upreti</b:Last>
            <b:First>B.</b:First>
          </b:Person>
          <b:Person>
            <b:Last>van der Horst</b:Last>
            <b:First>M.</b:First>
          </b:Person>
        </b:NameList>
      </b:Author>
    </b:Author>
    <b:Title>National renewable energy policy and local opposition in the UK: the failed development of a biomass electricity plant</b:Title>
    <b:JournalName>Biomass and Bioenergy</b:JournalName>
    <b:Year>2004</b:Year>
    <b:Pages>61-69</b:Pages>
    <b:Volume>26</b:Volume>
    <b:RefOrder>568</b:RefOrder>
  </b:Source>
  <b:Source>
    <b:Tag>Tok05</b:Tag>
    <b:SourceType>JournalArticle</b:SourceType>
    <b:Guid>{B4C06552-792B-4643-B13E-51297A13319E}</b:Guid>
    <b:Author>
      <b:Author>
        <b:NameList>
          <b:Person>
            <b:Last>Toke</b:Last>
            <b:First>D.</b:First>
          </b:Person>
        </b:NameList>
      </b:Author>
    </b:Author>
    <b:Title>Explaining wind power planning outcomes: some findings from a study in England and Wales</b:Title>
    <b:JournalName>Energy Policy</b:JournalName>
    <b:Year>2005</b:Year>
    <b:Pages>1527-1539</b:Pages>
    <b:Volume>33</b:Volume>
    <b:Issue>12</b:Issue>
    <b:RefOrder>569</b:RefOrder>
  </b:Source>
  <b:Source>
    <b:Tag>Dev5b</b:Tag>
    <b:SourceType>JournalArticle</b:SourceType>
    <b:Guid>{6077D9B3-86AB-4CC3-87D6-1AE432F87E6C}</b:Guid>
    <b:Author>
      <b:Author>
        <b:NameList>
          <b:Person>
            <b:Last>Devine-Wright</b:Last>
            <b:First>P.</b:First>
          </b:Person>
        </b:NameList>
      </b:Author>
    </b:Author>
    <b:Title>Local aspects of renewable energy development in the UK: public beliefs and policy implications</b:Title>
    <b:JournalName>Local Environment</b:JournalName>
    <b:Year>2005b</b:Year>
    <b:Pages>57-69</b:Pages>
    <b:Volume>10</b:Volume>
    <b:Issue>1</b:Issue>
    <b:RefOrder>570</b:RefOrder>
  </b:Source>
  <b:Source>
    <b:Tag>Bel05</b:Tag>
    <b:SourceType>JournalArticle</b:SourceType>
    <b:Guid>{FBE80AEC-9005-41A9-9A47-8B6E76B328E3}</b:Guid>
    <b:Author>
      <b:Author>
        <b:NameList>
          <b:Person>
            <b:Last>Bell</b:Last>
            <b:First>D.</b:First>
          </b:Person>
          <b:Person>
            <b:Last>Gray</b:Last>
            <b:First>T.</b:First>
          </b:Person>
          <b:Person>
            <b:Last>Haggett</b:Last>
            <b:First>C.</b:First>
          </b:Person>
        </b:NameList>
      </b:Author>
    </b:Author>
    <b:Title>The 'social gap' in the wind farm policy siting decisions: explanations and policy responses</b:Title>
    <b:JournalName>Environmental polictics</b:JournalName>
    <b:Year>2005</b:Year>
    <b:Pages>460-477</b:Pages>
    <b:Volume>14</b:Volume>
    <b:Issue>4</b:Issue>
    <b:RefOrder>571</b:RefOrder>
  </b:Source>
  <b:Source>
    <b:Tag>Hue04</b:Tag>
    <b:SourceType>BookSection</b:SourceType>
    <b:Guid>{B4A437E2-FF71-462F-8493-A382C4E31F9E}</b:Guid>
    <b:Author>
      <b:Author>
        <b:NameList>
          <b:Person>
            <b:Last>Huebner</b:Last>
            <b:First>G.</b:First>
          </b:Person>
          <b:Person>
            <b:Last>Meijnders</b:Last>
            <b:First>A.</b:First>
          </b:Person>
        </b:NameList>
      </b:Author>
      <b:BookAuthor>
        <b:NameList>
          <b:Person>
            <b:Last>CD-Rom</b:Last>
            <b:First>IAPS</b:First>
            <b:Middle>18 Conference Proceedings on</b:Middle>
          </b:Person>
        </b:NameList>
      </b:BookAuthor>
    </b:Author>
    <b:Title>Biomass as a sustainable energy source - comparing attitudes of the general public and neighbours of biomass plants</b:Title>
    <b:Year>2004</b:Year>
    <b:BookTitle>Evaluation in progress - strategies for environmental research and implementation</b:BookTitle>
    <b:City>Vienna, Austria</b:City>
    <b:Publisher>Österreichischer Kunst- und Kulturverlag</b:Publisher>
    <b:RefOrder>572</b:RefOrder>
  </b:Source>
  <b:Source>
    <b:Tag>Ing96</b:Tag>
    <b:SourceType>Book</b:SourceType>
    <b:Guid>{9C84C125-9EFE-4FA0-B53E-8F220DEEFE04}</b:Guid>
    <b:Author>
      <b:Author>
        <b:NameList>
          <b:Person>
            <b:Last>Ingule</b:Last>
            <b:First>F.</b:First>
          </b:Person>
          <b:Person>
            <b:Last>Gatumu</b:Last>
            <b:First>H.</b:First>
          </b:Person>
        </b:NameList>
      </b:Author>
    </b:Author>
    <b:Title>Essentials of educational statistics</b:Title>
    <b:Year>1996</b:Year>
    <b:Publisher>EAEP</b:Publisher>
    <b:City>Nairobi</b:City>
    <b:RefOrder>573</b:RefOrder>
  </b:Source>
  <b:Source>
    <b:Tag>Mug03</b:Tag>
    <b:SourceType>Book</b:SourceType>
    <b:Guid>{FE2E1005-A762-4F49-B49F-74D3FE392BCD}</b:Guid>
    <b:Author>
      <b:Author>
        <b:NameList>
          <b:Person>
            <b:Last>Mugenda</b:Last>
            <b:First>O.</b:First>
          </b:Person>
          <b:Person>
            <b:Last>Mugenda</b:Last>
            <b:First>A.</b:First>
          </b:Person>
        </b:NameList>
      </b:Author>
    </b:Author>
    <b:Title>Research methods: quantitative and qualitative approaches</b:Title>
    <b:Year>2003</b:Year>
    <b:City>Nairobi</b:City>
    <b:Publisher>Acts Press</b:Publisher>
    <b:RefOrder>574</b:RefOrder>
  </b:Source>
  <b:Source>
    <b:Tag>Ols04</b:Tag>
    <b:SourceType>DocumentFromInternetSite</b:SourceType>
    <b:Guid>{C56691E4-61B0-4F75-9230-E7C43211154E}</b:Guid>
    <b:Author>
      <b:Author>
        <b:NameList>
          <b:Person>
            <b:Last>Olsen</b:Last>
            <b:First>C.</b:First>
          </b:Person>
          <b:Person>
            <b:Last>Diane</b:Last>
            <b:First>M.</b:First>
          </b:Person>
        </b:NameList>
      </b:Author>
    </b:Author>
    <b:Title>Cross-sectional study design and data analysis</b:Title>
    <b:Year>2004</b:Year>
    <b:InternetSiteTitle>http://www.collegeboard.com</b:InternetSiteTitle>
    <b:YearAccessed>2016</b:YearAccessed>
    <b:MonthAccessed>January</b:MonthAccessed>
    <b:DayAccessed>23</b:DayAccessed>
    <b:URL>http://www.collegeboard.com/prod_downloads/yes/4297_MODULE_05.pdf</b:URL>
    <b:RefOrder>575</b:RefOrder>
  </b:Source>
  <b:Source>
    <b:Tag>Onw12</b:Tag>
    <b:SourceType>JournalArticle</b:SourceType>
    <b:Guid>{C957C642-0313-46BA-BF19-F00B06BF2BD6}</b:Guid>
    <b:Author>
      <b:Author>
        <b:NameList>
          <b:Person>
            <b:Last>Onwuegbuzie</b:Last>
            <b:First>A.</b:First>
          </b:Person>
          <b:Person>
            <b:Last>Leech</b:Last>
            <b:First>N.</b:First>
          </b:Person>
          <b:Person>
            <b:Last>Collins</b:Last>
            <b:First>K.</b:First>
          </b:Person>
        </b:NameList>
      </b:Author>
    </b:Author>
    <b:Title>Qualitative analysis techniques for the review of the literature</b:Title>
    <b:JournalName>The Qualitative Report</b:JournalName>
    <b:Year>2012</b:Year>
    <b:Pages>1-28</b:Pages>
    <b:Publisher>The Qualitative Report</b:Publisher>
    <b:Volume>17 (Art. 56)</b:Volume>
    <b:RefOrder>576</b:RefOrder>
  </b:Source>
  <b:Source>
    <b:Tag>Onw10</b:Tag>
    <b:SourceType>BookSection</b:SourceType>
    <b:Guid>{92D5E0A0-3A12-4539-9BB0-C852C0C5FFCF}</b:Guid>
    <b:Author>
      <b:Author>
        <b:NameList>
          <b:Person>
            <b:Last>Onwuegbuzie</b:Last>
            <b:First>A.</b:First>
          </b:Person>
          <b:Person>
            <b:Last>Collins</b:Last>
            <b:First>K.</b:First>
          </b:Person>
          <b:Person>
            <b:Last>Leech</b:Last>
            <b:First>N.</b:First>
          </b:Person>
          <b:Person>
            <b:Last>Dellinger</b:Last>
            <b:First>A.</b:First>
          </b:Person>
          <b:Person>
            <b:Last>Jiao</b:Last>
            <b:First>Q.</b:First>
          </b:Person>
        </b:NameList>
      </b:Author>
      <b:BookAuthor>
        <b:NameList>
          <b:Person>
            <b:Last>Gates</b:Last>
            <b:First>G.</b:First>
          </b:Person>
          <b:Person>
            <b:Last>Gmelch</b:Last>
            <b:First>W.</b:First>
          </b:Person>
          <b:Person>
            <b:Last>Eds)</b:Last>
            <b:First>M.</b:First>
            <b:Middle>Wolverton (Series</b:Middle>
          </b:Person>
          <b:Person>
            <b:Last>Collins</b:Last>
            <b:First>K.</b:First>
          </b:Person>
          <b:Person>
            <b:Last>Onwuegbuzie</b:Last>
            <b:First>A.</b:First>
          </b:Person>
          <b:Person>
            <b:Last>Eds)</b:Last>
            <b:First>G.</b:First>
            <b:Middle>Jiao (Vol.</b:Middle>
          </b:Person>
        </b:NameList>
      </b:BookAuthor>
    </b:Author>
    <b:Title>A meta-framework for conducting mixed research synthesis for stress and coping for researchers and beyond</b:Title>
    <b:Year>2010</b:Year>
    <b:Pages>169-211</b:Pages>
    <b:BookTitle>The research  on stress and coping in education series (Vol5) - Towards a broader understanding of stress and coping: mixed methods approaches</b:BookTitle>
    <b:City>Charlotte, NC</b:City>
    <b:Publisher>Information Age</b:Publisher>
    <b:RefOrder>577</b:RefOrder>
  </b:Source>
  <b:Source>
    <b:Tag>Fon94</b:Tag>
    <b:SourceType>BookSection</b:SourceType>
    <b:Guid>{09D8FAE0-9189-49D8-9790-1FDB8266CB4E}</b:Guid>
    <b:Author>
      <b:Author>
        <b:NameList>
          <b:Person>
            <b:Last>Fontana</b:Last>
            <b:First>A.</b:First>
          </b:Person>
          <b:Person>
            <b:Last>Frey</b:Last>
            <b:First>J.</b:First>
          </b:Person>
        </b:NameList>
      </b:Author>
      <b:BookAuthor>
        <b:NameList>
          <b:Person>
            <b:Last>(Eds)</b:Last>
            <b:First>N.</b:First>
            <b:Middle>Denzin</b:Middle>
          </b:Person>
        </b:NameList>
      </b:BookAuthor>
    </b:Author>
    <b:Title>The art of science</b:Title>
    <b:BookTitle>Handbook of Qualitative Research</b:BookTitle>
    <b:Year>1994</b:Year>
    <b:Pages>361-376</b:Pages>
    <b:City>Thousand Oaks</b:City>
    <b:Publisher>Sage Publishers</b:Publisher>
    <b:RefOrder>578</b:RefOrder>
  </b:Source>
  <b:Source>
    <b:Tag>Ahu091</b:Tag>
    <b:SourceType>JournalArticle</b:SourceType>
    <b:Guid>{530BB67A-A881-4906-B9BC-E2888C7974C3}</b:Guid>
    <b:Author>
      <b:Author>
        <b:NameList>
          <b:Person>
            <b:Last>Ahuja</b:Last>
            <b:First>D.</b:First>
          </b:Person>
          <b:Person>
            <b:Last>Tatsutani</b:Last>
            <b:First>M.</b:First>
          </b:Person>
        </b:NameList>
      </b:Author>
    </b:Author>
    <b:Title>Sustainable energy for developing countries</b:Title>
    <b:Year>2009</b:Year>
    <b:JournalName>Surveys and Perspectives Integrating Environment and Society</b:JournalName>
    <b:Pages>Online 2.1</b:Pages>
    <b:Volume>2</b:Volume>
    <b:Issue>1</b:Issue>
    <b:RefOrder>579</b:RefOrder>
  </b:Source>
  <b:Source>
    <b:Tag>Mar06</b:Tag>
    <b:SourceType>Report</b:SourceType>
    <b:Guid>{F2092587-C5CF-45FA-B5ED-07C62C253EEE}</b:Guid>
    <b:Author>
      <b:Author>
        <b:NameList>
          <b:Person>
            <b:Last>Margolis</b:Last>
            <b:First>R.</b:First>
          </b:Person>
          <b:Person>
            <b:Last>Mitchell</b:Last>
            <b:First>R.</b:First>
          </b:Person>
          <b:Person>
            <b:Last>Zweibel</b:Last>
            <b:First>K.</b:First>
          </b:Person>
        </b:NameList>
      </b:Author>
    </b:Author>
    <b:Title>Lessons learned from the photovoltaic manufacturing technology/PV manufacturing R&amp;D and thin-film PV partnership projects</b:Title>
    <b:Year>2006</b:Year>
    <b:Pages>1-26</b:Pages>
    <b:Publisher>Technical Report NREL/TP-520-39780</b:Publisher>
    <b:City>Golden, Colorado</b:City>
    <b:RefOrder>580</b:RefOrder>
  </b:Source>
  <b:Source>
    <b:Tag>Gei15</b:Tag>
    <b:SourceType>JournalArticle</b:SourceType>
    <b:Guid>{F8B66E7D-21A7-40C9-BF6D-593210551152}</b:Guid>
    <b:Author>
      <b:Author>
        <b:NameList>
          <b:Person>
            <b:Last>Geisthardt</b:Last>
            <b:First>R.</b:First>
          </b:Person>
          <b:Person>
            <b:Last>Topic</b:Last>
            <b:First>M.</b:First>
          </b:Person>
          <b:Person>
            <b:Last>Sites</b:Last>
            <b:First>J.</b:First>
          </b:Person>
        </b:NameList>
      </b:Author>
    </b:Author>
    <b:Title>Status and potential of CdTe solar cell efficiency</b:Title>
    <b:JournalName>IEEE Journal of Photovoltaics</b:JournalName>
    <b:Year>2015</b:Year>
    <b:Pages>1217-1221</b:Pages>
    <b:Volume>5</b:Volume>
    <b:Issue>4</b:Issue>
    <b:RefOrder>581</b:RefOrder>
  </b:Source>
  <b:Source>
    <b:Tag>Sin13</b:Tag>
    <b:SourceType>Report</b:SourceType>
    <b:Guid>{AC3B4F0C-136D-43C1-98D8-82408FA7DA29}</b:Guid>
    <b:Author>
      <b:Author>
        <b:NameList>
          <b:Person>
            <b:Last>Sinapis</b:Last>
            <b:First>K.</b:First>
          </b:Person>
          <b:Person>
            <b:Last>Papageorgion</b:Last>
            <b:First>G.</b:First>
          </b:Person>
          <b:Person>
            <b:Last>Durose</b:Last>
            <b:First>K.</b:First>
          </b:Person>
          <b:Person>
            <b:Last>van den Donker</b:Last>
            <b:First>M.</b:First>
          </b:Person>
          <b:Person>
            <b:Last>Folkerts</b:Last>
            <b:First>W.</b:First>
          </b:Person>
        </b:NameList>
      </b:Author>
    </b:Author>
    <b:Title>Outdoor degradation of CdTe modules at open-circuit and at maximum power point</b:Title>
    <b:Year>2013</b:Year>
    <b:Publisher>Solar Energy Application Centre</b:Publisher>
    <b:City>Eindhoven, The Netherlands</b:City>
    <b:RefOrder>582</b:RefOrder>
  </b:Source>
  <b:Source>
    <b:Tag>Ter114</b:Tag>
    <b:SourceType>JournalArticle</b:SourceType>
    <b:Guid>{65312346-890C-472C-9A17-2840A9099F35}</b:Guid>
    <b:Author>
      <b:Author>
        <b:NameList>
          <b:Person>
            <b:Last>Terrapon-Pfall</b:Last>
            <b:First>J.</b:First>
          </b:Person>
          <b:Person>
            <b:Last>Dienst</b:Last>
            <b:First>C.</b:First>
          </b:Person>
          <b:Person>
            <b:Last>Konig</b:Last>
            <b:First>J.</b:First>
          </b:Person>
          <b:Person>
            <b:Last>Ortiz</b:Last>
            <b:First>W.</b:First>
          </b:Person>
        </b:NameList>
      </b:Author>
    </b:Author>
    <b:Title>A cross-sectional review: impacts and sustainability of small-scale renewable energy projects in developing countries</b:Title>
    <b:JournalName>Renewable and Sustainable Energy Reviews</b:JournalName>
    <b:Year>2014</b:Year>
    <b:Pages>1-10</b:Pages>
    <b:Volume>40</b:Volume>
    <b:RefOrder>583</b:RefOrder>
  </b:Source>
  <b:Source>
    <b:Tag>Fland</b:Tag>
    <b:SourceType>Report</b:SourceType>
    <b:Guid>{0AAD2818-F4A9-4FF3-B15C-80E2A3DDC41D}</b:Guid>
    <b:Author>
      <b:Author>
        <b:NameList>
          <b:Person>
            <b:Last>Flavin</b:Last>
            <b:First>C.</b:First>
          </b:Person>
          <b:Person>
            <b:Last>Aeck</b:Last>
            <b:First>M.H.</b:First>
          </b:Person>
        </b:NameList>
      </b:Author>
    </b:Author>
    <b:Title>Energy for Development: The Potential Role of Renewable Energy in Meeting the Millennium Development Goals</b:Title>
    <b:Year>Undated</b:Year>
    <b:Publisher>Worldwatch Institute</b:Publisher>
    <b:City>Washington, D.C.</b:City>
    <b:RefOrder>584</b:RefOrder>
  </b:Source>
  <b:Source>
    <b:Tag>Oth16</b:Tag>
    <b:SourceType>Book</b:SourceType>
    <b:Guid>{3B336B70-2D08-4E56-B9D5-D02F4F571F81}</b:Guid>
    <b:Author>
      <b:Author>
        <b:NameList>
          <b:Person>
            <b:Last>Othieno</b:Last>
            <b:First>H.</b:First>
          </b:Person>
          <b:Person>
            <b:Last>Awange</b:Last>
            <b:First>J.</b:First>
          </b:Person>
        </b:NameList>
      </b:Author>
    </b:Author>
    <b:Title>Energy resources in Africa: distribution, opportunities and challenges</b:Title>
    <b:Year>2016</b:Year>
    <b:Publisher>Springer International Publishing</b:Publisher>
    <b:City>Switzerland</b:City>
    <b:RefOrder>585</b:RefOrder>
  </b:Source>
  <b:Source>
    <b:Tag>Ota2012</b:Tag>
    <b:SourceType>Report</b:SourceType>
    <b:Guid>{5CD216EB-9BDB-4C00-B043-8339D32E3C82}</b:Guid>
    <b:Author>
      <b:Author>
        <b:NameList>
          <b:Person>
            <b:Last>Otakwa</b:Last>
            <b:First>R.</b:First>
          </b:Person>
        </b:NameList>
      </b:Author>
    </b:Author>
    <b:Title>Performance Characterization of a dye-sensitized photovoltaic module under tropical weather conditions: the case of Nairobi, Kenya</b:Title>
    <b:Year>2012</b:Year>
    <b:Publisher>M.Sc. Thesis, University of Nairobi</b:Publisher>
    <b:City>Nairobi</b:City>
    <b:RefOrder>586</b:RefOrder>
  </b:Source>
  <b:Source>
    <b:Tag>Nai12</b:Tag>
    <b:SourceType>JournalArticle</b:SourceType>
    <b:Guid>{F32832F2-8C4D-4256-B2B6-31819F91882C}</b:Guid>
    <b:Author>
      <b:Author>
        <b:NameList>
          <b:Person>
            <b:Last>Naik</b:Last>
            <b:First>S.</b:First>
          </b:Person>
          <b:Person>
            <b:Last>Reddy</b:Last>
            <b:First>V.</b:First>
          </b:Person>
        </b:NameList>
      </b:Author>
    </b:Author>
    <b:Title>Temperature dependency and current transport mechanisms of Pd/V/n-type LnP schottky rectifiers</b:Title>
    <b:Year>2012</b:Year>
    <b:JournalName>Advanced Materials Letters</b:JournalName>
    <b:Pages>188-196</b:Pages>
    <b:Volume>3</b:Volume>
    <b:Issue>3</b:Issue>
    <b:RefOrder>587</b:RefOrder>
  </b:Source>
  <b:Source>
    <b:Tag>Rho88</b:Tag>
    <b:SourceType>Book</b:SourceType>
    <b:Guid>{4F496A43-C76F-4B18-87D1-BA6DD997579C}</b:Guid>
    <b:Author>
      <b:Author>
        <b:NameList>
          <b:Person>
            <b:Last>Rhoderick</b:Last>
            <b:First>E.</b:First>
          </b:Person>
          <b:Person>
            <b:Last>Williams</b:Last>
            <b:First>R.</b:First>
          </b:Person>
        </b:NameList>
      </b:Author>
    </b:Author>
    <b:Title>Metal semiconductor contacts</b:Title>
    <b:Year>1988</b:Year>
    <b:City>Oxford</b:City>
    <b:Publisher>Clarendon Press</b:Publisher>
    <b:RefOrder>588</b:RefOrder>
  </b:Source>
  <b:Source>
    <b:Tag>Hus13</b:Tag>
    <b:SourceType>JournalArticle</b:SourceType>
    <b:Guid>{FBE5AD56-7D9C-41D0-B5BF-F336075DB087}</b:Guid>
    <b:Author>
      <b:Author>
        <b:NameList>
          <b:Person>
            <b:Last>Hussain</b:Last>
            <b:First>I.</b:First>
          </b:Person>
          <b:Person>
            <b:Last>Soomro</b:Last>
            <b:First>M.</b:First>
          </b:Person>
          <b:Person>
            <b:Last>Bano</b:Last>
            <b:First>N.</b:First>
          </b:Person>
          <b:Person>
            <b:Last>Nus</b:Last>
            <b:First>O.</b:First>
          </b:Person>
          <b:Person>
            <b:Last>Wiliander</b:Last>
            <b:First>M.</b:First>
          </b:Person>
        </b:NameList>
      </b:Author>
    </b:Author>
    <b:Title>Systematic study of interface trap and barrier inhomogeneities using I-V-T characteristics of Au/ZnO nanorods schottky diode</b:Title>
    <b:Year>2013</b:Year>
    <b:JournalName>Journal of Applied Physics</b:JournalName>
    <b:Pages>1-6</b:Pages>
    <b:Volume>113</b:Volume>
    <b:Issue>234509</b:Issue>
    <b:RefOrder>589</b:RefOrder>
  </b:Source>
  <b:Source>
    <b:Tag>King97</b:Tag>
    <b:SourceType>Report</b:SourceType>
    <b:Guid>{BEEB36A8-88A6-4964-BEF2-DA736DE18A18}</b:Guid>
    <b:Author>
      <b:Author>
        <b:NameList>
          <b:Person>
            <b:Last>King</b:Last>
            <b:First>D.</b:First>
          </b:Person>
          <b:Person>
            <b:Last>Hansen</b:Last>
            <b:First>B.</b:First>
          </b:Person>
          <b:Person>
            <b:Last>Quintana</b:Last>
            <b:First>M.</b:First>
          </b:Person>
        </b:NameList>
      </b:Author>
    </b:Author>
    <b:Title>Dark current-voltage measurements on photovoltaic modules as a diagnostic or manufacturing tool</b:Title>
    <b:Year>1997</b:Year>
    <b:City>Albuquerque</b:City>
    <b:Publisher>Sandia National Laboratories</b:Publisher>
    <b:RefOrder>590</b:RefOrder>
  </b:Source>
  <b:Source>
    <b:Tag>Ban98</b:Tag>
    <b:SourceType>JournalArticle</b:SourceType>
    <b:Guid>{9B4E233F-2BB4-4EEE-AC34-B4079917AB15}</b:Guid>
    <b:Author>
      <b:Author>
        <b:NameList>
          <b:Person>
            <b:Last>Bantikassen</b:Last>
            <b:First>W.</b:First>
          </b:Person>
        </b:NameList>
      </b:Author>
    </b:Author>
    <b:Title>Complex impedance spectroscopy of the interface between Aluminium and Emerldine base Polyaniline</b:Title>
    <b:Year>1998</b:Year>
    <b:JournalName>SINET: Ethiopian Journal of Sciences</b:JournalName>
    <b:Pages>51-66</b:Pages>
    <b:Volume>21</b:Volume>
    <b:Issue>1</b:Issue>
    <b:RefOrder>591</b:RefOrder>
  </b:Source>
  <b:Source>
    <b:Tag>Sin15</b:Tag>
    <b:SourceType>JournalArticle</b:SourceType>
    <b:Guid>{E2863B17-7F99-458B-A89B-B5A96B5D74F0}</b:Guid>
    <b:Author>
      <b:Author>
        <b:NameList>
          <b:Person>
            <b:Last>Singh</b:Last>
            <b:First>N.</b:First>
          </b:Person>
          <b:Person>
            <b:Last>Chaudhary</b:Last>
            <b:First>A.</b:First>
          </b:Person>
          <b:Person>
            <b:Last>Rastogi</b:Last>
            <b:First>N.</b:First>
          </b:Person>
        </b:NameList>
      </b:Author>
    </b:Author>
    <b:Title>Simulation of organic solar cell at different active layer thickness</b:Title>
    <b:JournalName>International Journal of Materials Science</b:JournalName>
    <b:Year>2015</b:Year>
    <b:Pages>22-26</b:Pages>
    <b:Volume>5</b:Volume>
    <b:Issue>1</b:Issue>
    <b:RefOrder>592</b:RefOrder>
  </b:Source>
  <b:Source>
    <b:Tag>Ser11</b:Tag>
    <b:SourceType>JournalArticle</b:SourceType>
    <b:Guid>{23AF5D6D-7401-4349-B54F-D1AA98266F25}</b:Guid>
    <b:Author>
      <b:Author>
        <b:NameList>
          <b:Person>
            <b:Last>Servaites</b:Last>
            <b:First>J.</b:First>
          </b:Person>
          <b:Person>
            <b:Last>Ratner</b:Last>
            <b:First>M.</b:First>
          </b:Person>
          <b:Person>
            <b:Last>Marks</b:Last>
            <b:First>T.</b:First>
          </b:Person>
        </b:NameList>
      </b:Author>
    </b:Author>
    <b:Title>Organic solar cells: a new look at traditional models</b:Title>
    <b:JournalName>Energy and Environmental Science</b:JournalName>
    <b:Year>2011</b:Year>
    <b:Pages>4410-4422</b:Pages>
    <b:Volume>4</b:Volume>
    <b:RefOrder>593</b:RefOrder>
  </b:Source>
  <b:Source>
    <b:Tag>Cha14</b:Tag>
    <b:SourceType>JournalArticle</b:SourceType>
    <b:Guid>{CE53A416-BABF-451D-8358-A2F0F94A0BEC}</b:Guid>
    <b:Author>
      <b:Author>
        <b:NameList>
          <b:Person>
            <b:Last>Chavali</b:Last>
            <b:First>R.</b:First>
          </b:Person>
          <b:Person>
            <b:Last>Wilcox</b:Last>
            <b:First>J.</b:First>
          </b:Person>
          <b:Person>
            <b:Last>Ray</b:Last>
            <b:First>B.</b:First>
          </b:Person>
          <b:Person>
            <b:Last>Gray</b:Last>
            <b:First>J.</b:First>
          </b:Person>
          <b:Person>
            <b:Last>Alam</b:Last>
            <b:First>M.</b:First>
          </b:Person>
        </b:NameList>
      </b:Author>
    </b:Author>
    <b:Title>Correlated nonideal effects of dark and light I-V characteristics in a-Si/c-Si heterojunction solar cells</b:Title>
    <b:JournalName>IEEE Journal of Photovoltaics</b:JournalName>
    <b:Year>2014</b:Year>
    <b:Pages>763-771</b:Pages>
    <b:Volume>4</b:Volume>
    <b:Issue>3</b:Issue>
    <b:RefOrder>594</b:RefOrder>
  </b:Source>
  <b:Source>
    <b:Tag>McI00</b:Tag>
    <b:SourceType>ConferenceProceedings</b:SourceType>
    <b:Guid>{B7A27096-96F1-4C58-A4AB-00F1F7103F2E}</b:Guid>
    <b:Author>
      <b:Author>
        <b:NameList>
          <b:Person>
            <b:Last>McIntosh</b:Last>
            <b:First>K.</b:First>
          </b:Person>
          <b:Person>
            <b:Last>Altermatt</b:Last>
            <b:First>P.</b:First>
          </b:Person>
          <b:Person>
            <b:Last>Heiser</b:Last>
            <b:First>G.</b:First>
          </b:Person>
        </b:NameList>
      </b:Author>
    </b:Author>
    <b:Title>Depletion region recombination in silicon solar cells: when does MDR=2?</b:Title>
    <b:Year>2000</b:Year>
    <b:Pages>251-254</b:Pages>
    <b:ConferenceName>16th EC Solar Energy Conference</b:ConferenceName>
    <b:City>Glasgow, UK</b:City>
    <b:RefOrder>595</b:RefOrder>
  </b:Source>
  <b:Source>
    <b:Tag>Qui62</b:Tag>
    <b:SourceType>JournalArticle</b:SourceType>
    <b:Guid>{416C6103-D55E-441E-99FC-461C06F23768}</b:Guid>
    <b:Author>
      <b:Author>
        <b:NameList>
          <b:Person>
            <b:Last>Quisser</b:Last>
            <b:First>H.</b:First>
          </b:Person>
        </b:NameList>
      </b:Author>
    </b:Author>
    <b:Title>Forward characteristics and efficiencies of silicon solar cells</b:Title>
    <b:Pages>1-10</b:Pages>
    <b:Year>1962</b:Year>
    <b:JournalName>Solid State Electronics</b:JournalName>
    <b:Volume>5</b:Volume>
    <b:RefOrder>596</b:RefOrder>
  </b:Source>
  <b:Source>
    <b:Tag>Kam96</b:Tag>
    <b:SourceType>ConferenceProceedings</b:SourceType>
    <b:Guid>{FAF14E4C-64B2-470A-9215-8364C6A201AA}</b:Guid>
    <b:Author>
      <b:Author>
        <b:NameList>
          <b:Person>
            <b:Last>Kaminski</b:Last>
            <b:First>A.</b:First>
          </b:Person>
          <b:Person>
            <b:Last>Marchand</b:Last>
            <b:First>J.</b:First>
          </b:Person>
          <b:Person>
            <b:Last>Omari</b:Last>
            <b:First>H.</b:First>
          </b:Person>
          <b:Person>
            <b:Last>Laugier</b:Last>
            <b:First>A.</b:First>
          </b:Person>
          <b:Person>
            <b:Last>Le</b:Last>
            <b:First>Q.</b:First>
          </b:Person>
          <b:Person>
            <b:Last>Sarti</b:Last>
            <b:First>D.</b:First>
          </b:Person>
        </b:NameList>
      </b:Author>
    </b:Author>
    <b:Title>Conduction processes in silicon solar cells</b:Title>
    <b:Year>1996</b:Year>
    <b:Pages>573-576</b:Pages>
    <b:ConferenceName>25th IEEE Photovoltaic Specialists Conference</b:ConferenceName>
    <b:City>Washington, DC</b:City>
    <b:RefOrder>597</b:RefOrder>
  </b:Source>
  <b:Source>
    <b:Tag>Bre01</b:Tag>
    <b:SourceType>ConferenceProceedings</b:SourceType>
    <b:Guid>{302F6BE2-3FFF-4111-8E2B-279BA1F917FA}</b:Guid>
    <b:Author>
      <b:Author>
        <b:NameList>
          <b:Person>
            <b:Last>Breitenstein</b:Last>
            <b:First>O.</b:First>
          </b:Person>
          <b:Person>
            <b:Last>Langenkamp</b:Last>
            <b:First>M.</b:First>
          </b:Person>
          <b:Person>
            <b:Last>Rakotoniaina</b:Last>
            <b:First>J.</b:First>
          </b:Person>
          <b:Person>
            <b:Last>Zettner</b:Last>
            <b:First>J.</b:First>
          </b:Person>
        </b:NameList>
      </b:Author>
    </b:Author>
    <b:Title>The imaging of shunts in solar cells by infrared lock-in thermography</b:Title>
    <b:Pages>1499-1502</b:Pages>
    <b:Year>2001</b:Year>
    <b:ConferenceName>17th European Photovoltaic Specialists Conference</b:ConferenceName>
    <b:City>Munich</b:City>
    <b:RefOrder>598</b:RefOrder>
  </b:Source>
  <b:Source>
    <b:Tag>Gre74</b:Tag>
    <b:SourceType>JournalArticle</b:SourceType>
    <b:Guid>{67027035-D2CC-4B9A-94AF-26C9C236E77D}</b:Guid>
    <b:Author>
      <b:Author>
        <b:NameList>
          <b:Person>
            <b:Last>Green</b:Last>
            <b:First>M.</b:First>
          </b:Person>
          <b:Person>
            <b:Last>King</b:Last>
            <b:First>F.</b:First>
          </b:Person>
          <b:Person>
            <b:Last>Schewchun</b:Last>
            <b:First>J.</b:First>
          </b:Person>
        </b:NameList>
      </b:Author>
    </b:Author>
    <b:Title>Minority carrier MIS tunnel diodes and their application to electron band photovoltaic energy conversion theory</b:Title>
    <b:Pages>551-561</b:Pages>
    <b:Year>1974</b:Year>
    <b:JournalName>Solid State Electronics</b:JournalName>
    <b:Volume>17</b:Volume>
    <b:Issue>6</b:Issue>
    <b:RefOrder>599</b:RefOrder>
  </b:Source>
  <b:Source>
    <b:Tag>Mac08</b:Tag>
    <b:SourceType>JournalArticle</b:SourceType>
    <b:Guid>{89E60617-CF28-4EE1-B72B-4ACD074E4017}</b:Guid>
    <b:Author>
      <b:Author>
        <b:NameList>
          <b:Person>
            <b:Last>Macabebe</b:Last>
            <b:First>E.</b:First>
          </b:Person>
          <b:Person>
            <b:Last>Dyk</b:Last>
            <b:First>E.</b:First>
          </b:Person>
        </b:NameList>
      </b:Author>
    </b:Author>
    <b:Title>Parameter extraction from dark current-voltage characteristics of solar cells</b:Title>
    <b:JournalName>South African Journal of Evidence</b:JournalName>
    <b:Year>2008</b:Year>
    <b:Pages>401-404</b:Pages>
    <b:Volume>104</b:Volume>
    <b:RefOrder>600</b:RefOrder>
  </b:Source>
  <b:Source>
    <b:Tag>Man15</b:Tag>
    <b:SourceType>Report</b:SourceType>
    <b:Guid>{0098299F-43ED-410C-BD04-186FDCBDCCEF}</b:Guid>
    <b:Author>
      <b:Author>
        <b:NameList>
          <b:Person>
            <b:Last>Mannan</b:Last>
            <b:First>M.</b:First>
          </b:Person>
        </b:NameList>
      </b:Author>
    </b:Author>
    <b:Title>Defect characterization of 4H-SIC by deep level transcient spectroscopy (DLTS) and influence of defects on device performance</b:Title>
    <b:Year>2015</b:Year>
    <b:Publisher>University of Carolina</b:Publisher>
    <b:City>Columbia</b:City>
    <b:RefOrder>601</b:RefOrder>
  </b:Source>
  <b:Source>
    <b:Tag>Riz86</b:Tag>
    <b:SourceType>JournalArticle</b:SourceType>
    <b:Guid>{1F070592-A915-493E-93CA-B31897EFDB06}</b:Guid>
    <b:Author>
      <b:Author>
        <b:NameList>
          <b:Person>
            <b:Last>Rizk</b:Last>
            <b:First>H.</b:First>
          </b:Person>
          <b:Person>
            <b:Last>Farag</b:Last>
            <b:First>S.</b:First>
          </b:Person>
          <b:Person>
            <b:Last>Ateia</b:Last>
            <b:First>A.</b:First>
          </b:Person>
        </b:NameList>
      </b:Author>
    </b:Author>
    <b:Title>Effect of pollutants on spectral atmospheric transmissivity in Cairo</b:Title>
    <b:Year>1986</b:Year>
    <b:JournalName>Environment International</b:JournalName>
    <b:Pages>243</b:Pages>
    <b:Volume>11</b:Volume>
    <b:RefOrder>602</b:RefOrder>
  </b:Source>
  <b:Source>
    <b:Tag>Cheg08</b:Tag>
    <b:SourceType>JournalArticle</b:SourceType>
    <b:Guid>{2F172F88-1959-45C1-B007-54D3555F6C22}</b:Guid>
    <b:Author>
      <b:Author>
        <b:NameList>
          <b:Person>
            <b:Last>Chegaar</b:Last>
            <b:First>M.</b:First>
          </b:Person>
          <b:Person>
            <b:Last>Mialhe</b:Last>
            <b:First>P.</b:First>
          </b:Person>
        </b:NameList>
      </b:Author>
    </b:Author>
    <b:Title>Effect of atmospheric parameters on the silicon solar cells performance</b:Title>
    <b:Year>2008</b:Year>
    <b:JournalName>Journal of Electronic Devices</b:JournalName>
    <b:Pages>173-176</b:Pages>
    <b:Volume>6</b:Volume>
    <b:RefOrder>603</b:RefOrder>
  </b:Source>
  <b:Source>
    <b:Tag>Bre09</b:Tag>
    <b:SourceType>JournalArticle</b:SourceType>
    <b:Guid>{36EE6E74-4435-43EA-A545-85FF0DFA6A50}</b:Guid>
    <b:Author>
      <b:Author>
        <b:NameList>
          <b:Person>
            <b:Last>Breitenstein</b:Last>
            <b:First>O.</b:First>
          </b:Person>
          <b:Person>
            <b:Last>Bauer</b:Last>
            <b:First>J.</b:First>
          </b:Person>
          <b:Person>
            <b:Last>Lotnyk</b:Last>
            <b:First>A.</b:First>
          </b:Person>
          <b:Person>
            <b:Last>Wagner</b:Last>
            <b:First>J.</b:First>
          </b:Person>
        </b:NameList>
      </b:Author>
    </b:Author>
    <b:Title>Defect induced non-ideal dark I-V characteristics of solar cells</b:Title>
    <b:Year>2009</b:Year>
    <b:JournalName>Superlattices and Microstructures</b:JournalName>
    <b:Pages>182-189</b:Pages>
    <b:Volume>45</b:Volume>
    <b:RefOrder>604</b:RefOrder>
  </b:Source>
  <b:Source>
    <b:Tag>Bun06</b:Tag>
    <b:SourceType>ConferenceProceedings</b:SourceType>
    <b:Guid>{DC3A4F1F-954B-4318-8C89-428CF073B40E}</b:Guid>
    <b:Author>
      <b:Author>
        <b:NameList>
          <b:Person>
            <b:Last>Bunea</b:Last>
            <b:First>G.</b:First>
          </b:Person>
          <b:Person>
            <b:Last>Wilson</b:Last>
            <b:First>K.</b:First>
          </b:Person>
          <b:Person>
            <b:Last>Meydbray</b:Last>
            <b:First>Y.</b:First>
          </b:Person>
          <b:Person>
            <b:Last>Campbell</b:Last>
            <b:First>M.</b:First>
          </b:Person>
          <b:Person>
            <b:Last>Ceuster</b:Last>
            <b:First>D.</b:First>
          </b:Person>
        </b:NameList>
      </b:Author>
    </b:Author>
    <b:Title>Low light performance of mono-crystalline silicon solar cells</b:Title>
    <b:Year>2006</b:Year>
    <b:City>Waikoloa, HI</b:City>
    <b:Pages>1312-1314</b:Pages>
    <b:ConferenceName>4th World Conference on Photovoltaic Energy </b:ConferenceName>
    <b:RefOrder>605</b:RefOrder>
  </b:Source>
  <b:Source>
    <b:Tag>Ros80</b:Tag>
    <b:SourceType>ConferenceProceedings</b:SourceType>
    <b:Guid>{B44550D2-3A00-4639-9C88-CEE056E6B37F}</b:Guid>
    <b:Author>
      <b:Author>
        <b:NameList>
          <b:Person>
            <b:Last>Ross</b:Last>
            <b:First>R.</b:First>
          </b:Person>
        </b:NameList>
      </b:Author>
    </b:Author>
    <b:Title>Flat-plate photovoltaic array design optimization</b:Title>
    <b:Pages>1126-1132</b:Pages>
    <b:Year>1980</b:Year>
    <b:ConferenceName>14th IEEE Photovoltaic Specialists Conference</b:ConferenceName>
    <b:City>San Diego, CA</b:City>
    <b:Publisher>IEEE</b:Publisher>
    <b:RefOrder>606</b:RefOrder>
  </b:Source>
  <b:Source>
    <b:Tag>Pis74</b:Tag>
    <b:SourceType>Book</b:SourceType>
    <b:Guid>{BCC5F9E5-B02A-4469-BFA7-B281C5BF2116}</b:Guid>
    <b:Author>
      <b:Author>
        <b:NameList>
          <b:Person>
            <b:Last>Piskunov</b:Last>
            <b:First>N.</b:First>
          </b:Person>
        </b:NameList>
      </b:Author>
    </b:Author>
    <b:Title>Differential and integral calculus</b:Title>
    <b:Year>1974</b:Year>
    <b:City>Moscow</b:City>
    <b:Publisher>Mir Publishers</b:Publisher>
    <b:Volume>Vol. 1</b:Volume>
    <b:RefOrder>607</b:RefOrder>
  </b:Source>
  <b:Source>
    <b:Tag>Fuj94</b:Tag>
    <b:SourceType>JournalArticle</b:SourceType>
    <b:Guid>{AB7BD9AB-F256-4264-9D1A-149E15646F80}</b:Guid>
    <b:Author>
      <b:Author>
        <b:NameList>
          <b:Person>
            <b:Last>Fujishike</b:Last>
            <b:First>S.</b:First>
          </b:Person>
          <b:Person>
            <b:Last>Ota</b:Last>
            <b:First>H.</b:First>
          </b:Person>
          <b:Person>
            <b:Last>Ohsawa</b:Last>
            <b:First>M.</b:First>
          </b:Person>
          <b:Person>
            <b:Last>Hama</b:Last>
            <b:First>T.</b:First>
          </b:Person>
          <b:Person>
            <b:Last>Ichikawa</b:Last>
            <b:First>Y.</b:First>
          </b:Person>
          <b:Person>
            <b:Last>Sakai</b:Last>
            <b:First>H.</b:First>
          </b:Person>
        </b:NameList>
      </b:Author>
    </b:Author>
    <b:Title>Light-induced recovery of a-Si solar cells</b:Title>
    <b:Pages>449-454</b:Pages>
    <b:Year>1994</b:Year>
    <b:JournalName>Solar Energy Materials and Solar Cells</b:JournalName>
    <b:Volume>34</b:Volume>
    <b:RefOrder>608</b:RefOrder>
  </b:Source>
  <b:Source>
    <b:Tag>Gru09</b:Tag>
    <b:SourceType>ConferenceProceedings</b:SourceType>
    <b:Guid>{BD4FB58B-64D9-40E9-B573-7EA5E506E7BE}</b:Guid>
    <b:Author>
      <b:Author>
        <b:NameList>
          <b:Person>
            <b:Last>Grunow</b:Last>
            <b:First>P.</b:First>
          </b:Person>
          <b:Person>
            <b:Last>Preiss</b:Last>
            <b:First>A.</b:First>
          </b:Person>
          <b:Person>
            <b:Last>Koch</b:Last>
            <b:First>S.</b:First>
          </b:Person>
          <b:Person>
            <b:Last>Krauter</b:Last>
            <b:First>S.</b:First>
          </b:Person>
        </b:NameList>
      </b:Author>
    </b:Author>
    <b:Title>Yield and spectral effects of a-Si modules</b:Title>
    <b:Year>2009</b:Year>
    <b:ConferenceName>24th European Photovoltaic Solar Energy Conference, 21-25 September 2009</b:ConferenceName>
    <b:City>Hamburg, Germany</b:City>
    <b:RefOrder>609</b:RefOrder>
  </b:Source>
  <b:Source>
    <b:Tag>Qas13</b:Tag>
    <b:SourceType>Report</b:SourceType>
    <b:Guid>{9F17832D-34B8-4CF5-8869-88B2D42704E7}</b:Guid>
    <b:Author>
      <b:Author>
        <b:NameList>
          <b:Person>
            <b:Last>Qasem</b:Last>
            <b:First>H.</b:First>
          </b:Person>
        </b:NameList>
      </b:Author>
    </b:Author>
    <b:Title>Effect of accumulated dust on the performance of photovoltaic modules</b:Title>
    <b:Year>2013</b:Year>
    <b:City>Leicestershire, UK</b:City>
    <b:Publisher>Loughborough University</b:Publisher>
    <b:RefOrder>610</b:RefOrder>
  </b:Source>
  <b:Source>
    <b:Tag>Chaa08</b:Tag>
    <b:SourceType>JournalArticle</b:SourceType>
    <b:Guid>{C4D09D94-1B6F-43C9-87E3-593BAAE5EAE2}</b:Guid>
    <b:Author>
      <b:Author>
        <b:NameList>
          <b:Person>
            <b:Last>Chagaar</b:Last>
            <b:First>M.</b:First>
          </b:Person>
          <b:Person>
            <b:Last>Miahle</b:Last>
            <b:First>P.</b:First>
          </b:Person>
        </b:NameList>
      </b:Author>
    </b:Author>
    <b:Title>Effects of atmospheric parameters on the silicon solar cells performance</b:Title>
    <b:Year>2008</b:Year>
    <b:JournalName>Journal of Electron Devices</b:JournalName>
    <b:Pages>173-176</b:Pages>
    <b:Volume>6</b:Volume>
    <b:RefOrder>611</b:RefOrder>
  </b:Source>
  <b:Source>
    <b:Tag>Bät01</b:Tag>
    <b:SourceType>ConferenceProceedings</b:SourceType>
    <b:Guid>{118486E8-F06D-471F-B814-6BFB2DEEBC2C}</b:Guid>
    <b:Author>
      <b:Author>
        <b:NameList>
          <b:Person>
            <b:Last>Bätzner</b:Last>
            <b:First>D.</b:First>
          </b:Person>
          <b:Person>
            <b:Last>Romeo</b:Last>
            <b:First>A.</b:First>
          </b:Person>
          <b:Person>
            <b:Last>Zogg</b:Last>
            <b:First>H.</b:First>
          </b:Person>
          <b:Person>
            <b:Last>Tiwari</b:Last>
            <b:First>A.</b:First>
          </b:Person>
        </b:NameList>
      </b:Author>
    </b:Author>
    <b:Title>CdTe/CdS solar cell performance under low irradiance</b:Title>
    <b:Pages>1-4</b:Pages>
    <b:Year>2001</b:Year>
    <b:ConferenceName>17th European Commission Photovoltaic Solar Energy Conference</b:ConferenceName>
    <b:City>Minich</b:City>
    <b:RefOrder>612</b:RefOrder>
  </b:Source>
  <b:Source>
    <b:Tag>AlB10</b:Tag>
    <b:SourceType>ConferenceProceedings</b:SourceType>
    <b:Guid>{AACA2453-5D8A-4B7D-9B28-D9A5DCFAC2DB}</b:Guid>
    <b:Author>
      <b:Author>
        <b:NameList>
          <b:Person>
            <b:Last>AlBusari</b:Last>
            <b:First>H.</b:First>
          </b:Person>
          <b:Person>
            <b:Last>Möller</b:Last>
            <b:First>H.</b:First>
          </b:Person>
        </b:NameList>
      </b:Author>
    </b:Author>
    <b:Title>Performance evaluation of CdTe PV modules under natural outdoor conditions in Kuwait</b:Title>
    <b:Pages>3468-3470</b:Pages>
    <b:Year>2010</b:Year>
    <b:ConferenceName>25th European Photovoltaic Solar Energy Conference and Exhibition</b:ConferenceName>
    <b:City>Valencia, Spain</b:City>
    <b:RefOrder>613</b:RefOrder>
  </b:Source>
  <b:Source>
    <b:Tag>Nof13</b:Tag>
    <b:SourceType>JournalArticle</b:SourceType>
    <b:Guid>{728555A4-5900-47A1-99EC-D373C27817E9}</b:Guid>
    <b:Title>Solar spectral and module temperature influence on the outdoor performance of thin film PV modules deployed on a sunny island site</b:Title>
    <b:Year>2013</b:Year>
    <b:Author>
      <b:Author>
        <b:NameList>
          <b:Person>
            <b:Last>Nofuentes</b:Last>
            <b:First>G.</b:First>
          </b:Person>
          <b:Person>
            <b:Last>Casa</b:Last>
            <b:First>J.</b:First>
          </b:Person>
          <b:Person>
            <b:Last>Torres-Ramirez</b:Last>
            <b:First>M.</b:First>
          </b:Person>
          <b:Person>
            <b:Last>Abilla</b:Last>
            <b:First>M.</b:First>
          </b:Person>
        </b:NameList>
      </b:Author>
    </b:Author>
    <b:JournalName>International Journal of Photoenergy</b:JournalName>
    <b:Pages>http://dx.doi.org/10.1155/2013/620127</b:Pages>
    <b:RefOrder>614</b:RefOrder>
  </b:Source>
  <b:Source>
    <b:Tag>Gre11</b:Tag>
    <b:SourceType>JournalArticle</b:SourceType>
    <b:Guid>{D8F898F7-802B-4A47-A6F1-34AC8FC601C1}</b:Guid>
    <b:Title>Solae cell efficiency tables (version 37)</b:Title>
    <b:Year>2011</b:Year>
    <b:Author>
      <b:Author>
        <b:NameList>
          <b:Person>
            <b:Last>Green</b:Last>
            <b:First>M.</b:First>
          </b:Person>
          <b:Person>
            <b:Last>Emery</b:Last>
            <b:First>K.</b:First>
          </b:Person>
          <b:Person>
            <b:Last>Hishikawa</b:Last>
            <b:First>Y.</b:First>
          </b:Person>
          <b:Person>
            <b:Last>Warta</b:Last>
            <b:First>W.</b:First>
          </b:Person>
        </b:NameList>
      </b:Author>
    </b:Author>
    <b:JournalName>Progress in Phorovoltaics: Research and Applications</b:JournalName>
    <b:Pages>84-92</b:Pages>
    <b:Volume>19</b:Volume>
    <b:RefOrder>615</b:RefOrder>
  </b:Source>
  <b:Source>
    <b:Tag>McM04</b:Tag>
    <b:SourceType>JournalArticle</b:SourceType>
    <b:Guid>{87201101-B406-432E-AD36-90213DE2116A}</b:Guid>
    <b:Title>Accelerated testing and failure of thin-film PV modules</b:Title>
    <b:Year>2004</b:Year>
    <b:Author>
      <b:Author>
        <b:NameList>
          <b:Person>
            <b:Last>McMahon</b:Last>
            <b:First>T.</b:First>
          </b:Person>
        </b:NameList>
      </b:Author>
    </b:Author>
    <b:JournalName>Progress in Photovoltaics: Research and Applications</b:JournalName>
    <b:Pages>235-248</b:Pages>
    <b:Volume>12</b:Volume>
    <b:Issue>13</b:Issue>
    <b:RefOrder>616</b:RefOrder>
  </b:Source>
  <b:Source>
    <b:Tag>Pry15</b:Tag>
    <b:SourceType>JournalArticle</b:SourceType>
    <b:Guid>{FAA58E61-2C73-4E1A-B26C-B493BFB81798}</b:Guid>
    <b:Author>
      <b:Author>
        <b:NameList>
          <b:Person>
            <b:Last>Prykhodko</b:Last>
            <b:First>A.</b:First>
          </b:Person>
        </b:NameList>
      </b:Author>
    </b:Author>
    <b:Title>Fill factor losses in mc-Si solar cells</b:Title>
    <b:JournalName>Journal of Nano-and Electronic Physics</b:JournalName>
    <b:Year>2015</b:Year>
    <b:Pages>03007-1 - 03007-4</b:Pages>
    <b:Volume>7</b:Volume>
    <b:Issue>3</b:Issue>
    <b:RefOrder>617</b:RefOrder>
  </b:Source>
  <b:Source>
    <b:Tag>Gatz11</b:Tag>
    <b:SourceType>JournalArticle</b:SourceType>
    <b:Guid>{149FF5A3-4C1F-4DFF-A948-5867171573C4}</b:Guid>
    <b:Author>
      <b:Author>
        <b:NameList>
          <b:Person>
            <b:Last>Gatz</b:Last>
            <b:First>S.</b:First>
          </b:Person>
          <b:Person>
            <b:Last>Dullweber</b:Last>
            <b:First>T.</b:First>
          </b:Person>
          <b:Person>
            <b:Last>Brendel</b:Last>
            <b:First>R.</b:First>
          </b:Person>
        </b:NameList>
      </b:Author>
    </b:Author>
    <b:Title>Evaluation of series resistance losses in screen-printed solar cells with local rear contacts</b:Title>
    <b:JournalName>IEEE Journal of Photovoltaics</b:JournalName>
    <b:Year>2011</b:Year>
    <b:Pages>37-42</b:Pages>
    <b:Volume>1</b:Volume>
    <b:Issue>1</b:Issue>
    <b:RefOrder>618</b:RefOrder>
  </b:Source>
  <b:Source>
    <b:Tag>Moh08</b:Tag>
    <b:SourceType>ConferenceProceedings</b:SourceType>
    <b:Guid>{BAC5D5F8-1F11-4C12-919D-6801B0659A19}</b:Guid>
    <b:Title>Annual energy harvest of PV systems - advantages and drawbacks of different PV technologies</b:Title>
    <b:Year>2008</b:Year>
    <b:City>Valencia, Spain</b:City>
    <b:Pages>2781-2785</b:Pages>
    <b:Author>
      <b:Author>
        <b:NameList>
          <b:Person>
            <b:Last>Mohring</b:Last>
            <b:First>H.</b:First>
          </b:Person>
          <b:Person>
            <b:Last>Stellbogen</b:Last>
            <b:First>D.</b:First>
          </b:Person>
        </b:NameList>
      </b:Author>
    </b:Author>
    <b:ConferenceName>23rd European Photovoltaic Solar Energy Conference</b:ConferenceName>
    <b:RefOrder>619</b:RefOrder>
  </b:Source>
  <b:Source>
    <b:Tag>Zan93</b:Tag>
    <b:SourceType>JournalArticle</b:SourceType>
    <b:Guid>{07221828-A914-40B6-8FA8-ADAB4A58FA8D}</b:Guid>
    <b:Title>The effects of atmospheric parameters on the ground solar irradiance and on the current from a silicon solar cell</b:Title>
    <b:Pages>169-179</b:Pages>
    <b:Year>1993</b:Year>
    <b:Author>
      <b:Author>
        <b:NameList>
          <b:Person>
            <b:Last>Zanesco</b:Last>
            <b:First>I.</b:First>
          </b:Person>
          <b:Person>
            <b:Last>Krenzinger</b:Last>
            <b:First>A.</b:First>
          </b:Person>
        </b:NameList>
      </b:Author>
    </b:Author>
    <b:JournalName>Progress in Photovoltaics</b:JournalName>
    <b:Volume>1</b:Volume>
    <b:RefOrder>620</b:RefOrder>
  </b:Source>
  <b:Source>
    <b:Tag>Sit96</b:Tag>
    <b:SourceType>JournalArticle</b:SourceType>
    <b:Guid>{E3EB20D6-F208-423F-9CE9-9A66FC615224}</b:Guid>
    <b:Author>
      <b:Author>
        <b:NameList>
          <b:Person>
            <b:Last>Siton</b:Last>
            <b:First>R.</b:First>
          </b:Person>
          <b:Person>
            <b:Last>Cuevas</b:Last>
            <b:First>A.</b:First>
          </b:Person>
        </b:NameList>
      </b:Author>
    </b:Author>
    <b:Title>Contactless determination of current-voltage characteristics and minority-carrier lifetimes in semi-conductors from quasi-steady-state photoconductance data</b:Title>
    <b:Pages>2510-2512</b:Pages>
    <b:Year>1996</b:Year>
    <b:JournalName>Applied Physics Letters</b:JournalName>
    <b:Volume>69</b:Volume>
    <b:RefOrder>621</b:RefOrder>
  </b:Source>
  <b:Source>
    <b:Tag>Sch15</b:Tag>
    <b:SourceType>JournalArticle</b:SourceType>
    <b:Guid>{FADE960C-2F5E-4963-942D-7BC920180FA6}</b:Guid>
    <b:Author>
      <b:Author>
        <b:NameList>
          <b:Person>
            <b:Last>Schelly</b:Last>
            <b:First>C.</b:First>
          </b:Person>
        </b:NameList>
      </b:Author>
    </b:Author>
    <b:Title>Frameworks for understanding and promoting solar energy technology development</b:Title>
    <b:Year>2015</b:Year>
    <b:JournalName>Resources</b:JournalName>
    <b:Pages>55-69</b:Pages>
    <b:Volume>4</b:Volume>
    <b:RefOrder>622</b:RefOrder>
  </b:Source>
  <b:Source>
    <b:Tag>Dal77</b:Tag>
    <b:SourceType>Book</b:SourceType>
    <b:Guid>{47D45001-4991-4ADA-81F6-43E02FD5C795}</b:Guid>
    <b:Author>
      <b:Author>
        <b:NameList>
          <b:Person>
            <b:Last>Daly</b:Last>
            <b:First>H.</b:First>
          </b:Person>
        </b:NameList>
      </b:Author>
    </b:Author>
    <b:Title>Steady-state economics: The economics of biophysical equilibrium and moral growth</b:Title>
    <b:Year>1977</b:Year>
    <b:City>San Francisco, CA, USA</b:City>
    <b:Publisher>W. H. Freeman and Company</b:Publisher>
    <b:RefOrder>623</b:RefOrder>
  </b:Source>
  <b:Source>
    <b:Tag>Wet11</b:Tag>
    <b:SourceType>JournalArticle</b:SourceType>
    <b:Guid>{2AD44E58-FC86-44E1-AD8A-EFC388705E1E}</b:Guid>
    <b:Author>
      <b:Author>
        <b:NameList>
          <b:Person>
            <b:Last>Wetzelaer</b:Last>
            <b:First>G.</b:First>
          </b:Person>
          <b:Person>
            <b:Last>Kulik</b:Last>
            <b:First>M.</b:First>
          </b:Person>
          <b:Person>
            <b:Last>Lenes</b:Last>
            <b:First>M.</b:First>
          </b:Person>
          <b:Person>
            <b:Last>Blom</b:Last>
            <b:First>P.</b:First>
          </b:Person>
        </b:NameList>
      </b:Author>
    </b:Author>
    <b:Title>Origin of the dark-current ideality factor in polymer: fullerene bulk heterojunction solar cells</b:Title>
    <b:Year>2011</b:Year>
    <b:JournalName>Applied Physics Letters</b:JournalName>
    <b:Pages>1-3</b:Pages>
    <b:Volume>99</b:Volume>
    <b:Issue>153506</b:Issue>
    <b:RefOrder>624</b:RefOrder>
  </b:Source>
  <b:Source>
    <b:Tag>Ros02</b:Tag>
    <b:SourceType>Report</b:SourceType>
    <b:Guid>{FD746FDD-31C8-4349-A433-3EF7DE38BB8E}</b:Guid>
    <b:Author>
      <b:Author>
        <b:NameList>
          <b:Person>
            <b:Last>Roschier</b:Last>
            <b:First>R.</b:First>
          </b:Person>
        </b:NameList>
      </b:Author>
    </b:Author>
    <b:Title>Development of procedures for performance measurements and lifetime testing of thin-film photovoltaic devices</b:Title>
    <b:Year>2002</b:Year>
    <b:Publisher>Helsinki University of Technology</b:Publisher>
    <b:City>Espoo, Finland</b:City>
    <b:RefOrder>625</b:RefOrder>
  </b:Source>
  <b:Source>
    <b:Tag>Wan06</b:Tag>
    <b:SourceType>JournalArticle</b:SourceType>
    <b:Guid>{D9643B66-11DE-4619-9B1D-B04984B1A635}</b:Guid>
    <b:Author>
      <b:Author>
        <b:NameList>
          <b:Person>
            <b:Last>Wang</b:Last>
            <b:First>Q.</b:First>
          </b:Person>
          <b:Person>
            <b:Last>Ito</b:Last>
            <b:First>S.</b:First>
          </b:Person>
          <b:Person>
            <b:Last>Gratzel</b:Last>
            <b:First>M.</b:First>
          </b:Person>
          <b:Person>
            <b:Last>Fabregat-Santiano</b:Last>
            <b:First>F.</b:First>
          </b:Person>
          <b:Person>
            <b:Last>Mora-Sero</b:Last>
            <b:First>L.</b:First>
          </b:Person>
          <b:Person>
            <b:Last>Bisquert</b:Last>
            <b:First>J.</b:First>
          </b:Person>
          <b:Person>
            <b:Last>Bessho</b:Last>
            <b:First>T.</b:First>
          </b:Person>
          <b:Person>
            <b:Last>Imai</b:Last>
            <b:First>H.</b:First>
          </b:Person>
        </b:NameList>
      </b:Author>
    </b:Author>
    <b:Title>Characteristics of high efficiency dye-sensitized solar cells</b:Title>
    <b:Year>2006</b:Year>
    <b:JournalName>Journal of Physical Chemistry</b:JournalName>
    <b:Pages>19406-19411</b:Pages>
    <b:Volume>110</b:Volume>
    <b:RefOrder>626</b:RefOrder>
  </b:Source>
  <b:Source>
    <b:Tag>MGr09</b:Tag>
    <b:SourceType>JournalArticle</b:SourceType>
    <b:Guid>{C70D837B-4E43-4CBA-8AA0-7AEA3CCE68D2}</b:Guid>
    <b:Author>
      <b:Author>
        <b:NameList>
          <b:Person>
            <b:Last>Gratzel</b:Last>
            <b:First>M.</b:First>
          </b:Person>
        </b:NameList>
      </b:Author>
    </b:Author>
    <b:Title>Recent advances in sensitized mesoscopic solar cells</b:Title>
    <b:JournalName>Accounts of Chemical Research</b:JournalName>
    <b:Year>2009</b:Year>
    <b:Pages>1788-1798</b:Pages>
    <b:Volume>42</b:Volume>
    <b:RefOrder>627</b:RefOrder>
  </b:Source>
  <b:Source>
    <b:Tag>Chi06</b:Tag>
    <b:SourceType>JournalArticle</b:SourceType>
    <b:Guid>{364807BA-AD27-4457-A43E-814A48B76304}</b:Guid>
    <b:Author>
      <b:Author>
        <b:NameList>
          <b:Person>
            <b:Last>Chiba</b:Last>
            <b:First>Y.</b:First>
          </b:Person>
          <b:Person>
            <b:Last>Islam</b:Last>
            <b:First>A.</b:First>
          </b:Person>
          <b:Person>
            <b:Last>Watanabe</b:Last>
            <b:First>Y.</b:First>
          </b:Person>
          <b:Person>
            <b:Last>Komiya</b:Last>
            <b:First>R.</b:First>
          </b:Person>
          <b:Person>
            <b:Last>Koide</b:Last>
            <b:First>N.</b:First>
          </b:Person>
          <b:Person>
            <b:Last>Han</b:Last>
            <b:First>L.</b:First>
          </b:Person>
        </b:NameList>
      </b:Author>
    </b:Author>
    <b:Title>Dye-sensitized solar cells with conversion efficiency of 11.1</b:Title>
    <b:JournalName>Japanese Journal of Applied Physics</b:JournalName>
    <b:Year>2006</b:Year>
    <b:Pages>L638-L640</b:Pages>
    <b:Volume>45</b:Volume>
    <b:RefOrder>628</b:RefOrder>
  </b:Source>
  <b:Source>
    <b:Tag>Ber07</b:Tag>
    <b:SourceType>JournalArticle</b:SourceType>
    <b:Guid>{DDE46B98-6CE6-4C07-93FE-BF868796CF5D}</b:Guid>
    <b:Author>
      <b:Author>
        <b:NameList>
          <b:Person>
            <b:Last>Bergine</b:Last>
            <b:First>M.</b:First>
          </b:Person>
          <b:Person>
            <b:Last>Krasovek</b:Last>
            <b:First>U.</b:First>
          </b:Person>
          <b:Person>
            <b:Last>Jankovec</b:Last>
            <b:First>M.</b:First>
          </b:Person>
          <b:Person>
            <b:Last>Topic</b:Last>
            <b:First>M.</b:First>
          </b:Person>
        </b:NameList>
      </b:Author>
    </b:Author>
    <b:Title>The effect of temperature on the performance of dye-sensitized solar cells based on propyl methyl  amidazolium iodide electrolyte</b:Title>
    <b:JournalName>Solar Energy Materials and Solar Cells</b:JournalName>
    <b:Year>2007</b:Year>
    <b:Pages>821-828</b:Pages>
    <b:Volume>91</b:Volume>
    <b:RefOrder>629</b:RefOrder>
  </b:Source>
  <b:Source>
    <b:Tag>Ito04</b:Tag>
    <b:SourceType>JournalArticle</b:SourceType>
    <b:Guid>{FBE3363A-E7BF-4FB1-847C-7019D279A7D4}</b:Guid>
    <b:Author>
      <b:Author>
        <b:NameList>
          <b:Person>
            <b:Last>Ito</b:Last>
            <b:First>S.</b:First>
          </b:Person>
          <b:Person>
            <b:Last>Matsui</b:Last>
            <b:First>H.</b:First>
          </b:Person>
          <b:Person>
            <b:Last>Okada</b:Last>
            <b:First>K.</b:First>
          </b:Person>
          <b:Person>
            <b:Last>Kusano</b:Last>
            <b:First>S.</b:First>
          </b:Person>
          <b:Person>
            <b:Last>Kitamura</b:Last>
            <b:First>T.</b:First>
          </b:Person>
          <b:Person>
            <b:Last>Wada</b:Last>
            <b:First>Y.</b:First>
          </b:Person>
          <b:Person>
            <b:Last>Yanagida</b:Last>
            <b:First>S.</b:First>
          </b:Person>
        </b:NameList>
      </b:Author>
    </b:Author>
    <b:Title>Calibration of solar simulator for evaluation of dye-sensitized solar cells</b:Title>
    <b:JournalName>Solar Energy &amp; Solar Energy Materials</b:JournalName>
    <b:Year>2004</b:Year>
    <b:Pages>421-429</b:Pages>
    <b:Volume>82</b:Volume>
    <b:RefOrder>630</b:RefOrder>
  </b:Source>
  <b:Source>
    <b:Tag>Law05</b:Tag>
    <b:SourceType>JournalArticle</b:SourceType>
    <b:Guid>{72808792-38B6-4459-B46F-352D8EF4FDA4}</b:Guid>
    <b:Author>
      <b:Author>
        <b:NameList>
          <b:Person>
            <b:Last>Law</b:Last>
            <b:First>M.</b:First>
          </b:Person>
          <b:Person>
            <b:Last>Lori</b:Last>
            <b:First>E.</b:First>
          </b:Person>
          <b:Person>
            <b:Last>Johnson</b:Last>
            <b:First>C.</b:First>
          </b:Person>
          <b:Person>
            <b:Last>Saykally</b:Last>
            <b:First>R.</b:First>
          </b:Person>
          <b:Person>
            <b:Last>Yang</b:Last>
            <b:First>P.</b:First>
          </b:Person>
        </b:NameList>
      </b:Author>
    </b:Author>
    <b:Title>Nanowire dye-sensitized solar cells</b:Title>
    <b:JournalName>Nature Materials</b:JournalName>
    <b:Year>2005</b:Year>
    <b:Pages>455-459</b:Pages>
    <b:Volume>4</b:Volume>
    <b:RefOrder>631</b:RefOrder>
  </b:Source>
  <b:Source>
    <b:Tag>Zhu14</b:Tag>
    <b:SourceType>JournalArticle</b:SourceType>
    <b:Guid>{DFFA8284-8AC8-481D-89EA-B2470E6D6102}</b:Guid>
    <b:Author>
      <b:Author>
        <b:NameList>
          <b:Person>
            <b:Last>Zhu</b:Last>
            <b:First>L.</b:First>
          </b:Person>
          <b:Person>
            <b:Last>Raman</b:Last>
            <b:First>A.</b:First>
          </b:Person>
          <b:Person>
            <b:Last>Wang</b:Last>
            <b:First>K.</b:First>
          </b:Person>
          <b:Person>
            <b:Last>Anoma</b:Last>
            <b:First>M.</b:First>
          </b:Person>
          <b:Person>
            <b:Last>Fan</b:Last>
            <b:First>S.</b:First>
          </b:Person>
        </b:NameList>
      </b:Author>
    </b:Author>
    <b:Title>Radiative cooling of solar cells</b:Title>
    <b:JournalName>Optica</b:JournalName>
    <b:Year>2014</b:Year>
    <b:Pages>32-38</b:Pages>
    <b:Volume>1</b:Volume>
    <b:Issue>1</b:Issue>
    <b:RefOrder>632</b:RefOrder>
  </b:Source>
  <b:Source>
    <b:Tag>UN1992</b:Tag>
    <b:SourceType>Report</b:SourceType>
    <b:Guid>{CD4E8B49-357C-44E4-B72C-59A4E2DA656A}</b:Guid>
    <b:Author>
      <b:Author>
        <b:Corporate>UN</b:Corporate>
      </b:Author>
    </b:Author>
    <b:Title>Report of the United Nations conference on environment and development</b:Title>
    <b:Year>1992</b:Year>
    <b:Publisher>United Nations Department of Economic and Social Affairs (DESA)</b:Publisher>
    <b:City>Geneva</b:City>
    <b:RefOrder>633</b:RefOrder>
  </b:Source>
  <b:Source>
    <b:Tag>Nus04</b:Tag>
    <b:SourceType>Report</b:SourceType>
    <b:Guid>{7C117F86-F8DD-4257-98D8-11F01D9EABC5}</b:Guid>
    <b:Author>
      <b:Author>
        <b:NameList>
          <b:Person>
            <b:Last>Nussbaumer</b:Last>
            <b:First>H.</b:First>
          </b:Person>
        </b:NameList>
      </b:Author>
    </b:Author>
    <b:Title>Alternative redox systems for dye-sensitized solar cell, PhD thesis</b:Title>
    <b:Year>2004</b:Year>
    <b:Publisher>École Polytechnique Fédérale De Lausanne (EPFL)</b:Publisher>
    <b:City>Switzerland</b:City>
    <b:RefOrder>634</b:RefOrder>
  </b:Source>
  <b:Source>
    <b:Tag>Bar80</b:Tag>
    <b:SourceType>Book</b:SourceType>
    <b:Guid>{8EA3A803-E6F7-4271-9031-C512FB2B5722}</b:Guid>
    <b:Author>
      <b:Author>
        <b:NameList>
          <b:Person>
            <b:Last>Bard</b:Last>
            <b:First>A.</b:First>
          </b:Person>
          <b:Person>
            <b:Last>Faulkner</b:Last>
            <b:First>L.</b:First>
          </b:Person>
        </b:NameList>
      </b:Author>
    </b:Author>
    <b:Title>Electrochemical methods</b:Title>
    <b:Year>1980</b:Year>
    <b:Publisher>John Wiley and Sons</b:Publisher>
    <b:City>New York</b:City>
    <b:RefOrder>635</b:RefOrder>
  </b:Source>
  <b:Source>
    <b:Tag>Sas06</b:Tag>
    <b:SourceType>JournalArticle</b:SourceType>
    <b:Guid>{DED1AE6F-F736-452E-8CAF-D64B82619B98}</b:Guid>
    <b:Author>
      <b:Author>
        <b:NameList>
          <b:Person>
            <b:Last>Sastrawan</b:Last>
            <b:First>R.</b:First>
          </b:Person>
          <b:Person>
            <b:Last>Renz</b:Last>
            <b:First>J.</b:First>
          </b:Person>
          <b:Person>
            <b:Last>Prahl</b:Last>
            <b:First>C.</b:First>
          </b:Person>
          <b:Person>
            <b:Last>Beier</b:Last>
            <b:First>J.</b:First>
          </b:Person>
          <b:Person>
            <b:Last>Hinsch</b:Last>
            <b:First>A.</b:First>
          </b:Person>
          <b:Person>
            <b:Last>Kern</b:Last>
            <b:First>R.</b:First>
          </b:Person>
        </b:NameList>
      </b:Author>
    </b:Author>
    <b:Title>Interconnecting dye-sensitized solar cells in modules - I-V characteristics under reverse bias</b:Title>
    <b:Year>2006</b:Year>
    <b:JournalName>Journal of Photochemistry and Photobiology A: Chemistry</b:JournalName>
    <b:Pages>33-40</b:Pages>
    <b:Volume>178</b:Volume>
    <b:RefOrder>636</b:RefOrder>
  </b:Source>
  <b:Source>
    <b:Tag>Hin06</b:Tag>
    <b:SourceType>ConferenceProceedings</b:SourceType>
    <b:Guid>{EF2065FB-CE8A-4705-9C48-B129D577B4F1}</b:Guid>
    <b:Author>
      <b:Author>
        <b:NameList>
          <b:Person>
            <b:Last>Hinsch</b:Last>
            <b:First>A.</b:First>
          </b:Person>
          <b:Person>
            <b:Last>Belledin</b:Last>
            <b:First>U.</b:First>
          </b:Person>
          <b:Person>
            <b:Last>Brandt</b:Last>
            <b:First>H.</b:First>
          </b:Person>
          <b:Person>
            <b:Last>Einsele</b:Last>
            <b:First>F.</b:First>
          </b:Person>
          <b:Person>
            <b:Last>Hemming</b:Last>
            <b:First>S.</b:First>
          </b:Person>
          <b:Person>
            <b:Last>Koch</b:Last>
            <b:First>D.</b:First>
          </b:Person>
          <b:Person>
            <b:Last>Ran</b:Last>
            <b:First>U.</b:First>
          </b:Person>
          <b:Person>
            <b:Last>Sastrawan</b:Last>
            <b:First>R.</b:First>
          </b:Person>
          <b:Person>
            <b:Last>Schauer</b:Last>
            <b:First>T.</b:First>
          </b:Person>
        </b:NameList>
      </b:Author>
    </b:Author>
    <b:Title>Glass frit sealed dye solar modules with adaptable screen printed design</b:Title>
    <b:Year>2006</b:Year>
    <b:ConferenceName>Paper presented at the 4th World Conference on Photovoltaic Energy Conversion</b:ConferenceName>
    <b:City>Hawaii</b:City>
    <b:RefOrder>637</b:RefOrder>
  </b:Source>
  <b:Source>
    <b:Tag>Rou09</b:Tag>
    <b:SourceType>Report</b:SourceType>
    <b:Guid>{DEE95DB1-E626-4183-880C-9F698339FA04}</b:Guid>
    <b:Author>
      <b:Author>
        <b:NameList>
          <b:Person>
            <b:Last>Roux</b:Last>
            <b:First>L.</b:First>
          </b:Person>
        </b:NameList>
      </b:Author>
    </b:Author>
    <b:Title>The effects of reverse bias on the efficiency of dye solar cells</b:Title>
    <b:Year>2009</b:Year>
    <b:City>Western Cape</b:City>
    <b:Publisher>Department of Physics, University of Western Cape</b:Publisher>
    <b:RefOrder>638</b:RefOrder>
  </b:Source>
  <b:Source>
    <b:Tag>Ker01</b:Tag>
    <b:SourceType>ConferenceProceedings</b:SourceType>
    <b:Guid>{9AA7E2C6-22B2-419D-9129-52F93D7DF1F9}</b:Guid>
    <b:Author>
      <b:Author>
        <b:NameList>
          <b:Person>
            <b:Last>Kern</b:Last>
            <b:First>R.</b:First>
          </b:Person>
          <b:Person>
            <b:Last>Feber</b:Last>
            <b:First>J.</b:First>
          </b:Person>
          <b:Person>
            <b:Last>Hinsch</b:Last>
            <b:First>A.</b:First>
          </b:Person>
          <b:Person>
            <b:Last>Kroon</b:Last>
            <b:First>J.</b:First>
          </b:Person>
          <b:Person>
            <b:Last>Luther</b:Last>
            <b:First>J.</b:First>
          </b:Person>
          <b:Person>
            <b:Last>Meyer</b:Last>
            <b:First>A.</b:First>
          </b:Person>
          <b:Person>
            <b:Last>Sastrawan</b:Last>
            <b:First>R.</b:First>
          </b:Person>
          <b:Person>
            <b:Last>Uhlendorf</b:Last>
            <b:First>I.</b:First>
          </b:Person>
        </b:NameList>
      </b:Author>
    </b:Author>
    <b:Title>Investigation of the long-term stability of dye-sensitized solar cells by optical and electrochemical impedance spectroscopy</b:Title>
    <b:Year>2001</b:Year>
    <b:ConferenceName>The 13th Workshop on Quantum Solar Energy Conversion (QUANTSOL)</b:ConferenceName>
    <b:RefOrder>639</b:RefOrder>
  </b:Source>
  <b:Source>
    <b:Tag>Sas061</b:Tag>
    <b:SourceType>JournalArticle</b:SourceType>
    <b:Guid>{1DE1F00F-9265-4D62-850D-E031174ADDC9}</b:Guid>
    <b:Author>
      <b:Author>
        <b:NameList>
          <b:Person>
            <b:Last>Sastrawan</b:Last>
            <b:First>R.</b:First>
          </b:Person>
          <b:Person>
            <b:Last>Renz</b:Last>
            <b:First>J.</b:First>
          </b:Person>
          <b:Person>
            <b:Last>Prahl</b:Last>
            <b:First>C.</b:First>
          </b:Person>
          <b:Person>
            <b:Last>Beier</b:Last>
            <b:First>J.</b:First>
          </b:Person>
          <b:Person>
            <b:Last>Hinsch</b:Last>
            <b:First>A.</b:First>
          </b:Person>
          <b:Person>
            <b:Last>Kern</b:Last>
            <b:First>R.</b:First>
          </b:Person>
        </b:NameList>
      </b:Author>
    </b:Author>
    <b:Title>Interconnecting dye sensitized in modules - I-V characteristics under reverse bias</b:Title>
    <b:Pages>33-40</b:Pages>
    <b:Year>2006</b:Year>
    <b:JournalName>Journal of Photochemistry and Photobiology A: Chemistry</b:JournalName>
    <b:Volume>178</b:Volume>
    <b:RefOrder>640</b:RefOrder>
  </b:Source>
  <b:Source>
    <b:Tag>Men07</b:Tag>
    <b:SourceType>JournalArticle</b:SourceType>
    <b:Guid>{E95F6B42-FE5E-42E8-B9CE-80D95CA63844}</b:Guid>
    <b:Author>
      <b:Author>
        <b:NameList>
          <b:Person>
            <b:Last>Menzies</b:Last>
            <b:First>D.</b:First>
          </b:Person>
          <b:Person>
            <b:Last>Dai</b:Last>
            <b:First>Q.</b:First>
          </b:Person>
          <b:Person>
            <b:Last>Bourgeois</b:Last>
            <b:First>L.</b:First>
          </b:Person>
          <b:Person>
            <b:Last>Caruso</b:Last>
            <b:First>R.</b:First>
          </b:Person>
          <b:Person>
            <b:Last>Cheng</b:Last>
            <b:First>Y.</b:First>
          </b:Person>
          <b:Person>
            <b:Last>Simon</b:Last>
            <b:First>G.</b:First>
          </b:Person>
          <b:Person>
            <b:Last>Spiccia</b:Last>
            <b:First>L.</b:First>
          </b:Person>
        </b:NameList>
      </b:Author>
    </b:Author>
    <b:Title>Modification of mesoporous TiO2 electrodes by surface treatment with titanium (IV), Indium (III) and zirconium (IV) oxide precursors: preparation, characterization and photovoltaic performance in dye sensitized nanocrystalline solar cells</b:Title>
    <b:JournalName>Nanotechnology</b:JournalName>
    <b:Year>2007</b:Year>
    <b:Pages>125608</b:Pages>
    <b:Volume>18</b:Volume>
    <b:RefOrder>641</b:RefOrder>
  </b:Source>
  <b:Source>
    <b:Tag>Gri16</b:Tag>
    <b:SourceType>JournalArticle</b:SourceType>
    <b:Guid>{FC86B662-4DDC-409D-90F5-402925174E9D}</b:Guid>
    <b:Author>
      <b:Author>
        <b:NameList>
          <b:Person>
            <b:Last>Grimes</b:Last>
            <b:First>H.</b:First>
            <b:Middle>D.</b:Middle>
          </b:Person>
        </b:NameList>
      </b:Author>
    </b:Author>
    <b:Title>Creating a 'collaboratory' environment to transcent traditional research barriers: Insights from the United States</b:Title>
    <b:JournalName>Energy Research &amp; Social Science</b:JournalName>
    <b:Year>2016</b:Year>
    <b:Pages>37-38</b:Pages>
    <b:Volume>19</b:Volume>
    <b:RefOrder>642</b:RefOrder>
  </b:Source>
  <b:Source>
    <b:Tag>Wüs08</b:Tag>
    <b:SourceType>JournalArticle</b:SourceType>
    <b:Guid>{156CB482-E094-4266-9AE4-9DA2F74578A1}</b:Guid>
    <b:Author>
      <b:Author>
        <b:NameList>
          <b:Person>
            <b:Last>Wüstenhagen</b:Last>
            <b:First>R.</b:First>
          </b:Person>
          <b:Person>
            <b:Last>Wolsink</b:Last>
            <b:First>M.</b:First>
          </b:Person>
          <b:Person>
            <b:Last>Bürer</b:Last>
            <b:First>M.</b:First>
            <b:Middle>J.</b:Middle>
          </b:Person>
        </b:NameList>
      </b:Author>
    </b:Author>
    <b:Title>Social acceptance of renewable energy innovation: An introduction to the concept</b:Title>
    <b:JournalName>Energy Policy</b:JournalName>
    <b:Year>2008</b:Year>
    <b:Pages>2683–2691</b:Pages>
    <b:Volume>35</b:Volume>
    <b:Issue>5</b:Issue>
    <b:RefOrder>643</b:RefOrder>
  </b:Source>
  <b:Source>
    <b:Tag>Des06</b:Tag>
    <b:SourceType>Book</b:SourceType>
    <b:Guid>{09939272-891B-4B99-90B3-8E43784B4891}</b:Guid>
    <b:Author>
      <b:Author>
        <b:NameList>
          <b:Person>
            <b:Last>Desai</b:Last>
            <b:First>V.</b:First>
          </b:Person>
          <b:Person>
            <b:Last>Potter</b:Last>
            <b:First>R.</b:First>
          </b:Person>
        </b:NameList>
      </b:Author>
    </b:Author>
    <b:Title>Doing development research</b:Title>
    <b:Year>2006</b:Year>
    <b:City>Thousand Oaks</b:City>
    <b:Publisher>Sage Publications</b:Publisher>
    <b:RefOrder>644</b:RefOrder>
  </b:Source>
  <b:Source>
    <b:Tag>May01</b:Tag>
    <b:SourceType>Book</b:SourceType>
    <b:Guid>{7F090594-5D1B-483D-BF77-456072B818E2}</b:Guid>
    <b:Author>
      <b:Author>
        <b:NameList>
          <b:Person>
            <b:Last>May</b:Last>
            <b:First>T.</b:First>
          </b:Person>
        </b:NameList>
      </b:Author>
    </b:Author>
    <b:Title>Social research: Issues, methods and process</b:Title>
    <b:Year>2001</b:Year>
    <b:City>United Kingdom</b:City>
    <b:Publisher>Open University</b:Publisher>
    <b:RefOrder>645</b:RefOrder>
  </b:Source>
  <b:Source>
    <b:Tag>Bry04</b:Tag>
    <b:SourceType>Book</b:SourceType>
    <b:Guid>{254C6996-7D3E-4AEB-AE66-A1448450FFFA}</b:Guid>
    <b:Author>
      <b:Author>
        <b:NameList>
          <b:Person>
            <b:Last>Bryman</b:Last>
            <b:First>A.</b:First>
          </b:Person>
        </b:NameList>
      </b:Author>
    </b:Author>
    <b:Title>Social research methods</b:Title>
    <b:Year>2004</b:Year>
    <b:City>Oxford</b:City>
    <b:Publisher>Oxford University Press, Incorporated</b:Publisher>
    <b:RefOrder>646</b:RefOrder>
  </b:Source>
  <b:Source>
    <b:Tag>Den05</b:Tag>
    <b:SourceType>Book</b:SourceType>
    <b:Guid>{8B09D39E-23AD-478D-A6DF-A7DEAFF6ED5A}</b:Guid>
    <b:Author>
      <b:Author>
        <b:NameList>
          <b:Person>
            <b:Last>Denzin</b:Last>
            <b:First>N.</b:First>
          </b:Person>
          <b:Person>
            <b:Last>Yvonna</b:Last>
            <b:First>L.</b:First>
          </b:Person>
        </b:NameList>
      </b:Author>
    </b:Author>
    <b:Title>The SAGE handbook of qualitative research</b:Title>
    <b:Year>2005</b:Year>
    <b:City>Thousand Oaks</b:City>
    <b:Publisher>SAGE Publications</b:Publisher>
    <b:RefOrder>647</b:RefOrder>
  </b:Source>
  <b:Source>
    <b:Tag>Han08</b:Tag>
    <b:SourceType>JournalArticle</b:SourceType>
    <b:Guid>{10A5DDEE-09E7-4166-8688-05E86F47CEE4}</b:Guid>
    <b:Author>
      <b:Author>
        <b:NameList>
          <b:Person>
            <b:Last>Hanerson</b:Last>
            <b:First>N.</b:First>
            <b:Middle>R.</b:Middle>
          </b:Person>
        </b:NameList>
      </b:Author>
    </b:Author>
    <b:Title>Managing moderator stress: Take a deep breath. You can do this!</b:Title>
    <b:Year>2008</b:Year>
    <b:JournalName>Marketing Research</b:JournalName>
    <b:Volume>21</b:Volume>
    <b:Issue>1</b:Issue>
    <b:RefOrder>648</b:RefOrder>
  </b:Source>
  <b:Source>
    <b:Tag>Kru09</b:Tag>
    <b:SourceType>Book</b:SourceType>
    <b:Guid>{8EE552BA-A5F7-4466-AB4F-B2B4C7E1D74F}</b:Guid>
    <b:Author>
      <b:Author>
        <b:NameList>
          <b:Person>
            <b:Last>Krueger</b:Last>
            <b:First>R.</b:First>
            <b:Middle>A.</b:Middle>
          </b:Person>
          <b:Person>
            <b:Last>Casey</b:Last>
            <b:First>M.</b:First>
            <b:Middle>A.</b:Middle>
          </b:Person>
        </b:NameList>
      </b:Author>
    </b:Author>
    <b:Title>Focus groups: A practical guide for applied research</b:Title>
    <b:Year>2009</b:Year>
    <b:City>Thousand Oaks</b:City>
    <b:Publisher>SAGE Publications</b:Publisher>
    <b:RefOrder>649</b:RefOrder>
  </b:Source>
  <b:Source>
    <b:Tag>Sco91</b:Tag>
    <b:SourceType>Book</b:SourceType>
    <b:Guid>{2705B46C-EDAA-401F-90A4-1936DC415757}</b:Guid>
    <b:Author>
      <b:Author>
        <b:NameList>
          <b:Person>
            <b:Last>Scott</b:Last>
            <b:First>J.</b:First>
            <b:Middle>C.</b:Middle>
          </b:Person>
        </b:NameList>
      </b:Author>
    </b:Author>
    <b:Title>A matter of record: Documentary sources in social research</b:Title>
    <b:Year>1991</b:Year>
    <b:Publisher>Wiley</b:Publisher>
    <b:RefOrder>650</b:RefOrder>
  </b:Source>
  <b:Source>
    <b:Tag>Lin08</b:Tag>
    <b:SourceType>JournalArticle</b:SourceType>
    <b:Guid>{37E9D83D-FA90-44AA-9484-7F40A3115466}</b:Guid>
    <b:Author>
      <b:Author>
        <b:NameList>
          <b:Person>
            <b:Last>Lingard</b:Last>
            <b:First>L.</b:First>
            <b:Middle>A.</b:Middle>
          </b:Person>
          <b:Person>
            <b:Last>Mathieu</b:Last>
            <b:First>A.</b:First>
          </b:Person>
        </b:NameList>
      </b:Author>
    </b:Author>
    <b:Title>Grounded theory, mixed methods, and action research</b:Title>
    <b:Year>2008</b:Year>
    <b:JournalName>BMJ</b:JournalName>
    <b:Pages>337</b:Pages>
    <b:RefOrder>651</b:RefOrder>
  </b:Source>
  <b:Source>
    <b:Tag>Chm15</b:Tag>
    <b:SourceType>JournalArticle</b:SourceType>
    <b:Guid>{B401292F-C999-4325-9AD3-08BCA7181206}</b:Guid>
    <b:Author>
      <b:Author>
        <b:NameList>
          <b:Person>
            <b:Last>Chmiel</b:Last>
            <b:First>Z.</b:First>
          </b:Person>
          <b:Person>
            <b:Last>Bhattacharyya</b:Last>
            <b:First>S.</b:First>
          </b:Person>
        </b:NameList>
      </b:Author>
    </b:Author>
    <b:Title>Analysis of off-grid electricity system at Isle of Eigg (Scotland): Lessons for developing countries</b:Title>
    <b:Year>2015</b:Year>
    <b:JournalName>Renewable Energy</b:JournalName>
    <b:Pages>578-588</b:Pages>
    <b:Volume>81</b:Volume>
    <b:RefOrder>652</b:RefOrder>
  </b:Source>
  <b:Source>
    <b:Tag>Glo15</b:Tag>
    <b:SourceType>Report</b:SourceType>
    <b:Guid>{04B75CAC-1FBA-4394-BFC9-F5DA233D5063}</b:Guid>
    <b:Author>
      <b:Author>
        <b:Corporate>Global Agenda Council on the Future of Software and Society</b:Corporate>
      </b:Author>
    </b:Author>
    <b:Title>Deep shift: Technology tipping points and societal impact</b:Title>
    <b:Year>2015</b:Year>
    <b:Publisher>World Economic Forum</b:Publisher>
    <b:City>Switzerland</b:City>
    <b:RefOrder>653</b:RefOrder>
  </b:Source>
  <b:Source>
    <b:Tag>Cai00</b:Tag>
    <b:SourceType>JournalArticle</b:SourceType>
    <b:Guid>{0950C77B-71FE-4467-935E-94BB0B4D4B71}</b:Guid>
    <b:Author>
      <b:Author>
        <b:NameList>
          <b:Person>
            <b:Last>Cairns</b:Last>
            <b:First>J.</b:First>
          </b:Person>
        </b:NameList>
      </b:Author>
    </b:Author>
    <b:Title>Setting ecological restoration goals for technical feasibility and scientific validity</b:Title>
    <b:JournalName>Ecological Engineering</b:JournalName>
    <b:Year>2000</b:Year>
    <b:Pages>171-180</b:Pages>
    <b:Volume>15</b:Volume>
    <b:RefOrder>654</b:RefOrder>
  </b:Source>
  <b:Source>
    <b:Tag>Rei06</b:Tag>
    <b:SourceType>JournalArticle</b:SourceType>
    <b:Guid>{9160A6BE-BAEB-4DCA-9B8D-81B2ACE00C7D}</b:Guid>
    <b:Author>
      <b:Author>
        <b:NameList>
          <b:Person>
            <b:Last>Reis</b:Last>
            <b:First>A.</b:First>
          </b:Person>
          <b:Person>
            <b:Last>Bejan</b:Last>
            <b:First>A.</b:First>
          </b:Person>
        </b:NameList>
      </b:Author>
    </b:Author>
    <b:Title>Constructal theory of global circulation and climate</b:Title>
    <b:JournalName>International Journal of Heat and Mass Transfer</b:JournalName>
    <b:Year>2006</b:Year>
    <b:Pages>1857-1875</b:Pages>
    <b:Volume>49</b:Volume>
    <b:RefOrder>655</b:RefOrder>
  </b:Source>
  <b:Source>
    <b:Tag>Gou14</b:Tag>
    <b:SourceType>JournalArticle</b:SourceType>
    <b:Guid>{CDC61F7D-3A36-4DD7-80CC-79D67F32CDAD}</b:Guid>
    <b:Author>
      <b:Author>
        <b:NameList>
          <b:Person>
            <b:Last>Goulden</b:Last>
            <b:First>M.</b:First>
          </b:Person>
          <b:Person>
            <b:Last>Bedwell</b:Last>
            <b:First>B.</b:First>
          </b:Person>
          <b:Person>
            <b:Last>Rennick-Egglestone</b:Last>
            <b:First>S.</b:First>
          </b:Person>
          <b:Person>
            <b:Last>Rodden</b:Last>
            <b:First>T.</b:First>
          </b:Person>
          <b:Person>
            <b:Last>Spence</b:Last>
            <b:First>A.</b:First>
          </b:Person>
        </b:NameList>
      </b:Author>
    </b:Author>
    <b:Title>Smart grids, smart users? The role of the users in demand side management</b:Title>
    <b:JournalName>Energy Research &amp; Management</b:JournalName>
    <b:Year>2014</b:Year>
    <b:Pages>21-29</b:Pages>
    <b:Volume>2</b:Volume>
    <b:RefOrder>656</b:RefOrder>
  </b:Source>
  <b:Source>
    <b:Tag>REN05</b:Tag>
    <b:SourceType>Report</b:SourceType>
    <b:Guid>{AB0CA1D1-8096-4998-83A1-3F29765FD60C}</b:Guid>
    <b:Author>
      <b:Author>
        <b:Corporate>REN21 Renewable Energy Policy Network</b:Corporate>
      </b:Author>
    </b:Author>
    <b:Title>Energy for development: The potential role of renewable energy in meeting the Millenium Development Goals</b:Title>
    <b:Year>2005</b:Year>
    <b:Publisher>Worldwatch Institute</b:Publisher>
    <b:City>Washington, DC</b:City>
    <b:RefOrder>657</b:RefOrder>
  </b:Source>
  <b:Source>
    <b:Tag>Wen07</b:Tag>
    <b:SourceType>Book</b:SourceType>
    <b:Guid>{B9B932D9-DFE7-4797-8F00-9CC33C7FB6E4}</b:Guid>
    <b:Author>
      <b:Author>
        <b:NameList>
          <b:Person>
            <b:Last>Wenham</b:Last>
            <b:First>S.</b:First>
          </b:Person>
          <b:Person>
            <b:Last>Green</b:Last>
            <b:First>M.</b:First>
          </b:Person>
          <b:Person>
            <b:Last>Watt</b:Last>
            <b:First>M.</b:First>
          </b:Person>
          <b:Person>
            <b:Last>Corkish</b:Last>
            <b:First>R.</b:First>
          </b:Person>
        </b:NameList>
      </b:Author>
    </b:Author>
    <b:Title>Applied photovoltaics</b:Title>
    <b:Year>2007</b:Year>
    <b:Publisher>T J International Ltd.</b:Publisher>
    <b:RefOrder>658</b:RefOrder>
  </b:Source>
  <b:Source>
    <b:Tag>Ota17</b:Tag>
    <b:SourceType>JournalArticle</b:SourceType>
    <b:Guid>{223F6506-3F50-478F-8F26-742B9751CFCE}</b:Guid>
    <b:Author>
      <b:Author>
        <b:NameList>
          <b:Person>
            <b:Last>Otakwa</b:Last>
            <b:First>R.</b:First>
          </b:Person>
          <b:Person>
            <b:Last>Othieno</b:Last>
            <b:First>H.</b:First>
          </b:Person>
          <b:Person>
            <b:Last>Awange</b:Last>
            <b:First>J.</b:First>
          </b:Person>
          <b:Person>
            <b:Last>Oduor</b:Last>
            <b:First>A.</b:First>
          </b:Person>
        </b:NameList>
      </b:Author>
    </b:Author>
    <b:Title>Technology options for the built environment in Kenya: Dye-sensitized and amophous silicon photovoltaics for application in NZE buildings</b:Title>
    <b:Year>2017</b:Year>
    <b:Publisher>Current Alternative Energy</b:Publisher>
    <b:JournalName>Current Alternative Energy</b:JournalName>
    <b:Pages>1-10</b:Pages>
    <b:Volume>1</b:Volume>
    <b:RefOrder>659</b:RefOrder>
  </b:Source>
  <b:Source>
    <b:Tag>Sau11</b:Tag>
    <b:SourceType>JournalArticle</b:SourceType>
    <b:Guid>{E1BFEF9F-F7DE-42D9-AA33-2C6C0D278E83}</b:Guid>
    <b:Author>
      <b:Author>
        <b:NameList>
          <b:Person>
            <b:Last>Sauvage</b:Last>
            <b:First>F.</b:First>
          </b:Person>
          <b:Person>
            <b:Last>Decopet</b:Last>
            <b:First>J.</b:First>
          </b:Person>
          <b:Person>
            <b:Last>Zhang</b:Last>
            <b:First>M.</b:First>
          </b:Person>
          <b:Person>
            <b:Last>Zakeeruddin</b:Last>
            <b:First>S.</b:First>
          </b:Person>
          <b:Person>
            <b:Last>Comte</b:Last>
            <b:First>P.</b:First>
          </b:Person>
          <b:Person>
            <b:Last>Nazeeruddin</b:Last>
            <b:First>M.</b:First>
          </b:Person>
          <b:Person>
            <b:Last>Wang</b:Last>
            <b:First>P.</b:First>
          </b:Person>
          <b:Person>
            <b:Last>Gratzel</b:Last>
            <b:First>M.</b:First>
          </b:Person>
        </b:NameList>
      </b:Author>
    </b:Author>
    <b:Title>Effect of sensitizer adsorption temperature on the performance of dye sensitized solar cells</b:Title>
    <b:JournalName>Journal of the American Society</b:JournalName>
    <b:Year>2011</b:Year>
    <b:Pages>9304-9310</b:Pages>
    <b:Volume>133</b:Volume>
    <b:Issue>24</b:Issue>
    <b:RefOrder>660</b:RefOrder>
  </b:Source>
  <b:Source>
    <b:Tag>Dut17</b:Tag>
    <b:SourceType>Report</b:SourceType>
    <b:Guid>{FB4C22E6-4402-4D2F-99A2-67D8C230A015}</b:Guid>
    <b:Author>
      <b:Author>
        <b:NameList>
          <b:Person>
            <b:Last>Dutta</b:Last>
            <b:First>S.</b:First>
          </b:Person>
          <b:Person>
            <b:Last>Kooijman</b:Last>
            <b:First>A.</b:First>
          </b:Person>
          <b:Person>
            <b:Last>Cecelshi</b:Last>
            <b:First>E.</b:First>
          </b:Person>
        </b:NameList>
      </b:Author>
    </b:Author>
    <b:Title>Energy access and gender: Getting the right balance</b:Title>
    <b:Year>2017</b:Year>
    <b:Publisher>The World Bank</b:Publisher>
    <b:City>Washington, DC.</b:City>
    <b:RefOrder>661</b:RefOrder>
  </b:Source>
  <b:Source>
    <b:Tag>Mal15</b:Tag>
    <b:SourceType>JournalArticle</b:SourceType>
    <b:Guid>{2585DA2E-BAD9-4F7F-B572-505A841EED31}</b:Guid>
    <b:Author>
      <b:Author>
        <b:NameList>
          <b:Person>
            <b:Last>Malonza</b:Last>
            <b:First>R.</b:First>
          </b:Person>
          <b:Person>
            <b:Last>Fedha</b:Last>
            <b:First>M.</b:First>
          </b:Person>
        </b:NameList>
      </b:Author>
    </b:Author>
    <b:Title>An assessment of gender and energy in Kenya: The underlying issues</b:Title>
    <b:Year>2015</b:Year>
    <b:JournalName>International Journal of Scientific &amp; Technology Research</b:JournalName>
    <b:Pages>137-153</b:Pages>
    <b:Volume>4</b:Volume>
    <b:Issue>9</b:Issue>
    <b:RefOrder>662</b:RefOrder>
  </b:Source>
  <b:Source>
    <b:Tag>USA12</b:Tag>
    <b:SourceType>Report</b:SourceType>
    <b:Guid>{2DEB2B48-A71E-46D8-9774-CDFA5146E12C}</b:Guid>
    <b:Author>
      <b:Author>
        <b:Corporate>USAID</b:Corporate>
      </b:Author>
    </b:Author>
    <b:Title>United States strategy to prevent and respond to gender-based violenve globally</b:Title>
    <b:Year>2012</b:Year>
    <b:Publisher>United States Agency for International Development.</b:Publisher>
    <b:City>Washington, DC</b:City>
    <b:RefOrder>663</b:RefOrder>
  </b:Source>
  <b:Source>
    <b:Tag>Arn15</b:Tag>
    <b:SourceType>JournalArticle</b:SourceType>
    <b:Guid>{71A2E023-1425-4CD8-9924-0E5F3722A88B}</b:Guid>
    <b:Author>
      <b:Author>
        <b:NameList>
          <b:Person>
            <b:Last>Arneli</b:Last>
            <b:First>N.</b:First>
          </b:Person>
          <b:Person>
            <b:Last>Brandt</b:Last>
            <b:First>N.</b:First>
          </b:Person>
        </b:NameList>
      </b:Author>
    </b:Author>
    <b:Title>Determinants of households' investment in energy efficiency and renewables: Evidence from the OECD survey on household environmental behaviour and attitudes</b:Title>
    <b:Year>2015</b:Year>
    <b:JournalName>Environmental Research Letters</b:JournalName>
    <b:Pages>044015</b:Pages>
    <b:Volume>10</b:Volume>
    <b:Issue>4</b:Issue>
    <b:RefOrder>664</b:RefOrder>
  </b:Source>
  <b:Source>
    <b:Tag>Lia17</b:Tag>
    <b:SourceType>JournalArticle</b:SourceType>
    <b:Guid>{3435C03F-F164-4E44-B5B0-523F985A38B2}</b:Guid>
    <b:Author>
      <b:Author>
        <b:NameList>
          <b:Person>
            <b:Last>Liang</b:Last>
            <b:First>J.</b:First>
          </b:Person>
          <b:Person>
            <b:Last>Qiu</b:Last>
            <b:First>Y.</b:First>
          </b:Person>
          <b:Person>
            <b:Last>Padmanabhan</b:Last>
            <b:First>P.</b:First>
          </b:Person>
        </b:NameList>
      </b:Author>
    </b:Author>
    <b:Title>Consumers' attitudes towards surcharges on distributed renewable energy generation and energy efficiency programs</b:Title>
    <b:JournalName>Sustainability</b:JournalName>
    <b:Year>2017</b:Year>
    <b:Pages>1475</b:Pages>
    <b:Volume>9</b:Volume>
    <b:RefOrder>665</b:RefOrder>
  </b:Source>
  <b:Source>
    <b:Tag>Rod16</b:Tag>
    <b:SourceType>JournalArticle</b:SourceType>
    <b:Guid>{97B61AAF-5DA5-49EE-88B5-8424A37856FF}</b:Guid>
    <b:Author>
      <b:Author>
        <b:NameList>
          <b:Person>
            <b:Last>Rodrigues</b:Last>
            <b:First>V.</b:First>
          </b:Person>
          <b:Person>
            <b:Last>Rodrigues</b:Last>
            <b:First>A.</b:First>
          </b:Person>
          <b:Person>
            <b:Last>Lira</b:Last>
            <b:First>M.</b:First>
          </b:Person>
          <b:Person>
            <b:Last>Couto</b:Last>
            <b:First>T.</b:First>
          </b:Person>
          <b:Person>
            <b:Last>Diniz</b:Last>
            <b:First>N.</b:First>
          </b:Person>
        </b:NameList>
      </b:Author>
    </b:Author>
    <b:Title>Family relationships in the context of gender-based violence</b:Title>
    <b:JournalName>Texto &amp; Contexto - Enfermagem</b:JournalName>
    <b:Year>2016</b:Year>
    <b:Pages>Online Version ISSN 1980-265X</b:Pages>
    <b:Volume>25</b:Volume>
    <b:Issue>3</b:Issue>
    <b:RefOrder>666</b:RefOrder>
  </b:Source>
  <b:Source>
    <b:Tag>IEAP10</b:Tag>
    <b:SourceType>Report</b:SourceType>
    <b:Guid>{42A5E0BF-8B67-498B-8465-15A56258483D}</b:Guid>
    <b:Author>
      <b:Author>
        <b:Corporate>IEA</b:Corporate>
      </b:Author>
    </b:Author>
    <b:Title>Energy Poverty: How to make modern energy access universal? Special early excerpt of the World Energy Outlook (WEO) 2010 for the UN General Assembly on the Millennium Development Goals</b:Title>
    <b:Year>2010</b:Year>
    <b:Pages>9, 20</b:Pages>
    <b:City>Paris</b:City>
    <b:Publisher>International Energy Agency</b:Publisher>
    <b:RefOrder>667</b:RefOrder>
  </b:Source>
  <b:Source>
    <b:Tag>IEA14</b:Tag>
    <b:SourceType>Report</b:SourceType>
    <b:Guid>{40CE450E-CE34-4561-966B-EC6C46B6FD48}</b:Guid>
    <b:Author>
      <b:Author>
        <b:Corporate>IEA</b:Corporate>
      </b:Author>
    </b:Author>
    <b:Title>Africa energy outlook 2014: A focus on energy prospects in Sub-Saharan Africa - World Energy Outlook Special Report: 45</b:Title>
    <b:Year>2014</b:Year>
    <b:Publisher>International Energy Agency</b:Publisher>
    <b:City>Paris</b:City>
    <b:RefOrder>668</b:RefOrder>
  </b:Source>
  <b:Source>
    <b:Tag>Owi16</b:Tag>
    <b:SourceType>Report</b:SourceType>
    <b:Guid>{D3C1DC16-3541-4F86-8224-F87345133A40}</b:Guid>
    <b:Author>
      <b:Author>
        <b:NameList>
          <b:Person>
            <b:Last>Owino</b:Last>
            <b:First>T.</b:First>
          </b:Person>
          <b:Person>
            <b:Last>Kamphof</b:Last>
            <b:First>R.</b:First>
          </b:Person>
          <b:Person>
            <b:Last>Kuneman</b:Last>
            <b:First>E.</b:First>
          </b:Person>
          <b:Person>
            <b:Last>Tilburg</b:Last>
            <b:First>X.</b:First>
          </b:Person>
          <b:Person>
            <b:Last>Schaik</b:Last>
            <b:First>L.</b:First>
          </b:Person>
          <b:Person>
            <b:Last>Rawlins</b:Last>
            <b:First>J.</b:First>
          </b:Person>
        </b:NameList>
      </b:Author>
    </b:Author>
    <b:Title>Towards a 'green' trajectory of economic growth and energy security in Kenya?</b:Title>
    <b:Year>2016</b:Year>
    <b:Publisher>Netherlands Institute of International Relations 'Clingendael'</b:Publisher>
    <b:City>Den Haag, Netherlands</b:City>
    <b:RefOrder>669</b:RefOrder>
  </b:Source>
  <b:Source>
    <b:Tag>IEA15</b:Tag>
    <b:SourceType>Report</b:SourceType>
    <b:Guid>{390527AE-C53E-4A0A-B7D4-6D1BA01E097F}</b:Guid>
    <b:Author>
      <b:Author>
        <b:Corporate>IEA</b:Corporate>
      </b:Author>
    </b:Author>
    <b:Title>Energy and climate change: World outlook special report</b:Title>
    <b:Year>2015</b:Year>
    <b:Publisher>Organisation for Economic Co-operation and Development (OECD)/International Energy Agency (IEA)</b:Publisher>
    <b:City>Paris</b:City>
    <b:RefOrder>670</b:RefOrder>
  </b:Source>
  <b:Source>
    <b:Tag>IEATB10</b:Tag>
    <b:SourceType>Report</b:SourceType>
    <b:Guid>{F1346FCA-875D-493A-A5C4-36B58284E7BA}</b:Guid>
    <b:Author>
      <b:Author>
        <b:Corporate>OECD/IEA</b:Corporate>
      </b:Author>
    </b:Author>
    <b:Title>World Energy Outlook 2010</b:Title>
    <b:Year>2010</b:Year>
    <b:Publisher>Organization for Economic Co-operation and Development/International Energy Agency</b:Publisher>
    <b:City>Paris</b:City>
    <b:RefOrder>671</b:RefOrder>
  </b:Source>
  <b:Source>
    <b:Tag>OEC16</b:Tag>
    <b:SourceType>Report</b:SourceType>
    <b:Guid>{08EAD097-02BB-430D-9EB6-A81ACEC37B57}</b:Guid>
    <b:Author>
      <b:Author>
        <b:Corporate>OECD/IEA</b:Corporate>
      </b:Author>
    </b:Author>
    <b:Title>World energy outlook 2016, Part B: Special focus on renewable energy</b:Title>
    <b:Year>2016</b:Year>
    <b:Publisher>Organization for Economic Co-operation and Development/International Energy Agency</b:Publisher>
    <b:City>Paris</b:City>
    <b:RefOrder>672</b:RefOrder>
  </b:Source>
  <b:Source>
    <b:Tag>Yde16</b:Tag>
    <b:SourceType>JournalArticle</b:SourceType>
    <b:Guid>{30F3DA7E-5A8C-440C-BDE4-10CAAFD9EB36}</b:Guid>
    <b:Author>
      <b:Author>
        <b:NameList>
          <b:Person>
            <b:Last>Ydersbond</b:Last>
            <b:First>I.</b:First>
          </b:Person>
          <b:Person>
            <b:Last>Kornes</b:Last>
            <b:First>M.</b:First>
          </b:Person>
        </b:NameList>
      </b:Author>
    </b:Author>
    <b:Title>What drives investment on wind energy? A comparative study of China and the European Union</b:Title>
    <b:Year>2016</b:Year>
    <b:JournalName>Energy Research &amp; Social Science</b:JournalName>
    <b:Pages>50-61</b:Pages>
    <b:Volume>12</b:Volume>
    <b:Issue>2</b:Issue>
    <b:RefOrder>673</b:RefOrder>
  </b:Source>
  <b:Source>
    <b:Tag>Oll12</b:Tag>
    <b:SourceType>Book</b:SourceType>
    <b:Guid>{E0F177CE-BF8C-45F2-A3BF-126504F23FFD}</b:Guid>
    <b:Author>
      <b:Author>
        <b:NameList>
          <b:Person>
            <b:Last>Olla</b:Last>
            <b:First>P.</b:First>
          </b:Person>
        </b:NameList>
      </b:Author>
    </b:Author>
    <b:Title>Global sustainable development and renewable energy systems</b:Title>
    <b:Year>2012</b:Year>
    <b:Publisher>IGI Global</b:Publisher>
    <b:City>Hershey, Pennsylvania</b:City>
    <b:RefOrder>674</b:RefOrder>
  </b:Source>
  <b:Source>
    <b:Tag>Gal15</b:Tag>
    <b:SourceType>Book</b:SourceType>
    <b:Guid>{69C71B13-B2AF-43DD-9B84-894595906F06}</b:Guid>
    <b:Author>
      <b:Author>
        <b:NameList>
          <b:Person>
            <b:Last>Galli</b:Last>
            <b:First>A.</b:First>
          </b:Person>
          <b:Person>
            <b:Last>Lin</b:Last>
            <b:First>M.</b:First>
          </b:Person>
          <b:Person>
            <b:Last>Wackernagel</b:Last>
            <b:First>M.</b:First>
          </b:Person>
          <b:Person>
            <b:Last>Gressot</b:Last>
            <b:First>M.</b:First>
          </b:Person>
          <b:Person>
            <b:Last>Winker</b:Last>
            <b:First>S.</b:First>
          </b:Person>
        </b:NameList>
      </b:Author>
    </b:Author>
    <b:Title>Humanity's growing Ecological Footprint: Sustainable development implications</b:Title>
    <b:Year>2015</b:Year>
    <b:City>Oakland, USA</b:City>
    <b:Publisher>Global Footprint Network</b:Publisher>
    <b:RefOrder>675</b:RefOrder>
  </b:Source>
  <b:Source>
    <b:Tag>Baa17</b:Tag>
    <b:SourceType>JournalArticle</b:SourceType>
    <b:Guid>{EAECA248-4A50-4D52-8823-878A05FDA4D9}</b:Guid>
    <b:Author>
      <b:Author>
        <b:NameList>
          <b:Person>
            <b:Last>Baabou</b:Last>
            <b:First>W.</b:First>
          </b:Person>
          <b:Person>
            <b:Last>Grunewald</b:Last>
            <b:First>N.</b:First>
          </b:Person>
          <b:Person>
            <b:Last>Ouellet-Plamondon</b:Last>
            <b:First>C.</b:First>
          </b:Person>
          <b:Person>
            <b:Last>Gressot</b:Last>
            <b:First>M.</b:First>
          </b:Person>
          <b:Person>
            <b:Last>Galli</b:Last>
            <b:First>A.</b:First>
          </b:Person>
        </b:NameList>
      </b:Author>
    </b:Author>
    <b:Title>The Ecological Footprint of Mediterranean cities: Awareness creation and policy implications</b:Title>
    <b:Year>2017</b:Year>
    <b:JournalName>Environmental Science &amp; Policy</b:JournalName>
    <b:Pages>94-104</b:Pages>
    <b:Volume>69</b:Volume>
    <b:RefOrder>676</b:RefOrder>
  </b:Source>
  <b:Source>
    <b:Tag>IPC13</b:Tag>
    <b:SourceType>Report</b:SourceType>
    <b:Guid>{89325B7B-2C51-40EF-B94A-278CF5E74CD7}</b:Guid>
    <b:Author>
      <b:Author>
        <b:Corporate>IPCC</b:Corporate>
      </b:Author>
    </b:Author>
    <b:Title>Climate Change 2013: The Physical Science Basis. Contribution of Working Group I to the Fifth Assessment Report of the Intergovernmental Panel on Climate Change</b:Title>
    <b:Year>2013</b:Year>
    <b:Publisher>Cambridge University Press</b:Publisher>
    <b:City>Cambridge, United Kingdom and New York, NY, USA</b:City>
    <b:RefOrder>677</b:RefOrder>
  </b:Source>
  <b:Source>
    <b:Tag>Ore04</b:Tag>
    <b:SourceType>JournalArticle</b:SourceType>
    <b:Guid>{49EA1491-FEA4-4EF0-BBAD-5C7297775AFE}</b:Guid>
    <b:Author>
      <b:Author>
        <b:NameList>
          <b:Person>
            <b:Last>Oreskes</b:Last>
            <b:First>N.</b:First>
          </b:Person>
        </b:NameList>
      </b:Author>
    </b:Author>
    <b:Title>The scientific consensus on climate change</b:Title>
    <b:Year>2004</b:Year>
    <b:JournalName>Science</b:JournalName>
    <b:Pages>1686</b:Pages>
    <b:Volume>306</b:Volume>
    <b:Issue>5702</b:Issue>
    <b:RefOrder>678</b:RefOrder>
  </b:Source>
  <b:Source>
    <b:Tag>Uni09</b:Tag>
    <b:SourceType>Report</b:SourceType>
    <b:Guid>{153E5A8F-F3FA-4762-849C-72C237A06548}</b:Guid>
    <b:Author>
      <b:Author>
        <b:Corporate>United States Global Change Research Program</b:Corporate>
      </b:Author>
    </b:Author>
    <b:Title>Global climate change impacts in the United States</b:Title>
    <b:Year>2009</b:Year>
    <b:Publisher>Cambridge University Press</b:Publisher>
    <b:City>Cambridge</b:City>
    <b:RefOrder>679</b:RefOrder>
  </b:Source>
  <b:Source>
    <b:Tag>IPCC2014</b:Tag>
    <b:SourceType>Report</b:SourceType>
    <b:Guid>{81483573-F20E-4AF9-B118-BEC3BA1B6BEA}</b:Guid>
    <b:Author>
      <b:Author>
        <b:Corporate>IPCC</b:Corporate>
      </b:Author>
    </b:Author>
    <b:Title>Climate change 2014: Synthesis report summary for policy makers</b:Title>
    <b:Year>2014</b:Year>
    <b:Publisher>Inter-Governmental Panel on Climate Change</b:Publisher>
    <b:City>Geneva</b:City>
    <b:RefOrder>680</b:RefOrder>
  </b:Source>
  <b:Source>
    <b:Tag>Fra17</b:Tag>
    <b:SourceType>Report</b:SourceType>
    <b:Guid>{304360C3-9E75-45C8-A3CD-EBD44E19CC30}</b:Guid>
    <b:Author>
      <b:Author>
        <b:NameList>
          <b:Person>
            <b:Last>Frankhauser</b:Last>
            <b:First>S.</b:First>
          </b:Person>
          <b:Person>
            <b:Last>Jotzo</b:Last>
            <b:First>F.</b:First>
          </b:Person>
        </b:NameList>
      </b:Author>
    </b:Author>
    <b:Title>Economic growth and development with low-carbon energy</b:Title>
    <b:Year>2017</b:Year>
    <b:Publisher>Crawfold School of Public Policy, Centre for Climate Economics and Policy, Australian National University</b:Publisher>
    <b:City>Canberra, Australia</b:City>
    <b:RefOrder>681</b:RefOrder>
  </b:Source>
  <b:Source>
    <b:Tag>IPC07</b:Tag>
    <b:SourceType>Report</b:SourceType>
    <b:Guid>{B2B9B2BF-C80B-4A7B-869F-798BDEADF30B}</b:Guid>
    <b:Author>
      <b:Author>
        <b:Corporate>IPCC</b:Corporate>
      </b:Author>
    </b:Author>
    <b:Title>Climate change 2007: Impacts, adaptation and vulnerability - Working Group II contribution to the Intergovernmental Panel on Climate Change, Fourth Assessment Report</b:Title>
    <b:Year>2007</b:Year>
    <b:Publisher>Intergovernmental Panel on Climate Change</b:Publisher>
    <b:City>Geneva, Switzerland</b:City>
    <b:RefOrder>682</b:RefOrder>
  </b:Source>
  <b:Source>
    <b:Tag>Sag17</b:Tag>
    <b:SourceType>JournalArticle</b:SourceType>
    <b:Guid>{87417BD4-4204-461E-AC38-19C6FA330E2E}</b:Guid>
    <b:Author>
      <b:Author>
        <b:NameList>
          <b:Person>
            <b:Last>Saguye</b:Last>
            <b:First>T.</b:First>
          </b:Person>
        </b:NameList>
      </b:Author>
    </b:Author>
    <b:Title>Assessment of farmers' perception of climate change and variability and its implications for implementation of climate-smart agricultural practices: the case of Geze Gofa District, Southern Ethiopia</b:Title>
    <b:Year>2017</b:Year>
    <b:JournalName>Journal of Geography and Natural Disasters</b:JournalName>
    <b:Pages>7:191. doi: 10.4172/2167-0587.1000191</b:Pages>
    <b:RefOrder>683</b:RefOrder>
  </b:Source>
  <b:Source>
    <b:Tag>UND18</b:Tag>
    <b:SourceType>InternetSite</b:SourceType>
    <b:Guid>{1B9090ED-FA1C-47D6-990E-70FEC515A091}</b:Guid>
    <b:Author>
      <b:Author>
        <b:Corporate>UNDP</b:Corporate>
      </b:Author>
    </b:Author>
    <b:Title>Energy access</b:Title>
    <b:Year>2018</b:Year>
    <b:InternetSiteTitle>http://www.undp.org</b:InternetSiteTitle>
    <b:YearAccessed>2018</b:YearAccessed>
    <b:MonthAccessed>January</b:MonthAccessed>
    <b:DayAccessed>25</b:DayAccessed>
    <b:URL>http://www.undp.org/content/undp/en/home/climate-and-disaster-resilience/sustainable-energy/energy-access.html</b:URL>
    <b:RefOrder>684</b:RefOrder>
  </b:Source>
  <b:Source>
    <b:Tag>KNB17</b:Tag>
    <b:SourceType>Report</b:SourceType>
    <b:Guid>{7493EB5A-71A0-40EB-9708-9804A766CA51}</b:Guid>
    <b:Author>
      <b:Author>
        <b:Corporate>KNBS</b:Corporate>
      </b:Author>
    </b:Author>
    <b:Title>Economic Survey 2017</b:Title>
    <b:Year>2017</b:Year>
    <b:Publisher>Kenya National Bureau of Statistics</b:Publisher>
    <b:City>Nairobi</b:City>
    <b:RefOrder>685</b:RefOrder>
  </b:Source>
  <b:Source>
    <b:Tag>USA17</b:Tag>
    <b:SourceType>DocumentFromInternetSite</b:SourceType>
    <b:Guid>{39D60C5C-6F19-45BD-A92E-F4F5A7A89E0B}</b:Guid>
    <b:Author>
      <b:Author>
        <b:Corporate>USAID</b:Corporate>
      </b:Author>
    </b:Author>
    <b:Title>Greenhouse emissions in Kenya</b:Title>
    <b:Year>2017</b:Year>
    <b:InternetSiteTitle>https://www.climatelinks.org</b:InternetSiteTitle>
    <b:Month>April</b:Month>
    <b:YearAccessed>2018</b:YearAccessed>
    <b:MonthAccessed>February</b:MonthAccessed>
    <b:DayAccessed>10</b:DayAccessed>
    <b:URL>https://www.climatelinks.org/sites/default/files/asset/document/2017_USAID_GHG%20Emissions%20Factsheet_Kenya.pdf</b:URL>
    <b:RefOrder>686</b:RefOrder>
  </b:Source>
  <b:Source>
    <b:Tag>WRI17</b:Tag>
    <b:SourceType>Report</b:SourceType>
    <b:Guid>{0E9BB87A-554C-45B4-AF3E-3BEAA36035DA}</b:Guid>
    <b:Author>
      <b:Author>
        <b:Corporate>WRI</b:Corporate>
      </b:Author>
    </b:Author>
    <b:Title>Climate Analysis Indicators Tool (CAIT)</b:Title>
    <b:Year>2017</b:Year>
    <b:Publisher>World Resources Institute (WRI)</b:Publisher>
    <b:City>New York</b:City>
    <b:RefOrder>687</b:RefOrder>
  </b:Source>
  <b:Source>
    <b:Tag>FAO17</b:Tag>
    <b:SourceType>Report</b:SourceType>
    <b:Guid>{071652F2-0871-4CFF-AE0B-4241A4DF54E7}</b:Guid>
    <b:Author>
      <b:Author>
        <b:Corporate>FAOSTAT, Kenya</b:Corporate>
      </b:Author>
    </b:Author>
    <b:Title>Emissions - Agriculture total</b:Title>
    <b:Year>2017</b:Year>
    <b:Publisher>Food and Agriculture Organization of the United Nations, Statistics Division, Kenya</b:Publisher>
    <b:City>Nairobi</b:City>
    <b:RefOrder>688</b:RefOrder>
  </b:Source>
  <b:Source>
    <b:Tag>WRI15</b:Tag>
    <b:SourceType>Report</b:SourceType>
    <b:Guid>{63DBC2D8-C505-4B6D-ACB0-942796FAB865}</b:Guid>
    <b:Author>
      <b:Author>
        <b:Corporate>WRI</b:Corporate>
      </b:Author>
    </b:Author>
    <b:Title>CAIT Country Greenhouse Gas Emissions: Sources &amp; Methods</b:Title>
    <b:Year>2015</b:Year>
    <b:Publisher>World Resources Institute (WRI)</b:Publisher>
    <b:City>New York</b:City>
    <b:RefOrder>689</b:RefOrder>
  </b:Source>
  <b:Source>
    <b:Tag>FAO171</b:Tag>
    <b:SourceType>Report</b:SourceType>
    <b:Guid>{58602CEC-A496-42F1-8403-5DE32D1420EC}</b:Guid>
    <b:Author>
      <b:Author>
        <b:Corporate>FAOSTAT, Kenya</b:Corporate>
      </b:Author>
    </b:Author>
    <b:Title>Live animals: Cattle, sheep, goats and camels</b:Title>
    <b:Year>2017</b:Year>
    <b:Publisher>Food and Agriculture Organization of the United Nations, Statistics Division, Kenya</b:Publisher>
    <b:City>Nairobi</b:City>
    <b:RefOrder>690</b:RefOrder>
  </b:Source>
  <b:Source>
    <b:Tag>FAO13</b:Tag>
    <b:SourceType>Report</b:SourceType>
    <b:Guid>{0B23F092-2D23-40AC-BCF3-231020E3CF99}</b:Guid>
    <b:Author>
      <b:Author>
        <b:Corporate>FAO</b:Corporate>
      </b:Author>
    </b:Author>
    <b:Title>Mitigation of greenhouse gas emissions in livestock production: Animal production and health paper 177</b:Title>
    <b:Year>2013</b:Year>
    <b:Publisher>The Food and Agriculture Organization of the United Nations</b:Publisher>
    <b:City>Geneva</b:City>
    <b:RefOrder>691</b:RefOrder>
  </b:Source>
  <b:Source>
    <b:Tag>Rep15</b:Tag>
    <b:SourceType>Report</b:SourceType>
    <b:Guid>{1BB66EFC-F3CE-454F-9021-AECFF641DF5E}</b:Guid>
    <b:Author>
      <b:Author>
        <b:Corporate>Republic of Kenya</b:Corporate>
      </b:Author>
    </b:Author>
    <b:Title>Kenya's Second National Communication (SNC) to the UNFCCC</b:Title>
    <b:Year>2015</b:Year>
    <b:Publisher>Government of Kenya (GoK)</b:Publisher>
    <b:City>Nairobi</b:City>
    <b:RefOrder>692</b:RefOrder>
  </b:Source>
  <b:Source>
    <b:Tag>IEA13</b:Tag>
    <b:SourceType>Report</b:SourceType>
    <b:Guid>{0E16E464-CCFF-4328-BD0D-CE91DA6035F5}</b:Guid>
    <b:Author>
      <b:Author>
        <b:Corporate>IEA</b:Corporate>
      </b:Author>
    </b:Author>
    <b:Title>Kenya electricity and heat</b:Title>
    <b:Year>2013</b:Year>
    <b:Publisher>International Energy Agency (IEA)</b:Publisher>
    <b:City>Paris</b:City>
    <b:RefOrder>693</b:RefOrder>
  </b:Source>
  <b:Source>
    <b:Tag>IEA90</b:Tag>
    <b:SourceType>Report</b:SourceType>
    <b:Guid>{83DBDE5C-EE5B-476D-856B-8185B7298AE7}</b:Guid>
    <b:Author>
      <b:Author>
        <b:Corporate>IEA</b:Corporate>
      </b:Author>
    </b:Author>
    <b:Title>Kenya electricity and heat</b:Title>
    <b:Year>1990</b:Year>
    <b:Publisher>International Energy Agency (IEA)</b:Publisher>
    <b:City>Paris</b:City>
    <b:RefOrder>694</b:RefOrder>
  </b:Source>
  <b:Source>
    <b:Tag>Worl13</b:Tag>
    <b:SourceType>InternetSite</b:SourceType>
    <b:Guid>{72AB0D7E-6C16-4FC0-92C3-C8167F7CEAF0}</b:Guid>
    <b:Author>
      <b:Author>
        <b:Corporate>World Bank</b:Corporate>
      </b:Author>
    </b:Author>
    <b:Title>Indicators: Kenya - Access to electricity, urban (% of urban population)</b:Title>
    <b:Year>2012a</b:Year>
    <b:Publisher>The World Bank</b:Publisher>
    <b:City>New York</b:City>
    <b:YearAccessed>2018</b:YearAccessed>
    <b:MonthAccessed>February</b:MonthAccessed>
    <b:DayAccessed>10</b:DayAccessed>
    <b:RefOrder>695</b:RefOrder>
  </b:Source>
  <b:Source>
    <b:Tag>Wor12</b:Tag>
    <b:SourceType>InternetSite</b:SourceType>
    <b:Guid>{E769F9E0-61F0-434A-A51A-B056B1B472DF}</b:Guid>
    <b:Author>
      <b:Author>
        <b:Corporate>World Bank</b:Corporate>
      </b:Author>
    </b:Author>
    <b:Title>Indicators: Kenya - Access to electricity, rural (% of rural population)</b:Title>
    <b:Year>2012b</b:Year>
    <b:YearAccessed>2018</b:YearAccessed>
    <b:MonthAccessed>February</b:MonthAccessed>
    <b:DayAccessed>10</b:DayAccessed>
    <b:RefOrder>696</b:RefOrder>
  </b:Source>
  <b:Source>
    <b:Tag>Rep151</b:Tag>
    <b:SourceType>Report</b:SourceType>
    <b:Guid>{6ACB2895-F0BC-48E9-930E-BC00ECFD809D}</b:Guid>
    <b:Author>
      <b:Author>
        <b:Corporate>Republic of Kenya</b:Corporate>
      </b:Author>
    </b:Author>
    <b:Title>Kenya's Second National Communication (SNC) to the UNFCCC</b:Title>
    <b:Year>2015</b:Year>
    <b:Publisher>UNFCCC</b:Publisher>
    <b:City>Paris</b:City>
    <b:RefOrder>697</b:RefOrder>
  </b:Source>
  <b:Source>
    <b:Tag>Bur14</b:Tag>
    <b:SourceType>JournalArticle</b:SourceType>
    <b:Guid>{32759442-48EC-4E1C-9142-616D4F2DF2F6}</b:Guid>
    <b:Author>
      <b:Author>
        <b:NameList>
          <b:Person>
            <b:Last>Burian</b:Last>
            <b:First>M.</b:First>
          </b:Person>
          <b:Person>
            <b:Last>Ariens</b:Last>
            <b:First>C.</b:First>
          </b:Person>
        </b:NameList>
      </b:Author>
    </b:Author>
    <b:Title>The clean development mechanism: A tool for financing low-carbon development in Africa?</b:Title>
    <b:Year>2014</b:Year>
    <b:JournalName>International Journal of Climate Change Strategies and Management</b:JournalName>
    <b:Pages>166-191</b:Pages>
    <b:Volume>6</b:Volume>
    <b:Issue>2</b:Issue>
    <b:RefOrder>698</b:RefOrder>
  </b:Source>
  <b:Source>
    <b:Tag>Sha15</b:Tag>
    <b:SourceType>JournalArticle</b:SourceType>
    <b:Guid>{E0224FE1-5005-4ED7-BEF0-44D4EE3803DF}</b:Guid>
    <b:Author>
      <b:Author>
        <b:NameList>
          <b:Person>
            <b:Last>Sharma</b:Last>
            <b:First>M.</b:First>
          </b:Person>
          <b:Person>
            <b:Last>Priyank</b:Last>
            <b:First>G.</b:First>
          </b:Person>
          <b:Person>
            <b:Last>Sharma</b:Last>
            <b:First>N.</b:First>
          </b:Person>
        </b:NameList>
      </b:Author>
    </b:Author>
    <b:Title>Biomass briquette production: A propagation of non-convention technology and future of pollution-free thermal energy sources</b:Title>
    <b:JournalName>American Journal of Engineering Research (AJER)</b:JournalName>
    <b:Year>2015</b:Year>
    <b:Pages>44-50</b:Pages>
    <b:Volume>4</b:Volume>
    <b:Issue>2</b:Issue>
    <b:RefOrder>699</b:RefOrder>
  </b:Source>
  <b:Source>
    <b:Tag>Coh13</b:Tag>
    <b:SourceType>Report</b:SourceType>
    <b:Guid>{65893F35-2CCD-424A-9D43-EC7255933877}</b:Guid>
    <b:Author>
      <b:Author>
        <b:NameList>
          <b:Person>
            <b:Last>Cohen</b:Last>
            <b:First>Y.</b:First>
          </b:Person>
          <b:Person>
            <b:Last>Marega</b:Last>
            <b:First>A.</b:First>
          </b:Person>
        </b:NameList>
      </b:Author>
    </b:Author>
    <b:Title>Assessment of the briquette market in Kenya</b:Title>
    <b:Year>2013</b:Year>
    <b:Publisher>GVEP International</b:Publisher>
    <b:City>Nairobi</b:City>
    <b:RefOrder>700</b:RefOrder>
  </b:Source>
  <b:Source>
    <b:Tag>OECD15</b:Tag>
    <b:SourceType>Report</b:SourceType>
    <b:Guid>{E0BB2B90-FB00-4EA2-B688-5E4F0E8D4E5E}</b:Guid>
    <b:Author>
      <b:Author>
        <b:Corporate>OECD</b:Corporate>
      </b:Author>
    </b:Author>
    <b:Title>Three steps to a low-carbon economy: The goal of zero net emissions can be reached</b:Title>
    <b:Year>2015</b:Year>
    <b:Publisher>Organization for Economic Co-operation and Development (OECD) Publishing</b:Publisher>
    <b:City>Paris</b:City>
    <b:RefOrder>701</b:RefOrder>
  </b:Source>
  <b:Source>
    <b:Tag>Rep16</b:Tag>
    <b:SourceType>Report</b:SourceType>
    <b:Guid>{95398ABA-FFA8-4858-9FC6-95355859B59B}</b:Guid>
    <b:Author>
      <b:Author>
        <b:Corporate>Republic of Kenya</b:Corporate>
      </b:Author>
    </b:Author>
    <b:Title>Sessional Paper No. 3 of 2016 on the National Climate Change Framework Policy</b:Title>
    <b:Year>2016</b:Year>
    <b:Publisher>Ministry of Environment and Natural Resources: State Department of Environment</b:Publisher>
    <b:City>Nairobi</b:City>
    <b:RefOrder>702</b:RefOrder>
  </b:Source>
  <b:Source>
    <b:Tag>Min04</b:Tag>
    <b:SourceType>Report</b:SourceType>
    <b:Guid>{8561F332-1299-4748-83E4-268F209FD3FB}</b:Guid>
    <b:Author>
      <b:Author>
        <b:Corporate>Ministry of Energy</b:Corporate>
      </b:Author>
    </b:Author>
    <b:Title>The Energy Bill, 2004</b:Title>
    <b:Year>2004</b:Year>
    <b:Publisher>Republic of Kenya</b:Publisher>
    <b:City>Nairobi</b:City>
    <b:RefOrder>703</b:RefOrder>
  </b:Source>
  <b:Source>
    <b:Tag>Kit02</b:Tag>
    <b:SourceType>Report</b:SourceType>
    <b:Guid>{82094714-4C25-4B0A-9A72-AEAE22069F30}</b:Guid>
    <b:Author>
      <b:Author>
        <b:NameList>
          <b:Person>
            <b:Last>Kituyi</b:Last>
            <b:First>E.</b:First>
          </b:Person>
        </b:NameList>
      </b:Author>
    </b:Author>
    <b:Title>Lost opportunities: Woodfuel data and policy development concern in Kenya</b:Title>
    <b:Year>2002</b:Year>
    <b:Publisher>University of Nairobi</b:Publisher>
    <b:City>Nairobi</b:City>
    <b:JournalName>Energy policy opinion paper, WSSD Edition</b:JournalName>
    <b:RefOrder>704</b:RefOrder>
  </b:Source>
  <b:Source>
    <b:Tag>Singh10</b:Tag>
    <b:SourceType>JournalArticle</b:SourceType>
    <b:Guid>{C8C63574-A90A-43DC-8580-E0F1EE44507A}</b:Guid>
    <b:Author>
      <b:Author>
        <b:NameList>
          <b:Person>
            <b:Last>Singh</b:Last>
            <b:First>J.</b:First>
          </b:Person>
          <b:Person>
            <b:Last>Gu</b:Last>
            <b:First>S.</b:First>
          </b:Person>
        </b:NameList>
      </b:Author>
    </b:Author>
    <b:Title>Biomass conversion to energy in India - A critique</b:Title>
    <b:Year>2010</b:Year>
    <b:JournalName>Renewable and Sustainable Energy Reviews</b:JournalName>
    <b:Pages>1367-1378</b:Pages>
    <b:Volume>14</b:Volume>
    <b:RefOrder>705</b:RefOrder>
  </b:Source>
  <b:Source>
    <b:Tag>Mad13</b:Tag>
    <b:SourceType>JournalArticle</b:SourceType>
    <b:Guid>{C159C2F3-42AF-41D6-88BF-BE038C031F9F}</b:Guid>
    <b:Author>
      <b:Author>
        <b:NameList>
          <b:Person>
            <b:Last>Madhurjya</b:Last>
            <b:First>S.</b:First>
          </b:Person>
          <b:Person>
            <b:Last>Deben</b:Last>
            <b:First>B.</b:First>
          </b:Person>
        </b:NameList>
      </b:Author>
    </b:Author>
    <b:Title>Analysis of physical properties of biomass briquettes prepared by wet briquetting method</b:Title>
    <b:JournalName>International Journal of Engineering Research and Development</b:JournalName>
    <b:Year>2013</b:Year>
    <b:Pages>12-14</b:Pages>
    <b:Volume>6</b:Volume>
    <b:Issue>5</b:Issue>
    <b:RefOrder>706</b:RefOrder>
  </b:Source>
  <b:Source>
    <b:Tag>Sta03</b:Tag>
    <b:SourceType>Report</b:SourceType>
    <b:Guid>{FB700C87-9651-41BF-B7FE-A177D474105D}</b:Guid>
    <b:Author>
      <b:Author>
        <b:NameList>
          <b:Person>
            <b:Last>Stanley</b:Last>
            <b:First>R.</b:First>
          </b:Person>
        </b:NameList>
      </b:Author>
    </b:Author>
    <b:Title>Briquettes: Theory and application from around the world</b:Title>
    <b:Year>2003</b:Year>
    <b:Publisher>Legacy Foundation</b:Publisher>
    <b:City>Phoenix, AZ</b:City>
    <b:RefOrder>707</b:RefOrder>
  </b:Source>
  <b:Source>
    <b:Tag>Sta031</b:Tag>
    <b:SourceType>Report</b:SourceType>
    <b:Guid>{EDCB824C-78BF-4F73-839D-5434A80047CC}</b:Guid>
    <b:Author>
      <b:Author>
        <b:NameList>
          <b:Person>
            <b:Last>Stanley</b:Last>
            <b:First>R.</b:First>
          </b:Person>
        </b:NameList>
      </b:Author>
    </b:Author>
    <b:Title>Fuel briquette making</b:Title>
    <b:Year>2003b</b:Year>
    <b:Publisher>Legacy Foundation</b:Publisher>
    <b:City>Phoenix, AZ</b:City>
    <b:RefOrder>708</b:RefOrder>
  </b:Source>
  <b:Source>
    <b:Tag>Rom17</b:Tag>
    <b:SourceType>JournalArticle</b:SourceType>
    <b:Guid>{899E3514-4C75-4B60-94B7-4F4D415F40CE}</b:Guid>
    <b:Author>
      <b:Author>
        <b:NameList>
          <b:Person>
            <b:Last>Romallosa</b:Last>
            <b:First>A.</b:First>
          </b:Person>
          <b:Person>
            <b:Last>Kraft</b:Last>
            <b:First>E.</b:First>
          </b:Person>
        </b:NameList>
      </b:Author>
    </b:Author>
    <b:Title>Feasibility of biomass briquette production from municipal waste streams by integrating the informal sector in the Phillipines</b:Title>
    <b:Year>2017</b:Year>
    <b:JournalName>Resources</b:JournalName>
    <b:Pages>doi:10.3390/resources6010012</b:Pages>
    <b:Volume>6</b:Volume>
    <b:Issue>12</b:Issue>
    <b:RefOrder>709</b:RefOrder>
  </b:Source>
  <b:Source>
    <b:Tag>Thu14</b:Tag>
    <b:SourceType>Report</b:SourceType>
    <b:Guid>{F2B6E97F-4B51-4160-9DAC-E4A221A497C5}</b:Guid>
    <b:Author>
      <b:Author>
        <b:NameList>
          <b:Person>
            <b:Last>Thuku</b:Last>
            <b:First>L.</b:First>
          </b:Person>
        </b:NameList>
      </b:Author>
    </b:Author>
    <b:Title>Development of fuel briquettes for knock down of mosquitoes using natural products</b:Title>
    <b:Year>2014</b:Year>
    <b:Publisher>Jomo Kentatta University of Agriculture and Technology</b:Publisher>
    <b:City>Juja</b:City>
    <b:RefOrder>710</b:RefOrder>
  </b:Source>
  <b:Source>
    <b:Tag>Inn17</b:Tag>
    <b:SourceType>DocumentFromInternetSite</b:SourceType>
    <b:Guid>{246E94C2-B167-4BCA-B4FF-333FB58130D9}</b:Guid>
    <b:Author>
      <b:Author>
        <b:Corporate>Innovation Policy Platform</b:Corporate>
      </b:Author>
    </b:Author>
    <b:Title>Inclusive innovatios: Business models for converting waste to energy</b:Title>
    <b:Year>2017</b:Year>
    <b:InternetSiteTitle>https://www.innovationpolicyplatform.org</b:InternetSiteTitle>
    <b:Month>April</b:Month>
    <b:YearAccessed>2018</b:YearAccessed>
    <b:MonthAccessed>March</b:MonthAccessed>
    <b:DayAccessed>6</b:DayAccessed>
    <b:URL>https://www.innovationpolicyplatform.org/system/files/3%20Waste-to-Energy_Apr6.pdf</b:URL>
    <b:RefOrder>711</b:RefOrder>
  </b:Source>
  <b:Source>
    <b:Tag>Half98</b:Tag>
    <b:SourceType>Book</b:SourceType>
    <b:Guid>{25035BF3-4D66-4D58-A184-36AAB43015BF}</b:Guid>
    <b:Author>
      <b:Author>
        <b:NameList>
          <b:Person>
            <b:Last>Halmann</b:Last>
            <b:First>M.</b:First>
          </b:Person>
          <b:Person>
            <b:Last>Steinberg</b:Last>
            <b:First>M.</b:First>
          </b:Person>
        </b:NameList>
      </b:Author>
    </b:Author>
    <b:Title>Greenhouse gas carbon dioxide mitigation: Science and Technology</b:Title>
    <b:Year>1998</b:Year>
    <b:City> ‎Boca Raton, Florida</b:City>
    <b:Publisher>CRC Press</b:Publisher>
    <b:Pages>568</b:Pages>
    <b:RefOrder>712</b:RefOrder>
  </b:Source>
  <b:Source>
    <b:Tag>FAOed</b:Tag>
    <b:SourceType>DocumentFromInternetSite</b:SourceType>
    <b:Guid>{92EADF2C-75BF-41E3-8958-6C0ECC2AFEE8}</b:Guid>
    <b:Author>
      <b:Author>
        <b:Corporate>FAO</b:Corporate>
      </b:Author>
    </b:Author>
    <b:Title>An overview of briquetting</b:Title>
    <b:Year>Undated</b:Year>
    <b:InternetSiteTitle>http://www.fao.org</b:InternetSiteTitle>
    <b:YearAccessed>2018</b:YearAccessed>
    <b:MonthAccessed>March</b:MonthAccessed>
    <b:DayAccessed>7</b:DayAccessed>
    <b:URL>http://www.fao.org/docrep/t0275e/T0275E02.htm</b:URL>
    <b:RefOrder>713</b:RefOrder>
  </b:Source>
  <b:Source>
    <b:Tag>Leg12</b:Tag>
    <b:SourceType>InternetSite</b:SourceType>
    <b:Guid>{897A701D-8289-4FEA-B5E8-069D5604913F}</b:Guid>
    <b:Author>
      <b:Author>
        <b:Corporate>Legacy Foundation</b:Corporate>
      </b:Author>
    </b:Author>
    <b:Title>New briquette-making manuals from Legacy Foundation</b:Title>
    <b:InternetSiteTitle>http://www.charcoalproject.org</b:InternetSiteTitle>
    <b:Year>2012</b:Year>
    <b:Month>January</b:Month>
    <b:Day>21</b:Day>
    <b:YearAccessed>2018</b:YearAccessed>
    <b:MonthAccessed>March</b:MonthAccessed>
    <b:DayAccessed>7</b:DayAccessed>
    <b:URL>http://www.charcoalproject.org/2012/01/new-briquette-making-manuals-from-legacy-foundation/</b:URL>
    <b:RefOrder>714</b:RefOrder>
  </b:Source>
  <b:Source>
    <b:Tag>Lel16</b:Tag>
    <b:SourceType>JournalArticle</b:SourceType>
    <b:Guid>{1DF502D9-8D03-4878-B42A-703061B19ADA}</b:Guid>
    <b:Author>
      <b:Author>
        <b:NameList>
          <b:Person>
            <b:Last>Lela</b:Last>
            <b:First>B.</b:First>
          </b:Person>
          <b:Person>
            <b:Last>Bariši´c</b:Last>
            <b:First>M.</b:First>
          </b:Person>
          <b:Person>
            <b:Last>Nižeti´c</b:Last>
            <b:First>S.</b:First>
          </b:Person>
        </b:NameList>
      </b:Author>
    </b:Author>
    <b:Title>Cardboard/sawdust briquettes as biomass fuel: Physical–mechanical and thermal characteristics</b:Title>
    <b:Year>2016</b:Year>
    <b:JournalName>Waste Management</b:JournalName>
    <b:Pages>236–245</b:Pages>
    <b:Volume>47</b:Volume>
    <b:RefOrder>715</b:RefOrder>
  </b:Source>
  <b:Source>
    <b:Tag>Bra17</b:Tag>
    <b:SourceType>JournalArticle</b:SourceType>
    <b:Guid>{5D7D580E-B353-4956-9B6A-E728B305C0AE}</b:Guid>
    <b:Author>
      <b:Author>
        <b:NameList>
          <b:Person>
            <b:Last>Brand</b:Last>
            <b:First>M.</b:First>
          </b:Person>
          <b:Person>
            <b:Last>Jacinto</b:Last>
            <b:First>R.</b:First>
          </b:Person>
          <b:Person>
            <b:Last>Antunes</b:Last>
            <b:First>R.</b:First>
          </b:Person>
          <b:Person>
            <b:Last>da-Cunha</b:Last>
            <b:First>A.</b:First>
          </b:Person>
        </b:NameList>
      </b:Author>
    </b:Author>
    <b:Title>Production of briquettes as a tool to optimize the use of waste from rice cultivation and industrial processing</b:Title>
    <b:JournalName>Renewable Energy</b:JournalName>
    <b:Year>2017</b:Year>
    <b:Pages>116-123</b:Pages>
    <b:Volume>111</b:Volume>
    <b:RefOrder>716</b:RefOrder>
  </b:Source>
  <b:Source>
    <b:Tag>Lub17</b:Tag>
    <b:SourceType>JournalArticle</b:SourceType>
    <b:Guid>{47006E0C-8665-48A1-B6C7-833F0F4E164E}</b:Guid>
    <b:Author>
      <b:Author>
        <b:NameList>
          <b:Person>
            <b:Last>Lubwama</b:Last>
            <b:First>M.</b:First>
          </b:Person>
          <b:Person>
            <b:Last>Yiga</b:Last>
            <b:First>V.</b:First>
          </b:Person>
        </b:NameList>
      </b:Author>
    </b:Author>
    <b:Title>Development of groundnut shells and bagasse briquettes as sustainable fuel sources for domestic cooking applications in Uganda</b:Title>
    <b:JournalName>Renewable Energy</b:JournalName>
    <b:Year>2017</b:Year>
    <b:Pages>532-542</b:Pages>
    <b:Volume>111</b:Volume>
    <b:RefOrder>717</b:RefOrder>
  </b:Source>
  <b:Source>
    <b:Tag>Pra13</b:Tag>
    <b:SourceType>JournalArticle</b:SourceType>
    <b:Guid>{6B7EFC55-DBCD-4B2F-A914-BE362A868988}</b:Guid>
    <b:Author>
      <b:Author>
        <b:NameList>
          <b:Person>
            <b:Last>Prasityousil</b:Last>
            <b:First>J.</b:First>
          </b:Person>
          <b:Person>
            <b:Last>Muenjina</b:Last>
            <b:First>A.</b:First>
          </b:Person>
        </b:NameList>
      </b:Author>
    </b:Author>
    <b:Title>Properties of solid fuel briquettes produced from rejected material of municipal waste composting</b:Title>
    <b:JournalName>Procedia Environmental Sciences</b:JournalName>
    <b:Year>2013</b:Year>
    <b:Pages>603-610</b:Pages>
    <b:Volume>17</b:Volume>
    <b:RefOrder>718</b:RefOrder>
  </b:Source>
  <b:Source>
    <b:Tag>Shu17</b:Tag>
    <b:SourceType>JournalArticle</b:SourceType>
    <b:Guid>{3A442828-DB9B-4170-AC1F-8DA2678B665A}</b:Guid>
    <b:Author>
      <b:Author>
        <b:NameList>
          <b:Person>
            <b:Last>Shuma</b:Last>
            <b:First>R.</b:First>
          </b:Person>
          <b:Person>
            <b:Last>Madyira</b:Last>
            <b:First>D.</b:First>
          </b:Person>
        </b:NameList>
      </b:Author>
    </b:Author>
    <b:Title>Production of loose biomass briquettes from agricultural and forestry residues</b:Title>
    <b:JournalName>Journal of Procedure Manufacturing</b:JournalName>
    <b:Year>2017</b:Year>
    <b:Pages>98-105</b:Pages>
    <b:Volume>7</b:Volume>
    <b:RefOrder>719</b:RefOrder>
  </b:Source>
  <b:Source>
    <b:Tag>War14</b:Tag>
    <b:SourceType>JournalArticle</b:SourceType>
    <b:Guid>{32745732-D712-442E-9DFF-E0CD115112EA}</b:Guid>
    <b:Author>
      <b:Author>
        <b:NameList>
          <b:Person>
            <b:Last>Ward</b:Last>
            <b:First>B.</b:First>
          </b:Person>
          <b:Person>
            <b:Last>Yacob</b:Last>
            <b:First>T.</b:First>
          </b:Person>
          <b:Person>
            <b:Last>Montoya</b:Last>
            <b:First>L.</b:First>
          </b:Person>
        </b:NameList>
      </b:Author>
    </b:Author>
    <b:Title>Evaluation of solid fuel char briquettes from human waste</b:Title>
    <b:JournalName>Journal of Environmental Science and Technology</b:JournalName>
    <b:Year>2014</b:Year>
    <b:Pages>9852-9858</b:Pages>
    <b:Volume>48</b:Volume>
    <b:RefOrder>720</b:RefOrder>
  </b:Source>
  <b:Source>
    <b:Tag>Zub14</b:Tag>
    <b:SourceType>JournalArticle</b:SourceType>
    <b:Guid>{30E80B7B-76B4-470D-9824-6A41B4EDC84E}</b:Guid>
    <b:Author>
      <b:Author>
        <b:NameList>
          <b:Person>
            <b:Last>Zubairu</b:Last>
            <b:First>A.</b:First>
          </b:Person>
          <b:Person>
            <b:Last>Gana</b:Last>
            <b:First>S.</b:First>
          </b:Person>
        </b:NameList>
      </b:Author>
    </b:Author>
    <b:Title>Production and characterization of briquette charcoal by coarbinization of agro-waste</b:Title>
    <b:JournalName>Journal of Energy and Power</b:JournalName>
    <b:Year>2014</b:Year>
    <b:Pages>41-47</b:Pages>
    <b:Volume>4</b:Volume>
    <b:Issue>2</b:Issue>
    <b:RefOrder>721</b:RefOrder>
  </b:Source>
  <b:Source>
    <b:Tag>Eme11</b:Tag>
    <b:SourceType>JournalArticle</b:SourceType>
    <b:Guid>{9A972BB8-6F52-4171-8762-35D66D3C46D2}</b:Guid>
    <b:Author>
      <b:Author>
        <b:NameList>
          <b:Person>
            <b:Last>Emerhi</b:Last>
            <b:First>E.</b:First>
          </b:Person>
        </b:NameList>
      </b:Author>
    </b:Author>
    <b:Title>Physical  and  combustion  properties  of  briquettes produced from saw dust of three hardwood species and different organic binders</b:Title>
    <b:JournalName>Advances in Applied Science Research</b:JournalName>
    <b:Year>2011</b:Year>
    <b:Pages>236-246</b:Pages>
    <b:Volume>2</b:Volume>
    <b:Issue>6</b:Issue>
    <b:RefOrder>722</b:RefOrder>
  </b:Source>
  <b:Source>
    <b:Tag>Sur17</b:Tag>
    <b:SourceType>ConferenceProceedings</b:SourceType>
    <b:Guid>{A3EB1846-C0E9-4900-ACBD-548C708ED5A1}</b:Guid>
    <b:Author>
      <b:Author>
        <b:NameList>
          <b:Person>
            <b:Last>Suryaningsih</b:Last>
            <b:First>S.</b:First>
          </b:Person>
          <b:Person>
            <b:Last>Nurhilal</b:Last>
            <b:First>O.</b:First>
          </b:Person>
          <b:Person>
            <b:Last>Yuliah</b:Last>
            <b:First>Y.</b:First>
          </b:Person>
          <b:Person>
            <b:Last>Mulyana</b:Last>
            <b:First>C.</b:First>
          </b:Person>
        </b:NameList>
      </b:Author>
    </b:Author>
    <b:Title>Combustion quality analysis of briquettes from variety of agricultural waste as source of alternative fuels</b:Title>
    <b:JournalName> In International Conference on Biomass: Technology, Application, and Sustainable Development. Earth and Environmental Science</b:JournalName>
    <b:Year>2017</b:Year>
    <b:Pages>1-6</b:Pages>
    <b:ConferenceName>International Conference on Biomass: Technology, Application, and Sustainable Development</b:ConferenceName>
    <b:City>Bristol, UK</b:City>
    <b:Publisher>Earth and Environmental Science, IOP Publishing</b:Publisher>
    <b:Volume>65</b:Volume>
    <b:RefOrder>723</b:RefOrder>
  </b:Source>
  <b:Source>
    <b:Tag>Min98</b:Tag>
    <b:SourceType>JournalArticle</b:SourceType>
    <b:Guid>{947FB1BF-7D9E-4989-B809-F05BE9BC0271}</b:Guid>
    <b:Author>
      <b:Author>
        <b:NameList>
          <b:Person>
            <b:Last>Minowa</b:Last>
            <b:First>T.</b:First>
          </b:Person>
          <b:Person>
            <b:Last>Kondo</b:Last>
            <b:First>T.</b:First>
          </b:Person>
          <b:Person>
            <b:Last>Sudirjo</b:Last>
            <b:First>S.</b:First>
          </b:Person>
        </b:NameList>
      </b:Author>
    </b:Author>
    <b:Title>hermochemical Liquefaction Of Indonesian Biomass Residues</b:Title>
    <b:Pages>517-524</b:Pages>
    <b:Year>1998</b:Year>
    <b:JournalName>Journal of Biomass Bioenergy</b:JournalName>
    <b:Volume>14</b:Volume>
    <b:RefOrder>724</b:RefOrder>
  </b:Source>
  <b:Source>
    <b:Tag>Wil07</b:Tag>
    <b:SourceType>JournalArticle</b:SourceType>
    <b:Guid>{B4B66F3C-8E85-4D8B-BA80-5819F7ED272A}</b:Guid>
    <b:Author>
      <b:Author>
        <b:NameList>
          <b:Person>
            <b:Last>Wilaipon</b:Last>
            <b:First>P.</b:First>
          </b:Person>
          <b:Person>
            <b:Last>Trirattansirichai</b:Last>
            <b:First>K.</b:First>
          </b:Person>
          <b:Person>
            <b:Last>Tangchaichit</b:Last>
            <b:First>K.</b:First>
          </b:Person>
        </b:NameList>
      </b:Author>
    </b:Author>
    <b:Title>Moderate die–pressure banana–peel briquettes</b:Title>
    <b:JournalName>International Journal of Renewable Energy</b:JournalName>
    <b:Year>2007</b:Year>
    <b:Pages>53-58</b:Pages>
    <b:Volume>2</b:Volume>
    <b:RefOrder>725</b:RefOrder>
  </b:Source>
  <b:Source>
    <b:Tag>Are15</b:Tag>
    <b:SourceType>ConferenceProceedings</b:SourceType>
    <b:Guid>{7C14577B-D2AE-4172-BFB8-513A1739E46B}</b:Guid>
    <b:Author>
      <b:Author>
        <b:NameList>
          <b:Person>
            <b:Last>Arellano</b:Last>
            <b:First>G.</b:First>
          </b:Person>
          <b:Person>
            <b:Last>Kato</b:Last>
            <b:First>Y.</b:First>
          </b:Person>
          <b:Person>
            <b:Last>Bacani</b:Last>
            <b:First>F.</b:First>
          </b:Person>
        </b:NameList>
      </b:Author>
    </b:Author>
    <b:Title>Evaluation of fuel properties of charcoal briquettes derived from combinations of coconut shell, corn cob and sugarcane bagasse</b:Title>
    <b:Year>2015</b:Year>
    <b:Pages>1-6</b:Pages>
    <b:ConferenceName>DLSU Research Congress</b:ConferenceName>
    <b:City>Manila, Philipines</b:City>
    <b:Publisher>De La Salle University (DLSU)</b:Publisher>
    <b:Volume>3</b:Volume>
    <b:RefOrder>726</b:RefOrder>
  </b:Source>
  <b:Source>
    <b:Tag>Psi18</b:Tag>
    <b:SourceType>ArticleInAPeriodical</b:SourceType>
    <b:Guid>{FBB657B5-901E-49ED-B63F-C32D91B29F7F}</b:Guid>
    <b:Author>
      <b:Author>
        <b:NameList>
          <b:Person>
            <b:Last>Psirmoi</b:Last>
            <b:First>D.</b:First>
          </b:Person>
        </b:NameList>
      </b:Author>
    </b:Author>
    <b:Title>State outlaws logging to save drying water towers</b:Title>
    <b:Pages>https://www.standardmedia.co.ke/lifestyle/article/2001271042/state-bans-logging-mps-laud-move</b:Pages>
    <b:Year>2018</b:Year>
    <b:PeriodicalTitle>Standard Digital</b:PeriodicalTitle>
    <b:Month>February</b:Month>
    <b:Day>25</b:Day>
    <b:RefOrder>727</b:RefOrder>
  </b:Source>
  <b:Source>
    <b:Tag>Sun18</b:Tag>
    <b:SourceType>ArticleInAPeriodical</b:SourceType>
    <b:Guid>{55A60217-5301-4062-9885-F7F426DA6DB1}</b:Guid>
    <b:Author>
      <b:Author>
        <b:NameList>
          <b:Person>
            <b:Last>Sunday</b:Last>
            <b:First>F.</b:First>
          </b:Person>
        </b:NameList>
      </b:Author>
    </b:Author>
    <b:Title>Kenyans to dig deeper into pockets after ERC hikes fuel pump prices</b:Title>
    <b:PeriodicalTitle>Standard Digital</b:PeriodicalTitle>
    <b:Year>2018</b:Year>
    <b:Month>January</b:Month>
    <b:Day>15</b:Day>
    <b:Pages>https://www.standardmedia.co.ke/business/article/2001265958/january-blues-deepen-as-fuel-pump-prices-rise-again</b:Pages>
    <b:RefOrder>728</b:RefOrder>
  </b:Source>
  <b:Source>
    <b:Tag>Onu17</b:Tag>
    <b:SourceType>JournalArticle</b:SourceType>
    <b:Guid>{33F4203D-80E1-4BF1-9CAE-955366CABC51}</b:Guid>
    <b:Author>
      <b:Author>
        <b:NameList>
          <b:Person>
            <b:Last>Onukak</b:Last>
            <b:First>I.</b:First>
          </b:Person>
          <b:Person>
            <b:Last>Mohammed-Dabo</b:Last>
            <b:First>I.</b:First>
          </b:Person>
          <b:Person>
            <b:Last>Ameh</b:Last>
            <b:First>A,</b:First>
          </b:Person>
          <b:Person>
            <b:Last>Okoduwa</b:Last>
            <b:First>S.</b:First>
          </b:Person>
          <b:Person>
            <b:Last>Fasanya</b:Last>
            <b:First>O.</b:First>
          </b:Person>
        </b:NameList>
      </b:Author>
    </b:Author>
    <b:Title>Production and characterisation of biomass briquettes from tannery solid waste</b:Title>
    <b:Year>2017</b:Year>
    <b:Pages>doi:10.3390/recycling2040017</b:Pages>
    <b:JournalName>Journal of Recycling</b:JournalName>
    <b:Volume>2</b:Volume>
    <b:Issue>17</b:Issue>
    <b:RefOrder>729</b:RefOrder>
  </b:Source>
  <b:Source>
    <b:Tag>Ndi98</b:Tag>
    <b:SourceType>JournalArticle</b:SourceType>
    <b:Guid>{4600CE46-C5B9-43BF-BAFB-34FFA7EA21D7}</b:Guid>
    <b:Author>
      <b:Author>
        <b:NameList>
          <b:Person>
            <b:Last>Ndirika</b:Last>
            <b:First>V.</b:First>
          </b:Person>
        </b:NameList>
      </b:Author>
    </b:Author>
    <b:Title>Development and performance evaluation of a baking oven using charcoal as source of energy</b:Title>
    <b:JournalName>Nigeria Journal of Renewable Energy</b:JournalName>
    <b:Year>1998</b:Year>
    <b:Pages>83-91</b:Pages>
    <b:Volume>12</b:Volume>
    <b:RefOrder>730</b:RefOrder>
  </b:Source>
  <b:Source>
    <b:Tag>Cor11</b:Tag>
    <b:SourceType>Book</b:SourceType>
    <b:Guid>{00911E14-DF92-4693-9F1E-859186858713}</b:Guid>
    <b:Author>
      <b:Author>
        <b:NameList>
          <b:Person>
            <b:Last>Corrine</b:Last>
            <b:First>G.</b:First>
          </b:Person>
        </b:NameList>
      </b:Author>
    </b:Author>
    <b:Title>Becoming qualitative researchers: An introduction (4th Edition)</b:Title>
    <b:Year>2011</b:Year>
    <b:City>Boston</b:City>
    <b:Publisher>Pearson</b:Publisher>
    <b:RefOrder>731</b:RefOrder>
  </b:Source>
  <b:Source>
    <b:Tag>Lis08</b:Tag>
    <b:SourceType>Book</b:SourceType>
    <b:Guid>{BDEC5B98-1553-40E2-A037-F1A244329DD7}</b:Guid>
    <b:Author>
      <b:Author>
        <b:NameList>
          <b:Person>
            <b:Last>Lisa</b:Last>
            <b:First>G.</b:First>
          </b:Person>
        </b:NameList>
      </b:Author>
    </b:Author>
    <b:Title>The sage encyclopedia of qualitative research methods</b:Title>
    <b:Year>2008</b:Year>
    <b:City>Los Angels</b:City>
    <b:Publisher>Sage Publications</b:Publisher>
    <b:RefOrder>732</b:RefOrder>
  </b:Source>
  <b:Source>
    <b:Tag>Teh15</b:Tag>
    <b:SourceType>JournalArticle</b:SourceType>
    <b:Guid>{0DB0F184-E875-46C8-B4F7-F9502CAA8AE8}</b:Guid>
    <b:Author>
      <b:Author>
        <b:NameList>
          <b:Person>
            <b:Last>Teherani</b:Last>
            <b:First>A.</b:First>
          </b:Person>
          <b:Person>
            <b:Last>Martimianakis</b:Last>
            <b:First>T.</b:First>
          </b:Person>
          <b:Person>
            <b:Last>Stenfors-Hayes</b:Last>
            <b:First>T.</b:First>
          </b:Person>
          <b:Person>
            <b:Last>Wadhwa</b:Last>
            <b:First>A.</b:First>
          </b:Person>
          <b:Person>
            <b:Last>Varpio</b:Last>
            <b:First>L.</b:First>
          </b:Person>
        </b:NameList>
      </b:Author>
    </b:Author>
    <b:Title>Choosing a qualitative reserach approach</b:Title>
    <b:Year>2015</b:Year>
    <b:JournalName>Journal of Graduate Medical Education</b:JournalName>
    <b:Pages>669-670</b:Pages>
    <b:RefOrder>733</b:RefOrder>
  </b:Source>
  <b:Source>
    <b:Tag>Vee12</b:Tag>
    <b:SourceType>JournalArticle</b:SourceType>
    <b:Guid>{79A002A7-A3B3-463D-8929-75BC8865DDAA}</b:Guid>
    <b:Author>
      <b:Author>
        <b:NameList>
          <b:Person>
            <b:Last>Veeresh</b:Last>
            <b:First>S.</b:First>
          </b:Person>
          <b:Person>
            <b:Last>Narayana</b:Last>
            <b:First>J.</b:First>
          </b:Person>
        </b:NameList>
      </b:Author>
    </b:Author>
    <b:Title>Assessment of agro-industrial wastes: Proximate, ultimate, SEM, and FTIR analysis of the feasibility of solid bio-fuel production</b:Title>
    <b:JournalName>Universal Journal of Environmental Research and Technology</b:JournalName>
    <b:Year>2012</b:Year>
    <b:Pages>575-581</b:Pages>
    <b:Volume>2</b:Volume>
    <b:Issue>6</b:Issue>
    <b:RefOrder>734</b:RefOrder>
  </b:Source>
  <b:Source>
    <b:Tag>Nde11</b:Tag>
    <b:SourceType>JournalArticle</b:SourceType>
    <b:Guid>{41254119-F13F-491F-AEE4-58F0F3C2BCC9}</b:Guid>
    <b:Author>
      <b:Author>
        <b:NameList>
          <b:Person>
            <b:Last>Ndegwa</b:Last>
            <b:First>G.</b:First>
          </b:Person>
        </b:NameList>
      </b:Author>
    </b:Author>
    <b:Title>Woodfuels in Kenya and Rwanda: Powering and driving the economy of thrural areas</b:Title>
    <b:JournalName>Rural 21</b:JournalName>
    <b:Year>2011</b:Year>
    <b:Pages>26-30</b:Pages>
    <b:RefOrder>735</b:RefOrder>
  </b:Source>
  <b:Source>
    <b:Tag>Cap15</b:Tag>
    <b:SourceType>InternetSite</b:SourceType>
    <b:Guid>{E4B6A53B-3772-4FEE-9C9F-C9615FBFF7E0}</b:Guid>
    <b:Author>
      <b:Author>
        <b:Corporate>CapitalNews</b:Corporate>
      </b:Author>
    </b:Author>
    <b:Title>Study: Kenya loses 5.6 million trees daily</b:Title>
    <b:Year>2015</b:Year>
    <b:InternetSiteTitle>http://www.capitalfm.co.ke</b:InternetSiteTitle>
    <b:Month>March</b:Month>
    <b:Day>26</b:Day>
    <b:YearAccessed>2018</b:YearAccessed>
    <b:MonthAccessed>April</b:MonthAccessed>
    <b:DayAccessed>15</b:DayAccessed>
    <b:URL>http://www.capitalfm.co.ke/news/2015/03/study-kenya-loses-5-6-million-trees-daily/</b:URL>
    <b:RefOrder>736</b:RefOrder>
  </b:Source>
  <b:Source>
    <b:Tag>Adz13</b:Tag>
    <b:SourceType>JournalArticle</b:SourceType>
    <b:Guid>{3A93804C-E2DA-4BC0-846C-E784FD641E53}</b:Guid>
    <b:Author>
      <b:Author>
        <b:NameList>
          <b:Person>
            <b:Last>Adzic</b:Last>
            <b:First>M.</b:First>
          </b:Person>
          <b:Person>
            <b:Last>Savic</b:Last>
            <b:First>R.</b:First>
          </b:Person>
        </b:NameList>
      </b:Author>
    </b:Author>
    <b:Title>Cooling of wood briquettes</b:Title>
    <b:JournalName>Thermal Science</b:JournalName>
    <b:Year>2013</b:Year>
    <b:Pages>833-838</b:Pages>
    <b:Volume>17</b:Volume>
    <b:Issue>3</b:Issue>
    <b:RefOrder>737</b:RefOrder>
  </b:Source>
  <b:Source>
    <b:Tag>Man07</b:Tag>
    <b:SourceType>Book</b:SourceType>
    <b:Guid>{368E7734-A1DD-484B-94BC-EAC68BA81F85}</b:Guid>
    <b:Author>
      <b:Author>
        <b:NameList>
          <b:Person>
            <b:Last>Mande</b:Last>
            <b:First>S.</b:First>
          </b:Person>
        </b:NameList>
      </b:Author>
    </b:Author>
    <b:Title>Thermochemical conversion of biomass</b:Title>
    <b:Year>2007</b:Year>
    <b:City>New Delhi</b:City>
    <b:Publisher>TERI</b:Publisher>
    <b:RefOrder>738</b:RefOrder>
  </b:Source>
  <b:Source>
    <b:Tag>Wor18</b:Tag>
    <b:SourceType>InternetSite</b:SourceType>
    <b:Guid>{D415F365-11EC-4F86-B806-97E86763F8D9}</b:Guid>
    <b:Author>
      <b:Author>
        <b:Corporate>Worldometers</b:Corporate>
      </b:Author>
    </b:Author>
    <b:Title>Kenya population live</b:Title>
    <b:Year>2018</b:Year>
    <b:InternetSiteTitle>http://www.worldometers</b:InternetSiteTitle>
    <b:Month>April</b:Month>
    <b:Day>23</b:Day>
    <b:YearAccessed>2018</b:YearAccessed>
    <b:MonthAccessed>April</b:MonthAccessed>
    <b:DayAccessed>23</b:DayAccessed>
    <b:URL>http://www.worldometers.info/world-population/kenya-population/</b:URL>
    <b:RefOrder>739</b:RefOrder>
  </b:Source>
  <b:Source>
    <b:Tag>Wik17</b:Tag>
    <b:SourceType>InternetSite</b:SourceType>
    <b:Guid>{4FA126D3-1E19-418E-931B-3E82E02B577A}</b:Guid>
    <b:Author>
      <b:Author>
        <b:Corporate>Wikipedia</b:Corporate>
      </b:Author>
    </b:Author>
    <b:Title>https://en.wikipedia.org</b:Title>
    <b:InternetSiteTitle>List of countries by greenhouse gas emissions per capita</b:InternetSiteTitle>
    <b:Year>2017</b:Year>
    <b:Month>October</b:Month>
    <b:Day>4</b:Day>
    <b:YearAccessed>2018</b:YearAccessed>
    <b:MonthAccessed>April</b:MonthAccessed>
    <b:DayAccessed>25</b:DayAccessed>
    <b:URL>List of countries by greenhouse gas emissions per capita</b:URL>
    <b:RefOrder>740</b:RefOrder>
  </b:Source>
  <b:Source>
    <b:Tag>Art16</b:Tag>
    <b:SourceType>JournalArticle</b:SourceType>
    <b:Guid>{FAFAD2D6-5966-41D8-A48F-7F84AD50B7BE}</b:Guid>
    <b:Author>
      <b:Author>
        <b:NameList>
          <b:Person>
            <b:Last>Arto</b:Last>
            <b:First>I.</b:First>
          </b:Person>
          <b:Person>
            <b:Last>Capellan-Perez</b:Last>
            <b:First>I.</b:First>
          </b:Person>
          <b:Person>
            <b:Last>Lago</b:Last>
            <b:First>R.</b:First>
          </b:Person>
          <b:Person>
            <b:Last>Bueno</b:Last>
            <b:First>G.</b:First>
          </b:Person>
          <b:Person>
            <b:Last>Bermejo</b:Last>
            <b:First>R.</b:First>
          </b:Person>
        </b:NameList>
      </b:Author>
    </b:Author>
    <b:Title>The energy requirements of a developed world</b:Title>
    <b:Year>2016</b:Year>
    <b:JournalName>Energy for Sustainable Development</b:JournalName>
    <b:Pages>1-13</b:Pages>
    <b:Volume>33</b:Volume>
    <b:RefOrder>741</b:RefOrder>
  </b:Source>
  <b:Source>
    <b:Tag>Ayh98</b:Tag>
    <b:SourceType>JournalArticle</b:SourceType>
    <b:Guid>{B0598F80-3918-4F84-9623-2ABB46A8665A}</b:Guid>
    <b:Author>
      <b:Author>
        <b:NameList>
          <b:Person>
            <b:Last>Ayhan</b:Last>
            <b:First>D.</b:First>
          </b:Person>
          <b:Person>
            <b:Last>Ayse</b:Last>
            <b:First>D.</b:First>
          </b:Person>
        </b:NameList>
      </b:Author>
    </b:Author>
    <b:Title>Evaluation of biomass residue: Briquetting waste paper and wheat straw mixtures</b:Title>
    <b:JournalName>Fuel Processing Technology</b:JournalName>
    <b:Year>1998</b:Year>
    <b:Pages>175-183</b:Pages>
    <b:Volume>55</b:Volume>
    <b:RefOrder>742</b:RefOrder>
  </b:Source>
  <b:Source>
    <b:Tag>Mic12</b:Tag>
    <b:SourceType>Report</b:SourceType>
    <b:Guid>{CFFDE578-8A87-4F78-BE4D-FDACE887BB69}</b:Guid>
    <b:Author>
      <b:Author>
        <b:NameList>
          <b:Person>
            <b:Last>Michaelowa</b:Last>
            <b:First>A.</b:First>
          </b:Person>
        </b:NameList>
      </b:Author>
    </b:Author>
    <b:Title>Strengths and weaknesses of the CDM in comparison with new and emerging market mechanisms</b:Title>
    <b:Year>2012</b:Year>
    <b:Publisher>CDM Policy Dialogue</b:Publisher>
    <b:City>Luxembourg</b:City>
    <b:RefOrder>743</b:RefOrder>
  </b:Source>
  <b:Source>
    <b:Tag>Zoh15</b:Tag>
    <b:SourceType>Book</b:SourceType>
    <b:Guid>{CF34E8C5-326A-4E18-A3E9-DED219AA8441}</b:Guid>
    <b:Author>
      <b:Author>
        <b:NameList>
          <b:Person>
            <b:Last>Zohuri</b:Last>
            <b:First>B.</b:First>
          </b:Person>
        </b:NameList>
      </b:Author>
    </b:Author>
    <b:Title>Combine cycle driven efficiency for next generation nuclear power plants</b:Title>
    <b:Year>2015</b:Year>
    <b:Publisher>Springer International Publishing</b:Publisher>
    <b:City>Switzerland</b:City>
    <b:RefOrder>744</b:RefOrder>
  </b:Source>
  <b:Source>
    <b:Tag>Lap11</b:Tag>
    <b:SourceType>BookSection</b:SourceType>
    <b:Guid>{E0825460-F4E7-4668-89A3-A0BD1D9CAAF6}</b:Guid>
    <b:Author>
      <b:Author>
        <b:NameList>
          <b:Person>
            <b:Last>Laptev</b:Last>
            <b:First>V.</b:First>
          </b:Person>
          <b:Person>
            <b:Last>Khlyap</b:Last>
            <b:First>H.</b:First>
          </b:Person>
        </b:NameList>
      </b:Author>
      <b:BookAuthor>
        <b:NameList>
          <b:Person>
            <b:Last>(Ed.)</b:Last>
            <b:First>Prof.</b:First>
            <b:Middle>Leonid A. Kosyachenko</b:Middle>
          </b:Person>
        </b:NameList>
      </b:BookAuthor>
    </b:Author>
    <b:Title>Photons as working body of solar engines</b:Title>
    <b:Year>2011</b:Year>
    <b:City>ISBN: 978-953-307-761-1</b:City>
    <b:Publisher>Intechopen</b:Publisher>
    <b:BookTitle>Solar cells - New aspects and solutions</b:BookTitle>
    <b:RefOrder>745</b:RefOrder>
  </b:Source>
  <b:Source>
    <b:Tag>Däl14</b:Tag>
    <b:SourceType>ConferenceProceedings</b:SourceType>
    <b:Guid>{60E04D54-0C15-46CE-8B58-20ACC89A80BC}</b:Guid>
    <b:Author>
      <b:Author>
        <b:NameList>
          <b:Person>
            <b:Last>Dälken</b:Last>
            <b:First>F.</b:First>
          </b:Person>
        </b:NameList>
      </b:Author>
    </b:Author>
    <b:Title>Are Poter's Five Competitive Forces still applicable? A critical examination concerning the relevance for today's business</b:Title>
    <b:Year>2014</b:Year>
    <b:Pages>1-9</b:Pages>
    <b:City>Enschede, The Netherlands</b:City>
    <b:Publisher>University of Twente</b:Publisher>
    <b:ConferenceName>3rd IBA Bachelor Thesis Conference</b:ConferenceName>
    <b:RefOrder>746</b:RefOrder>
  </b:Source>
  <b:Source>
    <b:Tag>KNB</b:Tag>
    <b:SourceType>Book</b:SourceType>
    <b:Guid>{80BF079E-106D-0048-A609-31118CD3493D}</b:Guid>
    <b:Author>
      <b:Author>
        <b:Corporate>KNBS and CID</b:Corporate>
      </b:Author>
    </b:Author>
    <b:Title>Exploring Kenya's inequality: Pulling apart or pooling together - Busia County</b:Title>
    <b:City>Nairobi</b:City>
    <b:CountryRegion>Kenya</b:CountryRegion>
    <b:Publisher>Kenya National Bureau of Statistics &amp; Society for International Development</b:Publisher>
    <b:Year>2013</b:Year>
    <b:Pages>1-75</b:Pages>
    <b:RefOrder>747</b:RefOrder>
  </b:Source>
  <b:Source>
    <b:Tag>UND031</b:Tag>
    <b:SourceType>InternetSite</b:SourceType>
    <b:Guid>{1CD50F19-B78C-EA40-B343-56EE29B45614}</b:Guid>
    <b:Title>Kenya - Busia district: NGO/CBO activity in flood-affected regions</b:Title>
    <b:Year>2003</b:Year>
    <b:Month>May</b:Month>
    <b:Day>19</b:Day>
    <b:Author>
      <b:Author>
        <b:Corporate>UNDP &amp; OCHA</b:Corporate>
      </b:Author>
    </b:Author>
    <b:InternetSiteTitle>Reliefweb</b:InternetSiteTitle>
    <b:URL>https://reliefweb.int/map/kenya/kenya-busia-district-ngocbo-activity-flood-affected-regions</b:URL>
    <b:YearAccessed>2019</b:YearAccessed>
    <b:MonthAccessed>January</b:MonthAccessed>
    <b:DayAccessed>07</b:DayAccessed>
    <b:RefOrder>748</b:RefOrder>
  </b:Source>
  <b:Source>
    <b:Tag>Szu19</b:Tag>
    <b:SourceType>JournalArticle</b:SourceType>
    <b:Guid>{847FBEAC-C798-764B-9B41-6BEBA8A5C716}</b:Guid>
    <b:Author>
      <b:Author>
        <b:NameList>
          <b:Person>
            <b:Last>Szulecka</b:Last>
            <b:First>J.</b:First>
          </b:Person>
        </b:NameList>
      </b:Author>
    </b:Author>
    <b:Title>Towards Sustainable Wood-based Energy: Evaluation and Strategies for Mainstreaming Sustainability in the Sector</b:Title>
    <b:Year>2019</b:Year>
    <b:StandardNumber>doi:10.3390/su11020493</b:StandardNumber>
    <b:JournalName>Sustainability</b:JournalName>
    <b:Volume>11</b:Volume>
    <b:Issue>493</b:Issue>
    <b:RefOrder>1</b:RefOrder>
  </b:Source>
  <b:Source>
    <b:Tag>Liy14</b:Tag>
    <b:SourceType>JournalArticle</b:SourceType>
    <b:Guid>{F671959E-4A8C-904C-B0BC-065BD16CE7BF}</b:Guid>
    <b:Author>
      <b:Author>
        <b:NameList>
          <b:Person>
            <b:Last>Liyama</b:Last>
            <b:First>M.</b:First>
          </b:Person>
          <b:Person>
            <b:Last>Neufeldt</b:Last>
            <b:First>H.</b:First>
          </b:Person>
          <b:Person>
            <b:Last>Dobie</b:Last>
            <b:First>P.</b:First>
          </b:Person>
          <b:Person>
            <b:Last>Njenga</b:Last>
            <b:First>M.</b:First>
          </b:Person>
          <b:Person>
            <b:Last>Ndegwa</b:Last>
            <b:First>G.</b:First>
          </b:Person>
          <b:Person>
            <b:Last>Jamnadass</b:Last>
            <b:First>R.</b:First>
          </b:Person>
        </b:NameList>
      </b:Author>
    </b:Author>
    <b:Title>The Potential of Agroforestry in the Provision of Sustainable Woodfuel in Sub-Saharan Africa</b:Title>
    <b:JournalName>Current Opinion in Environmental Sustainability</b:JournalName>
    <b:Year>2014</b:Year>
    <b:Volume>6</b:Volume>
    <b:Pages>138-147</b:Pages>
    <b:RefOrder>749</b:RefOrder>
  </b:Source>
  <b:Source>
    <b:Tag>Lel13</b:Tag>
    <b:SourceType>ConferenceProceedings</b:SourceType>
    <b:Guid>{61AEE4D5-E3CE-F946-A25C-94DB14A56A44}</b:Guid>
    <b:Title>Changing Roles of Forests and their Cross-Sectional Linkages in the Course of Economic Development - Working Paper 2</b:Title>
    <b:Publisher>https://www.un.org</b:Publisher>
    <b:Year>2013</b:Year>
    <b:Comments>Tenth Session, 8-19 April, 2013, Istanbul, Turkey</b:Comments>
    <b:Author>
      <b:Author>
        <b:NameList>
          <b:Person>
            <b:Last>Lele</b:Last>
            <b:First>U.</b:First>
          </b:Person>
          <b:Person>
            <b:Last>Karsentry</b:Last>
            <b:First>A.</b:First>
          </b:Person>
          <b:Person>
            <b:Last>Benson</b:Last>
            <b:First>C.</b:First>
          </b:Person>
          <b:Person>
            <b:Last>Fétiveau</b:Last>
            <b:First>J.</b:First>
          </b:Person>
          <b:Person>
            <b:Last>Agarwal</b:Last>
            <b:First>M.</b:First>
          </b:Person>
          <b:Person>
            <b:Last>Goswami</b:Last>
            <b:First>S.</b:First>
          </b:Person>
        </b:NameList>
      </b:Author>
    </b:Author>
    <b:ConferenceName>United Nations Forum on Forests</b:ConferenceName>
    <b:RefOrder>750</b:RefOrder>
  </b:Source>
  <b:Source>
    <b:Tag>Nde111</b:Tag>
    <b:SourceType>JournalArticle</b:SourceType>
    <b:Guid>{1EAC8035-8BB0-5A44-834F-CD08A7E934B5}</b:Guid>
    <b:Title>Woodfuels in Kenya and Rwanda: Powering and Driving the Economy of the Rural Areas</b:Title>
    <b:Volume>18</b:Volume>
    <b:Year>2011</b:Year>
    <b:Pages>26-30</b:Pages>
    <b:Author>
      <b:Author>
        <b:NameList>
          <b:Person>
            <b:Last>Ndegwa</b:Last>
            <b:First>G.</b:First>
          </b:Person>
          <b:Person>
            <b:Last>Breker</b:Last>
            <b:First>T.</b:First>
          </b:Person>
          <b:Person>
            <b:Last>Hamhaber</b:Last>
            <b:First>J.</b:First>
          </b:Person>
        </b:NameList>
      </b:Author>
    </b:Author>
    <b:JournalName>Rural21</b:JournalName>
    <b:RefOrder>751</b:RefOrder>
  </b:Source>
  <b:Source>
    <b:Tag>Cap151</b:Tag>
    <b:SourceType>InternetSite</b:SourceType>
    <b:Guid>{B5F17D71-3F5C-634E-A692-551012F0BAAF}</b:Guid>
    <b:Title>Study: Kenya loses 5.6 million trees daily</b:Title>
    <b:Year>2015</b:Year>
    <b:Month>March</b:Month>
    <b:Day>26</b:Day>
    <b:Author>
      <b:Author>
        <b:Corporate>CapitalNews</b:Corporate>
      </b:Author>
    </b:Author>
    <b:InternetSiteTitle>http://www.capitalfm.co.ke</b:InternetSiteTitle>
    <b:URL>http://www.capitalfm.co.ke/news/2015/03/study-kenya-loses-5-6-million-trees-daily</b:URL>
    <b:YearAccessed>2019</b:YearAccessed>
    <b:MonthAccessed>June</b:MonthAccessed>
    <b:DayAccessed>15</b:DayAccessed>
    <b:RefOrder>2</b:RefOrder>
  </b:Source>
  <b:Source>
    <b:Tag>Yos</b:Tag>
    <b:SourceType>Report</b:SourceType>
    <b:Guid>{2D502185-637A-F34E-A1DE-99D61C15D497}</b:Guid>
    <b:Title>Investing in Our Future: The Evidence Base on Preschool Education</b:Title>
    <b:Author>
      <b:Author>
        <b:NameList>
          <b:Person>
            <b:Last>Yoshikawa</b:Last>
            <b:First>H.</b:First>
          </b:Person>
          <b:Person>
            <b:Last>Weiland</b:Last>
            <b:First>C.</b:First>
          </b:Person>
          <b:Person>
            <b:Last>Brooks-Gonn</b:Last>
            <b:First>J.</b:First>
          </b:Person>
          <b:Person>
            <b:Last>Burchinal</b:Last>
            <b:First>M.</b:First>
          </b:Person>
          <b:Person>
            <b:Last>Espinosa</b:Last>
            <b:First>L.</b:First>
          </b:Person>
          <b:Person>
            <b:Last>Gormley</b:Last>
            <b:First>W.</b:First>
          </b:Person>
          <b:Person>
            <b:Last>Ludwig</b:Last>
            <b:First>J.</b:First>
          </b:Person>
          <b:Person>
            <b:Last>Magnuson</b:Last>
            <b:First>K.</b:First>
          </b:Person>
          <b:Person>
            <b:Last>Phillips</b:Last>
            <b:First>D.</b:First>
          </b:Person>
          <b:Person>
            <b:Last>Zaslow</b:Last>
            <b:First>M.</b:First>
          </b:Person>
        </b:NameList>
      </b:Author>
    </b:Author>
    <b:Institution>Society for Research in Child Development</b:Institution>
    <b:Pages>1-21</b:Pages>
    <b:RefOrder>752</b:RefOrder>
  </b:Source>
  <b:Source>
    <b:Tag>Cen07</b:Tag>
    <b:SourceType>DocumentFromInternetSite</b:SourceType>
    <b:Guid>{8460AED0-57FF-AC44-9C2F-64FBEDDEB6C3}</b:Guid>
    <b:Title>The Science of Early Childhood Development (InBrief)</b:Title>
    <b:Year>2007</b:Year>
    <b:Author>
      <b:Author>
        <b:Corporate>Center on Developing Child</b:Corporate>
      </b:Author>
    </b:Author>
    <b:InternetSiteTitle>www.developingchild.harvard.edu</b:InternetSiteTitle>
    <b:URL>https://developingchild.harvard.edu/resources/inbrief-science-of-ecd/</b:URL>
    <b:YearAccessed>2019</b:YearAccessed>
    <b:MonthAccessed>June</b:MonthAccessed>
    <b:DayAccessed>27</b:DayAccessed>
    <b:RefOrder>4</b:RefOrder>
  </b:Source>
  <b:Source>
    <b:Tag>Nel</b:Tag>
    <b:SourceType>BookSection</b:SourceType>
    <b:Guid>{CCF26AB1-F498-2741-9F4F-74AA1C3BC55E}</b:Guid>
    <b:Title>The Neurological Bases of Early Intervention</b:Title>
    <b:Author>
      <b:Author>
        <b:NameList>
          <b:Person>
            <b:Last>Nelson</b:Last>
            <b:First>C.</b:First>
          </b:Person>
        </b:NameList>
      </b:Author>
      <b:BookAuthor>
        <b:NameList>
          <b:Person>
            <b:Last>(Eds.)</b:Last>
            <b:First>J.P.</b:First>
            <b:Middle>Shonkoff &amp; S.J. Meisels</b:Middle>
          </b:Person>
        </b:NameList>
      </b:BookAuthor>
    </b:Author>
    <b:BookTitle>Handbook of Early Childhood Intervention (2nd ed.)</b:BookTitle>
    <b:City>Cambridge</b:City>
    <b:Publisher>MA: Cambridge University Press</b:Publisher>
    <b:Pages>204-228</b:Pages>
    <b:Year>2000</b:Year>
    <b:RefOrder>753</b:RefOrder>
  </b:Source>
  <b:Source>
    <b:Tag>Rad04</b:Tag>
    <b:SourceType>JournalArticle</b:SourceType>
    <b:Guid>{A1477063-C4D0-E044-94CA-3EEF6580A15B}</b:Guid>
    <b:Title>Chronic Behavioural Stress Induces Apical Dendritic Reorganization in Pyramidal Neurons of the Medial Prefrontal Cortex</b:Title>
    <b:Year>2004</b:Year>
    <b:Volume>125</b:Volume>
    <b:Pages>1-6</b:Pages>
    <b:Author>
      <b:Author>
        <b:NameList>
          <b:Person>
            <b:Last>Radley</b:Last>
            <b:First>J.</b:First>
          </b:Person>
          <b:Person>
            <b:Last>Sisti</b:Last>
            <b:First>H.</b:First>
          </b:Person>
          <b:Person>
            <b:Last>Hao</b:Last>
            <b:First>J.</b:First>
          </b:Person>
          <b:Person>
            <b:Last>Rochier</b:Last>
            <b:First>A.</b:First>
          </b:Person>
          <b:Person>
            <b:Last>McCall</b:Last>
            <b:First>T.</b:First>
          </b:Person>
          <b:Person>
            <b:Last>Hof</b:Last>
            <b:First>P.</b:First>
          </b:Person>
          <b:Person>
            <b:Last>McEwen</b:Last>
            <b:First>B.</b:First>
          </b:Person>
          <b:Person>
            <b:Last>Morrison</b:Last>
            <b:First>J.</b:First>
          </b:Person>
        </b:NameList>
      </b:Author>
    </b:Author>
    <b:JournalName>Neuroscience</b:JournalName>
    <b:RefOrder>754</b:RefOrder>
  </b:Source>
  <b:Source>
    <b:Tag>Boc05</b:Tag>
    <b:SourceType>JournalArticle</b:SourceType>
    <b:Guid>{8575B314-0C91-AA41-9C9B-53169F5D7E84}</b:Guid>
    <b:Author>
      <b:Author>
        <b:NameList>
          <b:Person>
            <b:Last>Bock</b:Last>
            <b:First>G.</b:First>
          </b:Person>
          <b:Person>
            <b:Last>Zmud</b:Last>
            <b:First>R.</b:First>
          </b:Person>
          <b:Person>
            <b:Last>Kim</b:Last>
            <b:First>Y.</b:First>
          </b:Person>
          <b:Person>
            <b:Last>Lee</b:Last>
            <b:First>J.</b:First>
          </b:Person>
        </b:NameList>
      </b:Author>
    </b:Author>
    <b:Title>Behavioural Intention Formation in Knowledge Sharing: Examining the Roles of Extrinsic Motivators, Social-Psuchological Forces, and Organizational Climate</b:Title>
    <b:JournalName>Management Information Systems (MIS) Quarterly</b:JournalName>
    <b:Year>2005</b:Year>
    <b:Volume>29</b:Volume>
    <b:Issue>1</b:Issue>
    <b:RefOrder>755</b:RefOrder>
  </b:Source>
  <b:Source>
    <b:Tag>Uwe</b:Tag>
    <b:SourceType>Report</b:SourceType>
    <b:Guid>{E4136CB2-909E-0C4A-8666-4AEC3346C452}</b:Guid>
    <b:Title>Kenya National Learning Assessment Report, 2010</b:Title>
    <b:Publisher>Uwezo</b:Publisher>
    <b:City>Nairobi, Kenya</b:City>
    <b:Author>
      <b:Author>
        <b:Corporate>Uwezo</b:Corporate>
      </b:Author>
    </b:Author>
    <b:Year>2010</b:Year>
    <b:RefOrder>756</b:RefOrder>
  </b:Source>
  <b:Source>
    <b:Tag>Gle11</b:Tag>
    <b:SourceType>DocumentFromInternetSite</b:SourceType>
    <b:Guid>{C0F8157F-B06E-E740-A0FF-8E4CBCC6E8E3}</b:Guid>
    <b:Title>Access and Quality in the Kenyan Education System: A Review of the Progress, Challenges, and Potential Solutions</b:Title>
    <b:Year>2011</b:Year>
    <b:Author>
      <b:Author>
        <b:NameList>
          <b:Person>
            <b:Last>Glennerster</b:Last>
            <b:First>R.</b:First>
          </b:Person>
          <b:Person>
            <b:Last>Kremer</b:Last>
            <b:First>M.</b:First>
          </b:Person>
          <b:Person>
            <b:Last>Mbiti</b:Last>
            <b:First>I.</b:First>
          </b:Person>
          <b:Person>
            <b:Last>Takavarasha</b:Last>
            <b:First>K.</b:First>
          </b:Person>
        </b:NameList>
      </b:Author>
    </b:Author>
    <b:InternetSiteTitle>https://www.povertyactionlab.org</b:InternetSiteTitle>
    <b:URL>https://www.povertyactionlab.org/sites/default/files/publications/Access%20and%20Quality%20in%20the%20Kenyan%20Education%20System%202011.06.22.pdf</b:URL>
    <b:YearAccessed>2019</b:YearAccessed>
    <b:MonthAccessed>June</b:MonthAccessed>
    <b:DayAccessed>29</b:DayAccessed>
    <b:RefOrder>757</b:RefOrder>
  </b:Source>
  <b:Source>
    <b:Tag>Lan15</b:Tag>
    <b:SourceType>DocumentFromInternetSite</b:SourceType>
    <b:Guid>{52B2546F-CE34-B645-B508-44846ACB15F4}</b:Guid>
    <b:Author>
      <b:Author>
        <b:NameList>
          <b:Person>
            <b:Last>Langford</b:Last>
            <b:First>B.</b:First>
          </b:Person>
          <b:Person>
            <b:Last>Badeaus</b:Last>
            <b:First>S.</b:First>
          </b:Person>
          <b:Person>
            <b:Last>Legters</b:Last>
            <b:First>L.</b:First>
          </b:Person>
        </b:NameList>
      </b:Author>
    </b:Author>
    <b:Title>Investing to Improve the Well-Being of Vulnerable Youth Adults: Recommendations for Policy and Practice</b:Title>
    <b:InternetSiteTitle>http://www.ytfg.org</b:InternetSiteTitle>
    <b:URL>http://www.ytfg.org/2015/12/wellbeing/.  [Google Scholar]</b:URL>
    <b:Year>2015</b:Year>
    <b:YearAccessed>2019</b:YearAccessed>
    <b:MonthAccessed>June</b:MonthAccessed>
    <b:DayAccessed>29</b:DayAccessed>
    <b:RefOrder>758</b:RefOrder>
  </b:Source>
  <b:Source>
    <b:Tag>WHO93</b:Tag>
    <b:SourceType>Report</b:SourceType>
    <b:Guid>{0E481548-C771-8E4F-B779-B46230684F0F}</b:Guid>
    <b:Title>Life Skills Education in Schools (WHO/MNH/PSF/93. A Rev. 1) </b:Title>
    <b:Publisher>World Health Organization - WHO</b:Publisher>
    <b:City>Geneva</b:City>
    <b:Year>1993</b:Year>
    <b:Author>
      <b:Author>
        <b:Corporate>WHO</b:Corporate>
      </b:Author>
    </b:Author>
    <b:RefOrder>5</b:RefOrder>
  </b:Source>
  <b:Source>
    <b:Tag>Eva09</b:Tag>
    <b:SourceType>DocumentFromInternetSite</b:SourceType>
    <b:Guid>{899EF3B3-A624-E74F-BA66-62F44F33617F}</b:Guid>
    <b:Title>The Impact of Distributing School Uniforms on Children's Education in Kenya</b:Title>
    <b:Year>2009</b:Year>
    <b:Author>
      <b:Author>
        <b:NameList>
          <b:Person>
            <b:Last>Evans</b:Last>
            <b:First>D.</b:First>
          </b:Person>
          <b:Person>
            <b:Last>Kremer</b:Last>
            <b:First>M.</b:First>
          </b:Person>
          <b:Person>
            <b:Last>Ngatia</b:Last>
            <b:First>M.</b:First>
          </b:Person>
        </b:NameList>
      </b:Author>
    </b:Author>
    <b:InternetSiteTitle>https://www.povertyactionlab.org</b:InternetSiteTitle>
    <b:URL>https://www.povertyactionlab.org/sites/default/files/publications/The%20Impact%20of%20Distributing%20School%20Uniforms.pdf</b:URL>
    <b:YearAccessed>2019</b:YearAccessed>
    <b:MonthAccessed>June</b:MonthAccessed>
    <b:DayAccessed>19</b:DayAccessed>
    <b:RefOrder>759</b:RefOrder>
  </b:Source>
  <b:Source>
    <b:Tag>Kre02</b:Tag>
    <b:SourceType>DocumentFromInternetSite</b:SourceType>
    <b:Guid>{D692A539-F991-D44D-867A-6D5ABC9103FA}</b:Guid>
    <b:Author>
      <b:Author>
        <b:NameList>
          <b:Person>
            <b:Last>Kremer</b:Last>
            <b:First>M.</b:First>
          </b:Person>
          <b:Person>
            <b:Last>Sylvie</b:Last>
            <b:First>M.</b:First>
          </b:Person>
          <b:Person>
            <b:Last>Namunyu</b:Last>
            <b:First>R.</b:First>
          </b:Person>
        </b:NameList>
      </b:Author>
    </b:Author>
    <b:Title>The Political Economy of School Finance in Kenya</b:Title>
    <b:InternetSiteTitle>https://www.semanticscholar.org</b:InternetSiteTitle>
    <b:URL>https://www.semanticscholar.org/paper/The-Political-Economy-of-School-Finance-in-Kenya-Kremer-Moulin/f30fb838a025e4e17ae139582fd457974623c6e9</b:URL>
    <b:Year>2002</b:Year>
    <b:YearAccessed>2019</b:YearAccessed>
    <b:MonthAccessed>June</b:MonthAccessed>
    <b:DayAccessed>29</b:DayAccessed>
    <b:RefOrder>760</b:RefOrder>
  </b:Source>
  <b:Source>
    <b:Tag>Nas17</b:Tag>
    <b:SourceType>JournalArticle</b:SourceType>
    <b:Guid>{8E614B1E-5B37-3F43-8004-BE947CF12C2C}</b:Guid>
    <b:Title>Remedial Learning Programme for the Academically Backward Children</b:Title>
    <b:Year>2017</b:Year>
    <b:Author>
      <b:Author>
        <b:NameList>
          <b:Person>
            <b:Last>Nasreenbanu</b:Last>
            <b:First>A.</b:First>
          </b:Person>
          <b:Person>
            <b:Last>Yashoda</b:Last>
            <b:First>K.</b:First>
          </b:Person>
        </b:NameList>
      </b:Author>
    </b:Author>
    <b:JournalName>International Journal of Educational Science and Research</b:JournalName>
    <b:Volume>7</b:Volume>
    <b:Issue>2</b:Issue>
    <b:Pages>69-82</b:Pages>
    <b:RefOrder>761</b:RefOrder>
  </b:Source>
  <b:Source>
    <b:Tag>Fer07</b:Tag>
    <b:SourceType>JournalArticle</b:SourceType>
    <b:Guid>{1BFCEDF9-1EB5-224E-AE2C-893E1FBA7BFE}</b:Guid>
    <b:Author>
      <b:Author>
        <b:NameList>
          <b:Person>
            <b:Last>Ferguson</b:Last>
            <b:First>H.</b:First>
          </b:Person>
          <b:Person>
            <b:Last>Bovairds</b:Last>
            <b:First>S.</b:First>
          </b:Person>
          <b:Person>
            <b:Last>Mueller</b:Last>
            <b:First>M.</b:First>
          </b:Person>
        </b:NameList>
      </b:Author>
    </b:Author>
    <b:Title>The Impact of Poverty on Educational Outcomes for Children</b:Title>
    <b:JournalName>Paediatrics Child Health</b:JournalName>
    <b:Year>2007</b:Year>
    <b:Volume>12</b:Volume>
    <b:Issue>8</b:Issue>
    <b:Pages>701-706</b:Pages>
    <b:RefOrder>762</b:RefOrder>
  </b:Source>
  <b:Source>
    <b:Tag>Tho07</b:Tag>
    <b:SourceType>DocumentFromInternetSite</b:SourceType>
    <b:Guid>{C5076C1F-7F65-4045-BB76-FDEBB2887C8F}</b:Guid>
    <b:Title>Readiness to Learn at School among Five-Year-Old Children in Canada</b:Title>
    <b:Year>2007</b:Year>
    <b:Month>September</b:Month>
    <b:Day>10</b:Day>
    <b:Author>
      <b:Author>
        <b:NameList>
          <b:Person>
            <b:Last>Thomas</b:Last>
            <b:First>E.</b:First>
          </b:Person>
        </b:NameList>
      </b:Author>
    </b:Author>
    <b:InternetSiteTitle>http://www.statcan.ca</b:InternetSiteTitle>
    <b:URL>http://www.statcan.ca/english/research/89-599-MIE/89-599-MIE2006004.pdf&gt; </b:URL>
    <b:YearAccessed>2019</b:YearAccessed>
    <b:MonthAccessed>June</b:MonthAccessed>
    <b:DayAccessed>29</b:DayAccessed>
    <b:RefOrder>763</b:RefOrder>
  </b:Source>
  <b:Source>
    <b:Tag>Jan07</b:Tag>
    <b:SourceType>DocumentFromInternetSite</b:SourceType>
    <b:Guid>{44B66585-2F08-C743-8BE4-7A310BE27A4F}</b:Guid>
    <b:Author>
      <b:Author>
        <b:NameList>
          <b:Person>
            <b:Last>Janus</b:Last>
            <b:First>M.</b:First>
          </b:Person>
          <b:Person>
            <b:Last>Walsh</b:Last>
            <b:First>C.</b:First>
          </b:Person>
          <b:Person>
            <b:Last>Viverios</b:Last>
            <b:First>H.</b:First>
          </b:Person>
          <b:Person>
            <b:Last>Duku</b:Last>
            <b:First>E.</b:First>
          </b:Person>
          <b:Person>
            <b:Last>Oxford</b:Last>
            <b:First>D.</b:First>
          </b:Person>
        </b:NameList>
      </b:Author>
    </b:Author>
    <b:Title>School Readiness to Learn and Neighbourhood Characteristics</b:Title>
    <b:InternetSiteTitle> http://offordcentre.com</b:InternetSiteTitle>
    <b:URL> http://offordcentre.com/readiness/files/PUB.2.2003_Janus-Walsh.pdf</b:URL>
    <b:Year>2007</b:Year>
    <b:Month>September</b:Month>
    <b:Day>10</b:Day>
    <b:YearAccessed>2019</b:YearAccessed>
    <b:MonthAccessed>June</b:MonthAccessed>
    <b:DayAccessed>29</b:DayAccessed>
    <b:RefOrder>764</b:RefOrder>
  </b:Source>
  <b:Source>
    <b:Tag>Wil071</b:Tag>
    <b:SourceType>DocumentFromInternetSite</b:SourceType>
    <b:Guid>{724BB875-5B4B-8B41-A90C-BB12E611D550}</b:Guid>
    <b:Author>
      <b:Author>
        <b:NameList>
          <b:Person>
            <b:Last>Willms</b:Last>
            <b:First>J.</b:First>
          </b:Person>
        </b:NameList>
      </b:Author>
    </b:Author>
    <b:Title>Ten Hypotheses about Socioeconomic Gradients and Community Differences in Children's Developmental Outcomes</b:Title>
    <b:InternetSiteTitle>http://www.hrsdc.gc.ca</b:InternetSiteTitle>
    <b:URL>http://www.hrsdc.gc.ca/en/cs/sp/sdc/pkrf/publications/research/2003#001272/page00.shtml</b:URL>
    <b:Year>2007</b:Year>
    <b:Month>September</b:Month>
    <b:Day>10</b:Day>
    <b:YearAccessed>2019</b:YearAccessed>
    <b:MonthAccessed>June</b:MonthAccessed>
    <b:DayAccessed>29</b:DayAccessed>
    <b:RefOrder>765</b:RefOrder>
  </b:Source>
  <b:Source>
    <b:Tag>Cas15</b:Tag>
    <b:SourceType>DocumentFromInternetSite</b:SourceType>
    <b:Guid>{73C15E63-CFC1-A14E-906D-65AB2F63CB14}</b:Guid>
    <b:Author>
      <b:Author>
        <b:NameList>
          <b:Person>
            <b:Last>Cassie</b:Last>
            <b:First>S.</b:First>
          </b:Person>
        </b:NameList>
      </b:Author>
    </b:Author>
    <b:Title>Debate: Should Scholarships by Given on Merit or Need?</b:Title>
    <b:InternetSiteTitle>https://www.newtimes.co.rw</b:InternetSiteTitle>
    <b:URL>https://www.newtimes.co.rw/section/read/190686</b:URL>
    <b:Year>2015</b:Year>
    <b:Month>July</b:Month>
    <b:Day>17</b:Day>
    <b:YearAccessed>2019</b:YearAccessed>
    <b:MonthAccessed>June</b:MonthAccessed>
    <b:DayAccessed>29</b:DayAccessed>
    <b:RefOrder>766</b:RefOrder>
  </b:Source>
  <b:Source>
    <b:Tag>Dav18</b:Tag>
    <b:SourceType>DocumentFromInternetSite</b:SourceType>
    <b:Guid>{1460D8E9-0A9E-FC47-8403-2FB81422BAFF}</b:Guid>
    <b:Author>
      <b:Author>
        <b:NameList>
          <b:Person>
            <b:Last>David</b:Last>
            <b:First>E.</b:First>
          </b:Person>
        </b:NameList>
      </b:Author>
    </b:Author>
    <b:Title>The Power of a Label: Merit Scholarships vs Needs-Based Scholarships</b:Title>
    <b:InternetSiteTitle>https://blogs.worldbank.org</b:InternetSiteTitle>
    <b:URL>https://blogs.worldbank.org/developmenttalk/power-label-merit-scholarships-vs-needs-based-scholarships</b:URL>
    <b:Year>2018</b:Year>
    <b:Month>September</b:Month>
    <b:Day>17</b:Day>
    <b:YearAccessed>2019</b:YearAccessed>
    <b:MonthAccessed>June</b:MonthAccessed>
    <b:DayAccessed>29</b:DayAccessed>
    <b:RefOrder>767</b:RefOrder>
  </b:Source>
  <b:Source>
    <b:Tag>UNW13</b:Tag>
    <b:SourceType>DocumentFromInternetSite</b:SourceType>
    <b:Guid>{FADD7CA8-5DB9-0B42-8167-07C97C98A306}</b:Guid>
    <b:Author>
      <b:Author>
        <b:Corporate>UN Women</b:Corporate>
      </b:Author>
    </b:Author>
    <b:Title>Life Skills Programmes for Children and Adolescents</b:Title>
    <b:InternetSiteTitle>http://www.endvawnow.org</b:InternetSiteTitle>
    <b:URL>http://www.endvawnow.org/en/articles/1694-life-skills-programmes-for-children-and-adolescents.html</b:URL>
    <b:Year>2013</b:Year>
    <b:Month>December</b:Month>
    <b:Day>13</b:Day>
    <b:YearAccessed>2019</b:YearAccessed>
    <b:MonthAccessed>June</b:MonthAccessed>
    <b:DayAccessed>29</b:DayAccessed>
    <b:RefOrder>768</b:RefOrder>
  </b:Source>
  <b:Source>
    <b:Tag>Tei17</b:Tag>
    <b:SourceType>DocumentFromInternetSite</b:SourceType>
    <b:Guid>{7A5D52B9-4624-2441-A705-E50C0EF7A407}</b:Guid>
    <b:Author>
      <b:Author>
        <b:NameList>
          <b:Person>
            <b:Last>Teixeira</b:Last>
            <b:First>J.</b:First>
          </b:Person>
          <b:Person>
            <b:Last>Amoroso</b:Last>
            <b:First>J.</b:First>
          </b:Person>
          <b:Person>
            <b:Last>Gresham</b:Last>
            <b:First>J.</b:First>
          </b:Person>
        </b:NameList>
      </b:Author>
    </b:Author>
    <b:Title>Why Education Infrastructure Matters for Learning</b:Title>
    <b:InternetSiteTitle>https://blogs.worldbank.org</b:InternetSiteTitle>
    <b:URL>https://blogs.worldbank.org/education/why-education-infrastructure-matters-learning</b:URL>
    <b:Year>2017</b:Year>
    <b:Month>October</b:Month>
    <b:Day>03</b:Day>
    <b:YearAccessed>2019</b:YearAccessed>
    <b:MonthAccessed>June</b:MonthAccessed>
    <b:DayAccessed>30</b:DayAccessed>
    <b:RefOrder>769</b:RefOrder>
  </b:Source>
  <b:Source>
    <b:Tag>Edued</b:Tag>
    <b:SourceType>DocumentFromInternetSite</b:SourceType>
    <b:Guid>{635E52C2-A91E-F749-B45A-366E6B05F621}</b:Guid>
    <b:Author>
      <b:Author>
        <b:Corporate>Educate a Child</b:Corporate>
      </b:Author>
    </b:Author>
    <b:Title>Barrier: Infrastructure</b:Title>
    <b:InternetSiteTitle>https://educateachild.org</b:InternetSiteTitle>
    <b:URL>https://educateachild.org/explore/barriers-to-education/infrastructure</b:URL>
    <b:Year>Undated</b:Year>
    <b:YearAccessed>2019</b:YearAccessed>
    <b:MonthAccessed>June</b:MonthAccessed>
    <b:DayAccessed>30</b:DayAccessed>
    <b:RefOrder>770</b:RefOrder>
  </b:Source>
  <b:Source>
    <b:Tag>UNI121</b:Tag>
    <b:SourceType>ConferenceProceedings</b:SourceType>
    <b:Guid>{D25839AC-539D-D448-8E33-8BF079B2EF19}</b:Guid>
    <b:Title>WASH in Schools Empower Girls' Education</b:Title>
    <b:Year>2012</b:Year>
    <b:Author>
      <b:Author>
        <b:Corporate>UNICEF</b:Corporate>
      </b:Author>
    </b:Author>
    <b:ConferenceName>The Menstrual Hygiene Management in Schools Virtual Conference</b:ConferenceName>
    <b:RefOrder>771</b:RefOrder>
  </b:Source>
  <b:Source>
    <b:Tag>Glo16</b:Tag>
    <b:SourceType>Report</b:SourceType>
    <b:Guid>{8DC3EF73-993F-6B41-9821-E865BC084C18}</b:Guid>
    <b:Title>Education for People and Planet: Creating Sustainable Futures for All, Global Education Monitoring Report, 2016</b:Title>
    <b:Publisher>UNESDOC Digital Library</b:Publisher>
    <b:Year>2016</b:Year>
    <b:Author>
      <b:Author>
        <b:Corporate>Global Education Monitoring Report Team, UNESCO Director-General, Sachs</b:Corporate>
      </b:Author>
    </b:Author>
    <b:RefOrder>772</b:RefOrder>
  </b:Source>
  <b:Source>
    <b:Tag>Tan131</b:Tag>
    <b:SourceType>DocumentFromInternetSite</b:SourceType>
    <b:Guid>{4ED4A98B-B077-C640-B1A8-F9AAB45D6981}</b:Guid>
    <b:Title>Thematic Study on Education and Gender Equality</b:Title>
    <b:Year>2013</b:Year>
    <b:Author>
      <b:Author>
        <b:NameList>
          <b:Person>
            <b:Last>Tanner</b:Last>
            <b:First>S.</b:First>
          </b:Person>
          <b:Person>
            <b:Last>Antonowicz</b:Last>
            <b:First>L.</b:First>
          </b:Person>
        </b:NameList>
      </b:Author>
    </b:Author>
    <b:InternetSiteTitle>http://www.ungei.org</b:InternetSiteTitle>
    <b:URL>http://www.ungei.org/resource_norad_thematic_study.pdf</b:URL>
    <b:Month>February</b:Month>
    <b:Day>05</b:Day>
    <b:YearAccessed>2019</b:YearAccessed>
    <b:MonthAccessed>June</b:MonthAccessed>
    <b:DayAccessed>30</b:DayAccessed>
    <b:RefOrder>773</b:RefOrder>
  </b:Source>
  <b:Source>
    <b:Tag>Cob17</b:Tag>
    <b:SourceType>DocumentFromInternetSite</b:SourceType>
    <b:Guid>{6DB5F121-D716-C649-A6A9-5C52474AEDAB}</b:Guid>
    <b:Author>
      <b:Author>
        <b:NameList>
          <b:Person>
            <b:Last>Coby</b:Last>
            <b:First>J.</b:First>
          </b:Person>
        </b:NameList>
      </b:Author>
    </b:Author>
    <b:Title>Every Day 41,000 Girls are Married Under the Age of 18 - A New World Bank Report Shows the Economic Impact of this Problem</b:Title>
    <b:InternetSiteTitle>https://www.undispatch.com</b:InternetSiteTitle>
    <b:URL>https://www.undispatch.com/every-day-41000-girls-married-age-18-new-world-bank-report-shows-economic-impact-problem/</b:URL>
    <b:Year>2017</b:Year>
    <b:Month>July</b:Month>
    <b:Day>12</b:Day>
    <b:YearAccessed>2019</b:YearAccessed>
    <b:MonthAccessed>June</b:MonthAccessed>
    <b:DayAccessed>30</b:DayAccessed>
    <b:RefOrder>774</b:RefOrder>
  </b:Source>
  <b:Source>
    <b:Tag>MoD13</b:Tag>
    <b:SourceType>JournalArticle</b:SourceType>
    <b:Guid>{BDBF58B3-AB79-804D-B4E7-6C8596B74023}</b:Guid>
    <b:Title>School Dropouts and Conditional Cash Transfers: Evidence from a Randomized Controlled Trial in China's Junior High Schools</b:Title>
    <b:Year>2013</b:Year>
    <b:Author>
      <b:Author>
        <b:NameList>
          <b:Person>
            <b:Last>Mo</b:Last>
            <b:First>D.</b:First>
          </b:Person>
          <b:Person>
            <b:Last>Zhang</b:Last>
            <b:First>L.</b:First>
          </b:Person>
          <b:Person>
            <b:Last>Yi</b:Last>
            <b:First>H.</b:First>
          </b:Person>
          <b:Person>
            <b:Last>Luo</b:Last>
            <b:First>R.</b:First>
          </b:Person>
          <b:Person>
            <b:Last>Rozelle</b:Last>
            <b:First>S.</b:First>
          </b:Person>
          <b:Person>
            <b:Last>Brinton</b:Last>
            <b:First>C.</b:First>
          </b:Person>
        </b:NameList>
      </b:Author>
    </b:Author>
    <b:JournalName>The Journal of Development Studies</b:JournalName>
    <b:Volume>49</b:Volume>
    <b:Issue>2</b:Issue>
    <b:Pages>190-207</b:Pages>
    <b:RefOrder>775</b:RefOrder>
  </b:Source>
  <b:Source>
    <b:Tag>Tao18</b:Tag>
    <b:SourceType>JournalArticle</b:SourceType>
    <b:Guid>{DD93ADAE-C965-4243-9E12-D717F2E48816}</b:Guid>
    <b:Author>
      <b:Author>
        <b:NameList>
          <b:Person>
            <b:Last>Tao</b:Last>
            <b:First>L.</b:First>
          </b:Person>
          <b:Person>
            <b:Last>Rong</b:Last>
            <b:First>H.</b:First>
          </b:Person>
          <b:Person>
            <b:Last>Zi</b:Last>
            <b:First>C.</b:First>
          </b:Person>
          <b:Person>
            <b:Last>Qiyuan</b:Last>
            <b:First>L.</b:First>
          </b:Person>
          <b:Person>
            <b:Last>Shouxiong</b:Last>
            <b:First>H.</b:First>
          </b:Person>
          <b:Person>
            <b:Last>Zhou</b:Last>
            <b:First>Z.</b:First>
          </b:Person>
          <b:Person>
            <b:Last>Lin-Fu</b:Last>
            <b:First>Z.</b:First>
          </b:Person>
        </b:NameList>
      </b:Author>
    </b:Author>
    <b:Title>Fine particulate matter (PM2.5): The culprit of chronic lung diseases in China</b:Title>
    <b:Year>2018</b:Year>
    <b:JournalName>Chronic Diseases and Translational Medicine</b:JournalName>
    <b:Volume>4</b:Volume>
    <b:Issue>3</b:Issue>
    <b:Pages>176-186</b:Pages>
    <b:RefOrder>3</b:RefOrder>
  </b:Source>
  <b:Source>
    <b:Tag>Gov18</b:Tag>
    <b:SourceType>Report</b:SourceType>
    <b:Guid>{C689ECDB-F280-3546-9D63-128B110704C7}</b:Guid>
    <b:Title>National Tourism Blueprint 2030</b:Title>
    <b:Year>2016</b:Year>
    <b:ShortTitle>NTB2030</b:ShortTitle>
    <b:Author>
      <b:Author>
        <b:Corporate>Government of Kenya</b:Corporate>
      </b:Author>
    </b:Author>
    <b:Institution>Ministry of Tourism</b:Institution>
    <b:Department>State Department of Tourism</b:Department>
    <b:Publisher>Ministry of Tourism</b:Publisher>
    <b:City>Nairobi</b:City>
    <b:RefOrder>8</b:RefOrder>
  </b:Source>
  <b:Source>
    <b:Tag>Aga16</b:Tag>
    <b:SourceType>InternetSite</b:SourceType>
    <b:Guid>{F30D9279-6670-A341-A11E-97BD0C6D341B}</b:Guid>
    <b:Title>The Kenya Youth Survey Report 2016</b:Title>
    <b:Year>2016</b:Year>
    <b:Author>
      <b:Author>
        <b:Corporate>Aga Khan University</b:Corporate>
      </b:Author>
      <b:ProducerName>
        <b:NameList>
          <b:Person>
            <b:Last>Institute</b:Last>
            <b:First>The</b:First>
            <b:Middle>East Africa</b:Middle>
          </b:Person>
        </b:NameList>
      </b:ProducerName>
    </b:Author>
    <b:InternetSiteTitle>The Kenya Youth Survey Report 2016</b:InternetSiteTitle>
    <b:URL>https://www.aku.edu/eai/Pages/kenya.aspx</b:URL>
    <b:YearAccessed>2019</b:YearAccessed>
    <b:MonthAccessed>September</b:MonthAccessed>
    <b:DayAccessed>27</b:DayAccessed>
    <b:RefOrder>6</b:RefOrder>
  </b:Source>
  <b:Source>
    <b:Tag>Wor16</b:Tag>
    <b:SourceType>Report</b:SourceType>
    <b:Guid>{E262F346-015F-FA45-A879-6B0838EC0FF1}</b:Guid>
    <b:Title>Youth Employment and Opportunities</b:Title>
    <b:Year>2016</b:Year>
    <b:Author>
      <b:Author>
        <b:Corporate>World Bank</b:Corporate>
      </b:Author>
    </b:Author>
    <b:Institution>The World Bank</b:Institution>
    <b:RefOrder>776</b:RefOrder>
  </b:Source>
  <b:Source>
    <b:Tag>Sal07</b:Tag>
    <b:SourceType>Report</b:SourceType>
    <b:Guid>{6490C568-A186-FE41-B29F-4B093D8BC7E5}</b:Guid>
    <b:Author>
      <b:Author>
        <b:NameList>
          <b:Person>
            <b:Last>Saleemul</b:Last>
            <b:First>H.</b:First>
          </b:Person>
          <b:Person>
            <b:Last>Hannah</b:Last>
            <b:First>R.</b:First>
          </b:Person>
        </b:NameList>
      </b:Author>
    </b:Author>
    <b:Title>A vital approach to the threat climate change poses to the poor</b:Title>
    <b:Institution>International Institute for Environment and Development (IIED)</b:Institution>
    <b:Publisher>IIED</b:Publisher>
    <b:Year>2007</b:Year>
    <b:RefOrder>7</b:RefOrder>
  </b:Source>
</b:Sources>
</file>

<file path=customXml/itemProps1.xml><?xml version="1.0" encoding="utf-8"?>
<ds:datastoreItem xmlns:ds="http://schemas.openxmlformats.org/officeDocument/2006/customXml" ds:itemID="{FB3CE97D-EF3E-488F-92B9-62F25B2DD20F}"/>
</file>

<file path=customXml/itemProps2.xml><?xml version="1.0" encoding="utf-8"?>
<ds:datastoreItem xmlns:ds="http://schemas.openxmlformats.org/officeDocument/2006/customXml" ds:itemID="{98010EA7-C671-6342-9A20-D1A03372D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3947</Words>
  <Characters>22501</Characters>
  <Application>Microsoft Macintosh Word</Application>
  <DocSecurity>0</DocSecurity>
  <Lines>187</Lines>
  <Paragraphs>52</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
      <vt:lpstr/>
      <vt:lpstr>DECLARATION</vt:lpstr>
      <vt:lpstr>ACKNOWLEDGMENT</vt:lpstr>
      <vt:lpstr/>
      <vt:lpstr>DEDICATION</vt:lpstr>
      <vt:lpstr>ABSTRACT</vt:lpstr>
      <vt:lpstr/>
      <vt:lpstr>TABLE OF CONTENTS</vt:lpstr>
      <vt:lpstr/>
      <vt:lpstr/>
      <vt:lpstr/>
      <vt:lpstr>ABBREVIATIONS AND ACRONYMS</vt:lpstr>
      <vt:lpstr/>
      <vt:lpstr/>
      <vt:lpstr>LIST OF SYMBOLS AND CHEMICAL FORMULAE</vt:lpstr>
      <vt:lpstr/>
      <vt:lpstr/>
      <vt:lpstr/>
      <vt:lpstr/>
      <vt:lpstr>LIST OF FIGURES</vt:lpstr>
      <vt:lpstr/>
      <vt:lpstr/>
      <vt:lpstr>LIST OF TABLES</vt:lpstr>
      <vt:lpstr/>
      <vt:lpstr/>
      <vt:lpstr>LIST OF APPENDICES</vt:lpstr>
      <vt:lpstr/>
      <vt:lpstr/>
      <vt:lpstr/>
      <vt:lpstr/>
      <vt:lpstr>DEFINITION OF OPERATIONAL CONCEPTS AND TERMS</vt:lpstr>
      <vt:lpstr>CHAPTER ONE: INTRODUCTION</vt:lpstr>
      <vt:lpstr>    </vt:lpstr>
      <vt:lpstr>    Contexts for the Low-Cost Climate-Smart Agenda </vt:lpstr>
      <vt:lpstr>        1.1.1 Background</vt:lpstr>
      <vt:lpstr>        /////////</vt:lpstr>
      <vt:lpstr>        1.1.2 Study Priority Thrusts </vt:lpstr>
      <vt:lpstr>    Problem Statement</vt:lpstr>
      <vt:lpstr>    Research Questions</vt:lpstr>
      <vt:lpstr>    Objectives of the Study</vt:lpstr>
      <vt:lpstr>        1.4.1 Overall Objective</vt:lpstr>
      <vt:lpstr>        1.4.2 Specific Objectives</vt:lpstr>
      <vt:lpstr>    Justification and Significance of the Study</vt:lpstr>
      <vt:lpstr>CHAPTER TWO: LITERATURE REVIEW</vt:lpstr>
      <vt:lpstr>    Introduction</vt:lpstr>
      <vt:lpstr>    The Low-Cost, Climate Smart (LCCS) Agenda </vt:lpstr>
      <vt:lpstr>        2.2.1 The LCCS Agenda: Underpinning Issues</vt:lpstr>
      <vt:lpstr>        2.2.2 Importance of the LCCS Agenda</vt:lpstr>
      <vt:lpstr>        2.2.3 Implementation of the LCCS Agenda</vt:lpstr>
    </vt:vector>
  </TitlesOfParts>
  <Company>diakov.net</Company>
  <LinksUpToDate>false</LinksUpToDate>
  <CharactersWithSpaces>26396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Otakwa</dc:creator>
  <cp:keywords/>
  <dc:description/>
  <cp:lastModifiedBy>macbook</cp:lastModifiedBy>
  <cp:revision>2</cp:revision>
  <cp:lastPrinted>2019-08-20T11:20:00Z</cp:lastPrinted>
  <dcterms:created xsi:type="dcterms:W3CDTF">2019-11-20T13:45:00Z</dcterms:created>
  <dcterms:modified xsi:type="dcterms:W3CDTF">2019-11-20T13:45:00Z</dcterms:modified>
</cp:coreProperties>
</file>