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5CAE" w14:textId="77777777" w:rsidR="00485E58" w:rsidRPr="00F80F27" w:rsidRDefault="00485E58" w:rsidP="00485E58">
      <w:pPr>
        <w:rPr>
          <w:rFonts w:cstheme="minorHAnsi"/>
          <w:lang w:bidi="he-IL"/>
        </w:rPr>
      </w:pPr>
    </w:p>
    <w:p w14:paraId="23DCD3C6" w14:textId="6DB0FEFD" w:rsidR="006477E8" w:rsidRPr="00F80F27" w:rsidRDefault="006477E8" w:rsidP="00E37D45">
      <w:pPr>
        <w:spacing w:after="200" w:line="276" w:lineRule="auto"/>
        <w:rPr>
          <w:rFonts w:eastAsia="Calibri" w:cstheme="minorHAnsi"/>
          <w:sz w:val="22"/>
          <w:szCs w:val="22"/>
          <w:lang w:bidi="he-IL"/>
        </w:rPr>
      </w:pPr>
    </w:p>
    <w:p w14:paraId="49FA750F" w14:textId="1D5AFE1D" w:rsidR="00F93D2A" w:rsidRPr="00F80F27" w:rsidRDefault="000251C7" w:rsidP="000251C7">
      <w:pPr>
        <w:spacing w:after="160" w:line="360" w:lineRule="auto"/>
        <w:jc w:val="center"/>
        <w:rPr>
          <w:rFonts w:eastAsia="Calibri" w:cstheme="minorHAnsi"/>
          <w:b/>
          <w:bCs/>
          <w:sz w:val="32"/>
          <w:szCs w:val="32"/>
          <w:lang w:val="en-GB" w:bidi="he-IL"/>
        </w:rPr>
      </w:pPr>
      <w:r>
        <w:rPr>
          <w:noProof/>
        </w:rPr>
        <w:drawing>
          <wp:inline distT="0" distB="0" distL="0" distR="0" wp14:anchorId="3BA4994E" wp14:editId="1C806085">
            <wp:extent cx="1187450" cy="118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p w14:paraId="65B5D921" w14:textId="18CCC684" w:rsidR="00341CDC" w:rsidRPr="00F80F27" w:rsidRDefault="00341CDC" w:rsidP="00E37D45">
      <w:pPr>
        <w:spacing w:after="160" w:line="360" w:lineRule="auto"/>
        <w:rPr>
          <w:rFonts w:eastAsia="Calibri" w:cstheme="minorHAnsi"/>
          <w:b/>
          <w:bCs/>
          <w:sz w:val="32"/>
          <w:szCs w:val="32"/>
          <w:lang w:val="en-GB" w:bidi="he-IL"/>
        </w:rPr>
      </w:pPr>
    </w:p>
    <w:p w14:paraId="0612879A" w14:textId="7D87DB2E" w:rsidR="00341CDC" w:rsidRPr="00F80F27" w:rsidRDefault="00341CDC" w:rsidP="00341CDC">
      <w:pPr>
        <w:spacing w:after="160" w:line="360" w:lineRule="auto"/>
        <w:jc w:val="center"/>
        <w:rPr>
          <w:rFonts w:eastAsia="Calibri" w:cstheme="minorHAnsi"/>
          <w:b/>
          <w:bCs/>
          <w:sz w:val="32"/>
          <w:szCs w:val="32"/>
          <w:lang w:val="en-GB" w:bidi="he-IL"/>
        </w:rPr>
      </w:pPr>
      <w:r w:rsidRPr="00F80F27">
        <w:rPr>
          <w:rFonts w:eastAsia="Calibri" w:cstheme="minorHAnsi"/>
          <w:b/>
          <w:bCs/>
          <w:sz w:val="32"/>
          <w:szCs w:val="32"/>
          <w:lang w:val="en-GB" w:bidi="he-IL"/>
        </w:rPr>
        <w:t>Kayan</w:t>
      </w:r>
      <w:r w:rsidR="005A2F45">
        <w:rPr>
          <w:rFonts w:eastAsia="Calibri" w:cstheme="minorHAnsi"/>
          <w:b/>
          <w:bCs/>
          <w:sz w:val="32"/>
          <w:szCs w:val="32"/>
          <w:lang w:val="en-GB" w:bidi="he-IL"/>
        </w:rPr>
        <w:t>- Feminist</w:t>
      </w:r>
      <w:r w:rsidR="001571CA">
        <w:rPr>
          <w:rFonts w:eastAsia="Calibri" w:cstheme="minorHAnsi"/>
          <w:b/>
          <w:bCs/>
          <w:sz w:val="32"/>
          <w:szCs w:val="32"/>
          <w:lang w:val="en-GB" w:bidi="he-IL"/>
        </w:rPr>
        <w:t xml:space="preserve"> </w:t>
      </w:r>
      <w:r w:rsidR="005A2F45">
        <w:rPr>
          <w:rFonts w:eastAsia="Calibri" w:cstheme="minorHAnsi"/>
          <w:b/>
          <w:bCs/>
          <w:sz w:val="32"/>
          <w:szCs w:val="32"/>
          <w:lang w:val="en-GB" w:bidi="he-IL"/>
        </w:rPr>
        <w:t>Organization:</w:t>
      </w:r>
      <w:r w:rsidRPr="00F80F27">
        <w:rPr>
          <w:rFonts w:eastAsia="Calibri" w:cstheme="minorHAnsi"/>
          <w:b/>
          <w:bCs/>
          <w:sz w:val="32"/>
          <w:szCs w:val="32"/>
          <w:lang w:val="en-GB" w:bidi="he-IL"/>
        </w:rPr>
        <w:t xml:space="preserve"> Submission to the UN Human Rights Council’s</w:t>
      </w:r>
    </w:p>
    <w:p w14:paraId="2A5997FE" w14:textId="0FE8E0AA" w:rsidR="00341CDC" w:rsidRPr="00F80F27" w:rsidRDefault="00341CDC" w:rsidP="00341CDC">
      <w:pPr>
        <w:spacing w:after="160" w:line="360" w:lineRule="auto"/>
        <w:jc w:val="center"/>
        <w:rPr>
          <w:rFonts w:eastAsia="Calibri" w:cstheme="minorHAnsi"/>
          <w:b/>
          <w:bCs/>
          <w:sz w:val="32"/>
          <w:szCs w:val="32"/>
          <w:lang w:val="en-GB" w:bidi="he-IL"/>
        </w:rPr>
      </w:pPr>
      <w:r w:rsidRPr="00F80F27">
        <w:rPr>
          <w:rFonts w:eastAsia="Calibri" w:cstheme="minorHAnsi"/>
          <w:b/>
          <w:bCs/>
          <w:sz w:val="32"/>
          <w:szCs w:val="32"/>
          <w:lang w:val="en-GB" w:bidi="he-IL"/>
        </w:rPr>
        <w:t xml:space="preserve"> Universal Periodic Review of Israel</w:t>
      </w:r>
    </w:p>
    <w:p w14:paraId="4A28A57E" w14:textId="797C04AD" w:rsidR="00341CDC" w:rsidRPr="00CC0CC9" w:rsidRDefault="00341CDC" w:rsidP="00E37D45">
      <w:pPr>
        <w:spacing w:after="160" w:line="360" w:lineRule="auto"/>
        <w:jc w:val="center"/>
        <w:rPr>
          <w:rFonts w:eastAsia="Calibri" w:cstheme="minorHAnsi"/>
          <w:b/>
          <w:bCs/>
          <w:sz w:val="32"/>
          <w:szCs w:val="32"/>
          <w:lang w:val="en-GB" w:bidi="he-IL"/>
        </w:rPr>
      </w:pPr>
      <w:r w:rsidRPr="00F80F27">
        <w:rPr>
          <w:rFonts w:eastAsia="Calibri" w:cstheme="minorHAnsi"/>
          <w:b/>
          <w:bCs/>
          <w:sz w:val="32"/>
          <w:szCs w:val="32"/>
          <w:lang w:val="en-GB" w:bidi="he-IL"/>
        </w:rPr>
        <w:t xml:space="preserve"> </w:t>
      </w:r>
      <w:r w:rsidRPr="00C658EF">
        <w:rPr>
          <w:rFonts w:eastAsia="Calibri" w:cstheme="minorHAnsi"/>
          <w:b/>
          <w:bCs/>
          <w:sz w:val="32"/>
          <w:szCs w:val="32"/>
          <w:lang w:val="en-GB" w:bidi="he-IL"/>
        </w:rPr>
        <w:t>April</w:t>
      </w:r>
      <w:r w:rsidR="0013400E" w:rsidRPr="00C658EF">
        <w:rPr>
          <w:rFonts w:eastAsia="Calibri" w:cstheme="minorHAnsi"/>
          <w:b/>
          <w:bCs/>
          <w:sz w:val="32"/>
          <w:szCs w:val="32"/>
          <w:lang w:val="en-GB" w:bidi="he-IL"/>
        </w:rPr>
        <w:t xml:space="preserve"> </w:t>
      </w:r>
      <w:r w:rsidRPr="00C658EF">
        <w:rPr>
          <w:rFonts w:eastAsia="Calibri" w:cstheme="minorHAnsi"/>
          <w:b/>
          <w:bCs/>
          <w:sz w:val="32"/>
          <w:szCs w:val="32"/>
          <w:lang w:val="en-GB" w:bidi="he-IL"/>
        </w:rPr>
        <w:t>/</w:t>
      </w:r>
      <w:r w:rsidR="0013400E" w:rsidRPr="00C658EF">
        <w:rPr>
          <w:rFonts w:eastAsia="Calibri" w:cstheme="minorHAnsi"/>
          <w:b/>
          <w:bCs/>
          <w:sz w:val="32"/>
          <w:szCs w:val="32"/>
          <w:lang w:val="en-GB" w:bidi="he-IL"/>
        </w:rPr>
        <w:t xml:space="preserve"> </w:t>
      </w:r>
      <w:r w:rsidRPr="00C658EF">
        <w:rPr>
          <w:rFonts w:eastAsia="Calibri" w:cstheme="minorHAnsi"/>
          <w:b/>
          <w:bCs/>
          <w:sz w:val="32"/>
          <w:szCs w:val="32"/>
          <w:lang w:val="en-GB" w:bidi="he-IL"/>
        </w:rPr>
        <w:t>May 2023</w:t>
      </w:r>
    </w:p>
    <w:p w14:paraId="28699DBD" w14:textId="52792593" w:rsidR="00F93D2A" w:rsidRPr="00F80F27" w:rsidRDefault="00341CDC" w:rsidP="00E37D45">
      <w:pPr>
        <w:spacing w:after="160" w:line="360" w:lineRule="auto"/>
        <w:jc w:val="center"/>
        <w:rPr>
          <w:rFonts w:eastAsia="Calibri" w:cstheme="minorHAnsi"/>
          <w:b/>
          <w:bCs/>
          <w:sz w:val="32"/>
          <w:szCs w:val="32"/>
          <w:lang w:val="en-GB" w:bidi="he-IL"/>
        </w:rPr>
      </w:pPr>
      <w:r w:rsidRPr="00CC0CC9">
        <w:rPr>
          <w:rFonts w:eastAsia="Calibri" w:cstheme="minorHAnsi"/>
          <w:b/>
          <w:bCs/>
          <w:sz w:val="32"/>
          <w:szCs w:val="32"/>
          <w:lang w:val="en-GB" w:bidi="he-IL"/>
        </w:rPr>
        <w:t xml:space="preserve"> </w:t>
      </w:r>
      <w:r w:rsidRPr="00C658EF">
        <w:rPr>
          <w:rFonts w:eastAsia="Calibri" w:cstheme="minorHAnsi"/>
          <w:b/>
          <w:bCs/>
          <w:sz w:val="32"/>
          <w:szCs w:val="32"/>
          <w:lang w:val="en-GB" w:bidi="he-IL"/>
        </w:rPr>
        <w:t>Submitted 10 October 2022</w:t>
      </w:r>
    </w:p>
    <w:p w14:paraId="380C3579" w14:textId="77777777" w:rsidR="006477E8" w:rsidRPr="00F80F27" w:rsidRDefault="006477E8" w:rsidP="00E37D45">
      <w:pPr>
        <w:spacing w:after="160" w:line="360" w:lineRule="auto"/>
        <w:jc w:val="center"/>
        <w:rPr>
          <w:rFonts w:eastAsia="Calibri" w:cstheme="minorHAnsi"/>
          <w:b/>
          <w:bCs/>
          <w:sz w:val="40"/>
          <w:szCs w:val="40"/>
          <w:lang w:val="en-GB" w:bidi="he-IL"/>
        </w:rPr>
      </w:pPr>
    </w:p>
    <w:p w14:paraId="476C2BF0" w14:textId="3C6A1FD9" w:rsidR="006477E8" w:rsidRPr="00F80F27" w:rsidRDefault="006477E8" w:rsidP="0055433B">
      <w:pPr>
        <w:spacing w:after="160" w:line="360" w:lineRule="auto"/>
        <w:jc w:val="center"/>
        <w:rPr>
          <w:rFonts w:eastAsia="Calibri" w:cstheme="minorHAnsi"/>
          <w:b/>
          <w:bCs/>
          <w:sz w:val="32"/>
          <w:szCs w:val="32"/>
          <w:lang w:val="en-GB" w:bidi="he-IL"/>
        </w:rPr>
      </w:pPr>
      <w:r w:rsidRPr="00F80F27">
        <w:rPr>
          <w:rFonts w:eastAsia="Calibri" w:cstheme="minorHAnsi"/>
          <w:b/>
          <w:bCs/>
          <w:sz w:val="32"/>
          <w:szCs w:val="32"/>
          <w:lang w:val="en-GB" w:bidi="he-IL"/>
        </w:rPr>
        <w:t xml:space="preserve">Human rights violations with respect to </w:t>
      </w:r>
      <w:r w:rsidR="0013400E" w:rsidRPr="00F80F27">
        <w:rPr>
          <w:rFonts w:eastAsia="Calibri" w:cstheme="minorHAnsi"/>
          <w:b/>
          <w:bCs/>
          <w:sz w:val="32"/>
          <w:szCs w:val="32"/>
          <w:lang w:val="en-GB" w:bidi="he-IL"/>
        </w:rPr>
        <w:t>women’s</w:t>
      </w:r>
      <w:r w:rsidRPr="00F80F27">
        <w:rPr>
          <w:rFonts w:eastAsia="Calibri" w:cstheme="minorHAnsi"/>
          <w:b/>
          <w:bCs/>
          <w:sz w:val="32"/>
          <w:szCs w:val="32"/>
          <w:lang w:val="en-GB" w:bidi="he-IL"/>
        </w:rPr>
        <w:t xml:space="preserve"> access to justice in the </w:t>
      </w:r>
      <w:r w:rsidR="0055433B">
        <w:rPr>
          <w:rFonts w:eastAsia="Calibri" w:cstheme="minorHAnsi"/>
          <w:b/>
          <w:bCs/>
          <w:sz w:val="32"/>
          <w:szCs w:val="32"/>
          <w:lang w:val="en-GB" w:bidi="he-IL"/>
        </w:rPr>
        <w:t>r</w:t>
      </w:r>
      <w:r w:rsidRPr="00F80F27">
        <w:rPr>
          <w:rFonts w:eastAsia="Calibri" w:cstheme="minorHAnsi"/>
          <w:b/>
          <w:bCs/>
          <w:sz w:val="32"/>
          <w:szCs w:val="32"/>
          <w:lang w:val="en-GB" w:bidi="he-IL"/>
        </w:rPr>
        <w:t xml:space="preserve">eligious </w:t>
      </w:r>
      <w:r w:rsidR="0055433B">
        <w:rPr>
          <w:rFonts w:eastAsia="Calibri" w:cstheme="minorHAnsi"/>
          <w:b/>
          <w:bCs/>
          <w:sz w:val="32"/>
          <w:szCs w:val="32"/>
          <w:lang w:val="en-GB" w:bidi="he-IL"/>
        </w:rPr>
        <w:t>c</w:t>
      </w:r>
      <w:r w:rsidRPr="00F80F27">
        <w:rPr>
          <w:rFonts w:eastAsia="Calibri" w:cstheme="minorHAnsi"/>
          <w:b/>
          <w:bCs/>
          <w:sz w:val="32"/>
          <w:szCs w:val="32"/>
          <w:lang w:val="en-GB" w:bidi="he-IL"/>
        </w:rPr>
        <w:t>ourts</w:t>
      </w:r>
      <w:r w:rsidR="00E37D45" w:rsidRPr="00F80F27">
        <w:rPr>
          <w:rFonts w:eastAsia="Calibri" w:cstheme="minorHAnsi"/>
          <w:b/>
          <w:bCs/>
          <w:sz w:val="32"/>
          <w:szCs w:val="32"/>
          <w:lang w:val="en-GB" w:bidi="he-IL"/>
        </w:rPr>
        <w:t xml:space="preserve"> </w:t>
      </w:r>
      <w:r w:rsidR="008F5C9C">
        <w:rPr>
          <w:rFonts w:eastAsia="Calibri" w:cstheme="minorHAnsi"/>
          <w:b/>
          <w:bCs/>
          <w:sz w:val="32"/>
          <w:szCs w:val="32"/>
          <w:lang w:val="en-GB" w:bidi="he-IL"/>
        </w:rPr>
        <w:t>and</w:t>
      </w:r>
      <w:r w:rsidR="0055433B">
        <w:rPr>
          <w:rFonts w:eastAsia="Calibri" w:cstheme="minorHAnsi"/>
          <w:b/>
          <w:bCs/>
          <w:sz w:val="32"/>
          <w:szCs w:val="32"/>
          <w:lang w:val="en-GB" w:bidi="he-IL"/>
        </w:rPr>
        <w:t xml:space="preserve"> f</w:t>
      </w:r>
      <w:r w:rsidR="00E37D45" w:rsidRPr="00F80F27">
        <w:rPr>
          <w:rFonts w:eastAsia="Calibri" w:cstheme="minorHAnsi"/>
          <w:b/>
          <w:bCs/>
          <w:sz w:val="32"/>
          <w:szCs w:val="32"/>
          <w:lang w:val="en-GB" w:bidi="he-IL"/>
        </w:rPr>
        <w:t xml:space="preserve">emicide in Palestinian </w:t>
      </w:r>
      <w:r w:rsidR="005A2F45">
        <w:rPr>
          <w:rFonts w:eastAsia="Calibri" w:cstheme="minorHAnsi"/>
          <w:b/>
          <w:bCs/>
          <w:sz w:val="32"/>
          <w:szCs w:val="32"/>
          <w:lang w:val="en-GB" w:bidi="he-IL"/>
        </w:rPr>
        <w:t>s</w:t>
      </w:r>
      <w:r w:rsidR="00E37D45" w:rsidRPr="00F80F27">
        <w:rPr>
          <w:rFonts w:eastAsia="Calibri" w:cstheme="minorHAnsi"/>
          <w:b/>
          <w:bCs/>
          <w:sz w:val="32"/>
          <w:szCs w:val="32"/>
          <w:lang w:val="en-GB" w:bidi="he-IL"/>
        </w:rPr>
        <w:t>ociety in Israel</w:t>
      </w:r>
    </w:p>
    <w:p w14:paraId="19B3A5A3" w14:textId="77777777" w:rsidR="00F93D2A" w:rsidRPr="00F80F27" w:rsidRDefault="00F93D2A" w:rsidP="00F93D2A">
      <w:pPr>
        <w:spacing w:after="160" w:line="360" w:lineRule="auto"/>
        <w:jc w:val="both"/>
        <w:rPr>
          <w:rFonts w:eastAsia="Calibri" w:cstheme="minorHAnsi"/>
          <w:lang w:val="en-GB"/>
        </w:rPr>
      </w:pPr>
    </w:p>
    <w:p w14:paraId="3FEB3988" w14:textId="77777777" w:rsidR="003F345B" w:rsidRPr="00F80F27" w:rsidRDefault="003F345B" w:rsidP="00F93D2A">
      <w:pPr>
        <w:spacing w:after="160" w:line="360" w:lineRule="auto"/>
        <w:jc w:val="both"/>
        <w:rPr>
          <w:rFonts w:eastAsia="Calibri" w:cstheme="minorHAnsi"/>
          <w:lang w:val="en-GB"/>
        </w:rPr>
      </w:pPr>
    </w:p>
    <w:p w14:paraId="1BE6AECD" w14:textId="3F8E9C84" w:rsidR="00316D55" w:rsidRPr="003F345B" w:rsidRDefault="00341CDC" w:rsidP="001B7997">
      <w:pPr>
        <w:rPr>
          <w:rFonts w:eastAsia="Calibri" w:cstheme="minorHAnsi"/>
          <w:lang w:val="en-GB"/>
        </w:rPr>
      </w:pPr>
      <w:r w:rsidRPr="00F80F27">
        <w:rPr>
          <w:rFonts w:eastAsia="Calibri" w:cstheme="minorHAnsi"/>
          <w:lang w:val="en-GB"/>
        </w:rPr>
        <w:t>Kayan</w:t>
      </w:r>
      <w:r w:rsidR="005A2F45">
        <w:rPr>
          <w:rFonts w:eastAsia="Calibri" w:cstheme="minorHAnsi"/>
          <w:lang w:val="en-GB"/>
        </w:rPr>
        <w:t>- Feminist Organization</w:t>
      </w:r>
      <w:r w:rsidRPr="00F80F27">
        <w:rPr>
          <w:rFonts w:eastAsia="Calibri" w:cstheme="minorHAnsi"/>
          <w:lang w:val="en-GB"/>
        </w:rPr>
        <w:t xml:space="preserve"> </w:t>
      </w:r>
      <w:r w:rsidR="008344F7">
        <w:rPr>
          <w:rFonts w:eastAsia="Calibri" w:cstheme="minorHAnsi"/>
          <w:lang w:val="en-GB"/>
        </w:rPr>
        <w:t xml:space="preserve">(“Kayan”) </w:t>
      </w:r>
      <w:r w:rsidRPr="00F80F27">
        <w:rPr>
          <w:rFonts w:eastAsia="Calibri" w:cstheme="minorHAnsi"/>
          <w:lang w:val="en-GB"/>
        </w:rPr>
        <w:t>is a grassroots feminist organization</w:t>
      </w:r>
      <w:r w:rsidR="005A2F45">
        <w:rPr>
          <w:rFonts w:eastAsia="Calibri" w:cstheme="minorHAnsi"/>
          <w:lang w:val="en-GB"/>
        </w:rPr>
        <w:t xml:space="preserve"> that</w:t>
      </w:r>
      <w:r w:rsidR="00166102">
        <w:rPr>
          <w:rFonts w:eastAsia="Calibri" w:cstheme="minorHAnsi"/>
          <w:lang w:val="en-GB"/>
        </w:rPr>
        <w:t xml:space="preserve"> </w:t>
      </w:r>
      <w:r w:rsidRPr="00F80F27">
        <w:rPr>
          <w:rFonts w:eastAsia="Calibri" w:cstheme="minorHAnsi"/>
          <w:lang w:val="en-GB"/>
        </w:rPr>
        <w:t xml:space="preserve">works </w:t>
      </w:r>
      <w:r w:rsidR="00005DA9">
        <w:rPr>
          <w:rFonts w:eastAsia="Calibri" w:cstheme="minorHAnsi"/>
          <w:lang w:val="en-GB"/>
        </w:rPr>
        <w:t>to promote human</w:t>
      </w:r>
      <w:r w:rsidRPr="00F80F27">
        <w:rPr>
          <w:rFonts w:eastAsia="Calibri" w:cstheme="minorHAnsi"/>
          <w:lang w:val="en-GB"/>
        </w:rPr>
        <w:t xml:space="preserve"> </w:t>
      </w:r>
      <w:r w:rsidR="00005DA9">
        <w:rPr>
          <w:rFonts w:eastAsia="Calibri" w:cstheme="minorHAnsi"/>
          <w:lang w:val="en-GB"/>
        </w:rPr>
        <w:t>and women</w:t>
      </w:r>
      <w:r w:rsidR="005A2F45">
        <w:rPr>
          <w:rFonts w:eastAsia="Calibri" w:cstheme="minorHAnsi"/>
          <w:lang w:val="en-GB"/>
        </w:rPr>
        <w:t>’s</w:t>
      </w:r>
      <w:r w:rsidR="00005DA9">
        <w:rPr>
          <w:rFonts w:eastAsia="Calibri" w:cstheme="minorHAnsi"/>
          <w:lang w:val="en-GB"/>
        </w:rPr>
        <w:t xml:space="preserve"> rights </w:t>
      </w:r>
      <w:r w:rsidRPr="00F80F27">
        <w:rPr>
          <w:rFonts w:eastAsia="Calibri" w:cstheme="minorHAnsi"/>
          <w:lang w:val="en-GB"/>
        </w:rPr>
        <w:t>f</w:t>
      </w:r>
      <w:r w:rsidR="00005DA9">
        <w:rPr>
          <w:rFonts w:eastAsia="Calibri" w:cstheme="minorHAnsi"/>
          <w:lang w:val="en-GB"/>
        </w:rPr>
        <w:t>or</w:t>
      </w:r>
      <w:r w:rsidRPr="00F80F27">
        <w:rPr>
          <w:rFonts w:eastAsia="Calibri" w:cstheme="minorHAnsi"/>
          <w:lang w:val="en-GB"/>
        </w:rPr>
        <w:t xml:space="preserve"> Palestinian women in Israel. Established in 1998, it takes a bottom-up approach to social change</w:t>
      </w:r>
      <w:r w:rsidR="00F93D2A" w:rsidRPr="00F80F27">
        <w:rPr>
          <w:rFonts w:eastAsia="Calibri" w:cstheme="minorHAnsi"/>
          <w:lang w:val="en-GB"/>
        </w:rPr>
        <w:t xml:space="preserve"> and</w:t>
      </w:r>
      <w:r w:rsidRPr="00F80F27">
        <w:rPr>
          <w:rFonts w:eastAsia="Calibri" w:cstheme="minorHAnsi"/>
          <w:lang w:val="en-GB"/>
        </w:rPr>
        <w:t xml:space="preserve"> invest</w:t>
      </w:r>
      <w:r w:rsidR="005A2F45">
        <w:rPr>
          <w:rFonts w:eastAsia="Calibri" w:cstheme="minorHAnsi"/>
          <w:lang w:val="en-GB"/>
        </w:rPr>
        <w:t>s</w:t>
      </w:r>
      <w:r w:rsidRPr="00F80F27">
        <w:rPr>
          <w:rFonts w:eastAsia="Calibri" w:cstheme="minorHAnsi"/>
          <w:lang w:val="en-GB"/>
        </w:rPr>
        <w:t xml:space="preserve"> in the field by empowering women to become transformative leaders on local and national levels, protecting and promoting the human and civil rights of Palestinian women in Israel, and breaking down social and institutional barriers to gender equality</w:t>
      </w:r>
      <w:r w:rsidR="00F93D2A" w:rsidRPr="00F80F27">
        <w:rPr>
          <w:rFonts w:eastAsia="Calibri" w:cstheme="minorHAnsi"/>
          <w:lang w:val="en-GB"/>
        </w:rPr>
        <w:t>.</w:t>
      </w:r>
      <w:r w:rsidR="00F93D2A" w:rsidRPr="00F80F27">
        <w:rPr>
          <w:rFonts w:cstheme="minorHAnsi"/>
        </w:rPr>
        <w:t xml:space="preserve"> Kayan has held Special Consultative Status with ECOSOC since 2018.</w:t>
      </w:r>
    </w:p>
    <w:p w14:paraId="5882DD86" w14:textId="77777777" w:rsidR="0055433B" w:rsidRDefault="0055433B">
      <w:pPr>
        <w:rPr>
          <w:rFonts w:eastAsia="Calibri" w:cstheme="minorHAnsi"/>
          <w:b/>
          <w:bCs/>
          <w:sz w:val="28"/>
          <w:szCs w:val="28"/>
          <w:lang w:val="en-GB" w:bidi="he-IL"/>
        </w:rPr>
      </w:pPr>
      <w:r>
        <w:rPr>
          <w:rFonts w:eastAsia="Calibri" w:cstheme="minorHAnsi"/>
          <w:b/>
          <w:bCs/>
          <w:sz w:val="28"/>
          <w:szCs w:val="28"/>
          <w:lang w:val="en-GB" w:bidi="he-IL"/>
        </w:rPr>
        <w:br w:type="page"/>
      </w:r>
    </w:p>
    <w:p w14:paraId="0E944AC4" w14:textId="490B7B38" w:rsidR="00316D55" w:rsidRPr="00F80F27" w:rsidRDefault="00316D55" w:rsidP="0013400E">
      <w:pPr>
        <w:spacing w:after="160"/>
        <w:jc w:val="both"/>
        <w:rPr>
          <w:rFonts w:eastAsia="Calibri" w:cstheme="minorHAnsi"/>
          <w:b/>
          <w:bCs/>
          <w:sz w:val="28"/>
          <w:szCs w:val="28"/>
          <w:lang w:val="en-GB" w:bidi="he-IL"/>
        </w:rPr>
      </w:pPr>
      <w:r w:rsidRPr="00F80F27">
        <w:rPr>
          <w:rFonts w:eastAsia="Calibri" w:cstheme="minorHAnsi"/>
          <w:b/>
          <w:bCs/>
          <w:sz w:val="28"/>
          <w:szCs w:val="28"/>
          <w:lang w:val="en-GB" w:bidi="he-IL"/>
        </w:rPr>
        <w:lastRenderedPageBreak/>
        <w:t>Kayan’s Submission to the UN Human Rights Council’s Universal Periodic Review of Israel in April/May 2023</w:t>
      </w:r>
    </w:p>
    <w:p w14:paraId="2F4441DB" w14:textId="0CCE2C8A" w:rsidR="00005DA9" w:rsidRDefault="00316D55" w:rsidP="003F345B">
      <w:pPr>
        <w:spacing w:after="160"/>
        <w:jc w:val="both"/>
        <w:rPr>
          <w:rFonts w:eastAsia="Calibri" w:cstheme="minorHAnsi"/>
          <w:lang w:val="en-GB" w:bidi="he-IL"/>
        </w:rPr>
      </w:pPr>
      <w:r w:rsidRPr="00F80F27">
        <w:rPr>
          <w:rFonts w:eastAsia="Calibri" w:cstheme="minorHAnsi"/>
          <w:b/>
          <w:bCs/>
          <w:lang w:val="en-GB" w:bidi="he-IL"/>
        </w:rPr>
        <w:t xml:space="preserve">Kayan </w:t>
      </w:r>
      <w:r w:rsidRPr="00F80F27">
        <w:rPr>
          <w:rFonts w:eastAsia="Calibri" w:cstheme="minorHAnsi"/>
          <w:lang w:val="en-GB" w:bidi="he-IL"/>
        </w:rPr>
        <w:t xml:space="preserve">wishes to raise </w:t>
      </w:r>
      <w:r w:rsidR="0013400E" w:rsidRPr="00F80F27">
        <w:rPr>
          <w:rFonts w:eastAsia="Calibri" w:cstheme="minorHAnsi"/>
          <w:lang w:val="en-GB" w:bidi="he-IL"/>
        </w:rPr>
        <w:t>two</w:t>
      </w:r>
      <w:r w:rsidRPr="00F80F27">
        <w:rPr>
          <w:rFonts w:eastAsia="Calibri" w:cstheme="minorHAnsi"/>
          <w:lang w:val="en-GB" w:bidi="he-IL"/>
        </w:rPr>
        <w:t xml:space="preserve"> key concerns for the UPR of Israel: </w:t>
      </w:r>
    </w:p>
    <w:p w14:paraId="224BE5CD" w14:textId="42193794" w:rsidR="004E3710" w:rsidRPr="00DD55DA" w:rsidRDefault="00986216" w:rsidP="004E3710">
      <w:pPr>
        <w:pStyle w:val="ListParagraph"/>
        <w:numPr>
          <w:ilvl w:val="0"/>
          <w:numId w:val="7"/>
        </w:numPr>
        <w:spacing w:after="160"/>
        <w:jc w:val="both"/>
        <w:rPr>
          <w:rFonts w:eastAsia="Calibri" w:cstheme="minorHAnsi"/>
          <w:b/>
          <w:bCs/>
          <w:lang w:bidi="he-IL"/>
        </w:rPr>
      </w:pPr>
      <w:r w:rsidRPr="00DD55DA">
        <w:rPr>
          <w:rFonts w:eastAsia="Calibri" w:cstheme="minorHAnsi"/>
          <w:b/>
          <w:bCs/>
          <w:lang w:bidi="he-IL"/>
        </w:rPr>
        <w:t>Human rights violation</w:t>
      </w:r>
      <w:r w:rsidR="001B7997">
        <w:rPr>
          <w:rFonts w:eastAsia="Calibri" w:cstheme="minorHAnsi"/>
          <w:b/>
          <w:bCs/>
          <w:lang w:bidi="he-IL"/>
        </w:rPr>
        <w:t>s</w:t>
      </w:r>
      <w:r w:rsidRPr="00DD55DA">
        <w:rPr>
          <w:rFonts w:eastAsia="Calibri" w:cstheme="minorHAnsi"/>
          <w:b/>
          <w:bCs/>
          <w:lang w:bidi="he-IL"/>
        </w:rPr>
        <w:t xml:space="preserve"> and discrimination against women,</w:t>
      </w:r>
      <w:r w:rsidR="00316D55" w:rsidRPr="00DD55DA">
        <w:rPr>
          <w:rFonts w:eastAsia="Calibri" w:cstheme="minorHAnsi"/>
          <w:b/>
          <w:bCs/>
          <w:lang w:bidi="he-IL"/>
        </w:rPr>
        <w:t xml:space="preserve"> with respect to the </w:t>
      </w:r>
      <w:r w:rsidR="004E3710" w:rsidRPr="00DD55DA">
        <w:rPr>
          <w:rFonts w:eastAsia="Calibri" w:cstheme="minorHAnsi"/>
          <w:b/>
          <w:bCs/>
          <w:lang w:bidi="he-IL"/>
        </w:rPr>
        <w:t xml:space="preserve">right to equal </w:t>
      </w:r>
      <w:r w:rsidR="00316D55" w:rsidRPr="00DD55DA">
        <w:rPr>
          <w:rFonts w:eastAsia="Calibri" w:cstheme="minorHAnsi"/>
          <w:b/>
          <w:bCs/>
          <w:lang w:bidi="he-IL"/>
        </w:rPr>
        <w:t xml:space="preserve">access to justice </w:t>
      </w:r>
      <w:r w:rsidR="004E3710" w:rsidRPr="00DD55DA">
        <w:rPr>
          <w:rFonts w:eastAsia="Calibri" w:cstheme="minorHAnsi"/>
          <w:b/>
          <w:bCs/>
          <w:lang w:bidi="he-IL"/>
        </w:rPr>
        <w:t>(</w:t>
      </w:r>
      <w:r w:rsidR="00316D55" w:rsidRPr="00DD55DA">
        <w:rPr>
          <w:rFonts w:eastAsia="Calibri" w:cstheme="minorHAnsi"/>
          <w:b/>
          <w:bCs/>
          <w:lang w:bidi="he-IL"/>
        </w:rPr>
        <w:t xml:space="preserve">in the </w:t>
      </w:r>
      <w:r w:rsidR="0055433B">
        <w:rPr>
          <w:rFonts w:eastAsia="Calibri" w:cstheme="minorHAnsi"/>
          <w:b/>
          <w:bCs/>
          <w:lang w:bidi="he-IL"/>
        </w:rPr>
        <w:t>r</w:t>
      </w:r>
      <w:r w:rsidR="00316D55" w:rsidRPr="00DD55DA">
        <w:rPr>
          <w:rFonts w:eastAsia="Calibri" w:cstheme="minorHAnsi"/>
          <w:b/>
          <w:bCs/>
          <w:lang w:bidi="he-IL"/>
        </w:rPr>
        <w:t xml:space="preserve">eligious </w:t>
      </w:r>
      <w:r w:rsidR="0055433B">
        <w:rPr>
          <w:rFonts w:eastAsia="Calibri" w:cstheme="minorHAnsi"/>
          <w:b/>
          <w:bCs/>
          <w:lang w:bidi="he-IL"/>
        </w:rPr>
        <w:t>c</w:t>
      </w:r>
      <w:r w:rsidR="00316D55" w:rsidRPr="00DD55DA">
        <w:rPr>
          <w:rFonts w:eastAsia="Calibri" w:cstheme="minorHAnsi"/>
          <w:b/>
          <w:bCs/>
          <w:lang w:bidi="he-IL"/>
        </w:rPr>
        <w:t>ourts</w:t>
      </w:r>
      <w:r w:rsidR="004E3710" w:rsidRPr="00DD55DA">
        <w:rPr>
          <w:rFonts w:eastAsia="Calibri" w:cstheme="minorHAnsi"/>
          <w:b/>
          <w:bCs/>
          <w:lang w:bidi="he-IL"/>
        </w:rPr>
        <w:t>)</w:t>
      </w:r>
      <w:r w:rsidRPr="00DD55DA">
        <w:rPr>
          <w:rFonts w:eastAsia="Calibri" w:cstheme="minorHAnsi"/>
          <w:b/>
          <w:bCs/>
          <w:lang w:bidi="he-IL"/>
        </w:rPr>
        <w:t xml:space="preserve">; and </w:t>
      </w:r>
    </w:p>
    <w:p w14:paraId="70229CED" w14:textId="32A01053" w:rsidR="00316D55" w:rsidRPr="00DD55DA" w:rsidRDefault="001B7997" w:rsidP="004E3710">
      <w:pPr>
        <w:pStyle w:val="ListParagraph"/>
        <w:numPr>
          <w:ilvl w:val="0"/>
          <w:numId w:val="7"/>
        </w:numPr>
        <w:spacing w:after="160"/>
        <w:jc w:val="both"/>
        <w:rPr>
          <w:rFonts w:eastAsia="Calibri" w:cstheme="minorHAnsi"/>
          <w:b/>
          <w:bCs/>
          <w:lang w:bidi="he-IL"/>
        </w:rPr>
      </w:pPr>
      <w:r>
        <w:rPr>
          <w:rFonts w:eastAsia="Calibri" w:cstheme="minorHAnsi"/>
          <w:b/>
          <w:bCs/>
          <w:lang w:bidi="he-IL"/>
        </w:rPr>
        <w:t>The need to combat</w:t>
      </w:r>
      <w:r w:rsidR="004E3710" w:rsidRPr="00DD55DA">
        <w:rPr>
          <w:rFonts w:eastAsia="Calibri" w:cstheme="minorHAnsi"/>
          <w:b/>
          <w:bCs/>
          <w:lang w:bidi="he-IL"/>
        </w:rPr>
        <w:t xml:space="preserve"> </w:t>
      </w:r>
      <w:r>
        <w:rPr>
          <w:rFonts w:eastAsia="Calibri" w:cstheme="minorHAnsi"/>
          <w:b/>
          <w:bCs/>
          <w:lang w:bidi="he-IL"/>
        </w:rPr>
        <w:t>g</w:t>
      </w:r>
      <w:r w:rsidR="004E3710" w:rsidRPr="00DD55DA">
        <w:rPr>
          <w:rFonts w:eastAsia="Calibri" w:cstheme="minorHAnsi"/>
          <w:b/>
          <w:bCs/>
          <w:lang w:bidi="he-IL"/>
        </w:rPr>
        <w:t>ender</w:t>
      </w:r>
      <w:r>
        <w:rPr>
          <w:rFonts w:eastAsia="Calibri" w:cstheme="minorHAnsi"/>
          <w:b/>
          <w:bCs/>
          <w:lang w:bidi="he-IL"/>
        </w:rPr>
        <w:t>-</w:t>
      </w:r>
      <w:r w:rsidR="004E3710" w:rsidRPr="00DD55DA">
        <w:rPr>
          <w:rFonts w:eastAsia="Calibri" w:cstheme="minorHAnsi"/>
          <w:b/>
          <w:bCs/>
          <w:lang w:bidi="he-IL"/>
        </w:rPr>
        <w:t xml:space="preserve">based </w:t>
      </w:r>
      <w:r>
        <w:rPr>
          <w:rFonts w:eastAsia="Calibri" w:cstheme="minorHAnsi"/>
          <w:b/>
          <w:bCs/>
          <w:lang w:bidi="he-IL"/>
        </w:rPr>
        <w:t>v</w:t>
      </w:r>
      <w:r w:rsidR="004E3710" w:rsidRPr="00DD55DA">
        <w:rPr>
          <w:rFonts w:eastAsia="Calibri" w:cstheme="minorHAnsi"/>
          <w:b/>
          <w:bCs/>
          <w:lang w:bidi="he-IL"/>
        </w:rPr>
        <w:t xml:space="preserve">iolence and </w:t>
      </w:r>
      <w:r>
        <w:rPr>
          <w:rFonts w:eastAsia="Calibri" w:cstheme="minorHAnsi"/>
          <w:b/>
          <w:bCs/>
          <w:lang w:bidi="he-IL"/>
        </w:rPr>
        <w:t>f</w:t>
      </w:r>
      <w:r w:rsidR="00986216" w:rsidRPr="00DD55DA">
        <w:rPr>
          <w:rFonts w:eastAsia="Calibri" w:cstheme="minorHAnsi"/>
          <w:b/>
          <w:bCs/>
          <w:lang w:bidi="he-IL"/>
        </w:rPr>
        <w:t xml:space="preserve">emicide </w:t>
      </w:r>
      <w:r w:rsidR="004E3710" w:rsidRPr="00DD55DA">
        <w:rPr>
          <w:rFonts w:eastAsia="Calibri" w:cstheme="minorHAnsi"/>
          <w:b/>
          <w:bCs/>
          <w:lang w:bidi="he-IL"/>
        </w:rPr>
        <w:t>(</w:t>
      </w:r>
      <w:r w:rsidR="00986216" w:rsidRPr="00DD55DA">
        <w:rPr>
          <w:rFonts w:eastAsia="Calibri" w:cstheme="minorHAnsi"/>
          <w:b/>
          <w:bCs/>
          <w:lang w:bidi="he-IL"/>
        </w:rPr>
        <w:t xml:space="preserve">in Palestinian </w:t>
      </w:r>
      <w:r w:rsidR="005E6D3F">
        <w:rPr>
          <w:rFonts w:eastAsia="Calibri" w:cstheme="minorHAnsi"/>
          <w:b/>
          <w:bCs/>
          <w:lang w:bidi="he-IL"/>
        </w:rPr>
        <w:t>s</w:t>
      </w:r>
      <w:r w:rsidR="00986216" w:rsidRPr="00DD55DA">
        <w:rPr>
          <w:rFonts w:eastAsia="Calibri" w:cstheme="minorHAnsi"/>
          <w:b/>
          <w:bCs/>
          <w:lang w:bidi="he-IL"/>
        </w:rPr>
        <w:t>ociety in Israel</w:t>
      </w:r>
      <w:r w:rsidR="004E3710" w:rsidRPr="00DD55DA">
        <w:rPr>
          <w:rFonts w:eastAsia="Calibri" w:cstheme="minorHAnsi"/>
          <w:b/>
          <w:bCs/>
          <w:lang w:bidi="he-IL"/>
        </w:rPr>
        <w:t>)</w:t>
      </w:r>
      <w:r w:rsidR="00986216" w:rsidRPr="00DD55DA">
        <w:rPr>
          <w:rFonts w:eastAsia="Calibri" w:cstheme="minorHAnsi"/>
          <w:b/>
          <w:bCs/>
          <w:lang w:bidi="he-IL"/>
        </w:rPr>
        <w:t>.</w:t>
      </w:r>
    </w:p>
    <w:p w14:paraId="689F4CBE" w14:textId="77777777" w:rsidR="00005DA9" w:rsidRDefault="00005DA9" w:rsidP="00B831F1">
      <w:pPr>
        <w:pStyle w:val="ListParagraph"/>
        <w:spacing w:after="160"/>
        <w:ind w:left="0"/>
        <w:jc w:val="both"/>
        <w:rPr>
          <w:rFonts w:eastAsia="Calibri" w:cstheme="minorHAnsi"/>
          <w:b/>
          <w:bCs/>
          <w:lang w:bidi="he-IL"/>
        </w:rPr>
      </w:pPr>
    </w:p>
    <w:p w14:paraId="530C09AF" w14:textId="0F306FB5" w:rsidR="00005DA9" w:rsidRPr="00005DA9" w:rsidRDefault="00496E46" w:rsidP="00005DA9">
      <w:pPr>
        <w:pStyle w:val="ListParagraph"/>
        <w:numPr>
          <w:ilvl w:val="0"/>
          <w:numId w:val="6"/>
        </w:numPr>
        <w:spacing w:after="160"/>
        <w:ind w:left="720"/>
        <w:jc w:val="both"/>
        <w:rPr>
          <w:rFonts w:eastAsia="Calibri" w:cstheme="minorHAnsi"/>
          <w:b/>
          <w:bCs/>
          <w:lang w:bidi="he-IL"/>
        </w:rPr>
      </w:pPr>
      <w:r>
        <w:rPr>
          <w:rFonts w:eastAsia="Calibri" w:cstheme="minorHAnsi"/>
          <w:b/>
          <w:bCs/>
          <w:lang w:bidi="he-IL"/>
        </w:rPr>
        <w:t xml:space="preserve">Human </w:t>
      </w:r>
      <w:r w:rsidR="001B7997">
        <w:rPr>
          <w:rFonts w:eastAsia="Calibri" w:cstheme="minorHAnsi"/>
          <w:b/>
          <w:bCs/>
          <w:lang w:bidi="he-IL"/>
        </w:rPr>
        <w:t>r</w:t>
      </w:r>
      <w:r w:rsidR="00986216" w:rsidRPr="00005DA9">
        <w:rPr>
          <w:rFonts w:eastAsia="Calibri" w:cstheme="minorHAnsi"/>
          <w:b/>
          <w:bCs/>
          <w:lang w:bidi="he-IL"/>
        </w:rPr>
        <w:t>ights violation</w:t>
      </w:r>
      <w:r w:rsidR="001B7997">
        <w:rPr>
          <w:rFonts w:eastAsia="Calibri" w:cstheme="minorHAnsi"/>
          <w:b/>
          <w:bCs/>
          <w:lang w:bidi="he-IL"/>
        </w:rPr>
        <w:t>s</w:t>
      </w:r>
      <w:r w:rsidR="00986216" w:rsidRPr="00005DA9">
        <w:rPr>
          <w:rFonts w:eastAsia="Calibri" w:cstheme="minorHAnsi"/>
          <w:b/>
          <w:bCs/>
          <w:lang w:bidi="he-IL"/>
        </w:rPr>
        <w:t xml:space="preserve"> and discrimination against women, with respect to the </w:t>
      </w:r>
      <w:r w:rsidR="0055433B">
        <w:rPr>
          <w:rFonts w:eastAsia="Calibri" w:cstheme="minorHAnsi"/>
          <w:b/>
          <w:bCs/>
          <w:lang w:bidi="he-IL"/>
        </w:rPr>
        <w:t xml:space="preserve">right to equal </w:t>
      </w:r>
      <w:r w:rsidR="00986216" w:rsidRPr="00005DA9">
        <w:rPr>
          <w:rFonts w:eastAsia="Calibri" w:cstheme="minorHAnsi"/>
          <w:b/>
          <w:bCs/>
          <w:lang w:bidi="he-IL"/>
        </w:rPr>
        <w:t xml:space="preserve">access to justice in the </w:t>
      </w:r>
      <w:r w:rsidR="005E6D3F">
        <w:rPr>
          <w:rFonts w:eastAsia="Calibri" w:cstheme="minorHAnsi"/>
          <w:b/>
          <w:bCs/>
          <w:lang w:bidi="he-IL"/>
        </w:rPr>
        <w:t>r</w:t>
      </w:r>
      <w:r w:rsidR="00986216" w:rsidRPr="00005DA9">
        <w:rPr>
          <w:rFonts w:eastAsia="Calibri" w:cstheme="minorHAnsi"/>
          <w:b/>
          <w:bCs/>
          <w:lang w:bidi="he-IL"/>
        </w:rPr>
        <w:t xml:space="preserve">eligious </w:t>
      </w:r>
      <w:proofErr w:type="gramStart"/>
      <w:r w:rsidR="005E6D3F">
        <w:rPr>
          <w:rFonts w:eastAsia="Calibri" w:cstheme="minorHAnsi"/>
          <w:b/>
          <w:bCs/>
          <w:lang w:bidi="he-IL"/>
        </w:rPr>
        <w:t>c</w:t>
      </w:r>
      <w:r w:rsidR="00986216" w:rsidRPr="00005DA9">
        <w:rPr>
          <w:rFonts w:eastAsia="Calibri" w:cstheme="minorHAnsi"/>
          <w:b/>
          <w:bCs/>
          <w:lang w:bidi="he-IL"/>
        </w:rPr>
        <w:t>ourts</w:t>
      </w:r>
      <w:r w:rsidR="00005DA9" w:rsidRPr="00005DA9">
        <w:rPr>
          <w:rFonts w:eastAsia="Calibri" w:cstheme="minorHAnsi"/>
          <w:b/>
          <w:bCs/>
          <w:lang w:bidi="he-IL"/>
        </w:rPr>
        <w:t>;</w:t>
      </w:r>
      <w:proofErr w:type="gramEnd"/>
    </w:p>
    <w:p w14:paraId="13A23062" w14:textId="632F87B7" w:rsidR="00C4542A" w:rsidRPr="00005DA9" w:rsidRDefault="008C5749" w:rsidP="00005DA9">
      <w:pPr>
        <w:spacing w:after="160"/>
        <w:jc w:val="both"/>
        <w:rPr>
          <w:rFonts w:eastAsia="Calibri" w:cstheme="minorHAnsi"/>
          <w:lang w:val="en-GB" w:bidi="he-IL"/>
        </w:rPr>
      </w:pPr>
      <w:r w:rsidRPr="00005DA9">
        <w:rPr>
          <w:rFonts w:eastAsia="Calibri" w:cstheme="minorHAnsi"/>
          <w:lang w:val="en-GB" w:bidi="he-IL"/>
        </w:rPr>
        <w:t>During its UPR session in 2018</w:t>
      </w:r>
      <w:r w:rsidR="00BB7CA4" w:rsidRPr="00005DA9">
        <w:rPr>
          <w:rFonts w:eastAsia="Calibri" w:cstheme="minorHAnsi"/>
          <w:lang w:val="en-GB" w:bidi="he-IL"/>
        </w:rPr>
        <w:t>, Israel</w:t>
      </w:r>
      <w:r w:rsidRPr="00005DA9">
        <w:rPr>
          <w:rFonts w:eastAsia="Calibri" w:cstheme="minorHAnsi"/>
          <w:lang w:val="en-GB" w:bidi="he-IL"/>
        </w:rPr>
        <w:t xml:space="preserve"> accepted the following recommendations </w:t>
      </w:r>
      <w:r w:rsidR="00324C45" w:rsidRPr="00005DA9">
        <w:rPr>
          <w:rFonts w:eastAsia="Calibri" w:cstheme="minorHAnsi"/>
          <w:lang w:val="en-GB" w:bidi="he-IL"/>
        </w:rPr>
        <w:t xml:space="preserve">relating to equal access to justice and </w:t>
      </w:r>
      <w:r w:rsidR="0055433B">
        <w:rPr>
          <w:rFonts w:eastAsia="Calibri" w:cstheme="minorHAnsi"/>
          <w:lang w:val="en-GB" w:bidi="he-IL"/>
        </w:rPr>
        <w:t>c</w:t>
      </w:r>
      <w:r w:rsidR="00C4542A" w:rsidRPr="00005DA9">
        <w:rPr>
          <w:rFonts w:eastAsia="Calibri" w:cstheme="minorHAnsi"/>
          <w:lang w:val="en-GB" w:bidi="he-IL"/>
        </w:rPr>
        <w:t>ombat</w:t>
      </w:r>
      <w:r w:rsidR="00324C45" w:rsidRPr="00005DA9">
        <w:rPr>
          <w:rFonts w:eastAsia="Calibri" w:cstheme="minorHAnsi"/>
          <w:lang w:val="en-GB" w:bidi="he-IL"/>
        </w:rPr>
        <w:t>ting</w:t>
      </w:r>
      <w:r w:rsidR="00C4542A" w:rsidRPr="00005DA9">
        <w:rPr>
          <w:rFonts w:eastAsia="Calibri" w:cstheme="minorHAnsi"/>
          <w:lang w:val="en-GB" w:bidi="he-IL"/>
        </w:rPr>
        <w:t xml:space="preserve"> all forms of discrimination against women</w:t>
      </w:r>
      <w:r w:rsidR="00324C45" w:rsidRPr="00005DA9">
        <w:rPr>
          <w:rFonts w:eastAsia="Calibri" w:cstheme="minorHAnsi"/>
          <w:lang w:val="en-GB" w:bidi="he-IL"/>
        </w:rPr>
        <w:t>:</w:t>
      </w:r>
    </w:p>
    <w:p w14:paraId="7C87F76B" w14:textId="7A6C475F" w:rsidR="00C4542A" w:rsidRPr="00F80F27" w:rsidRDefault="00C4542A" w:rsidP="00496E46">
      <w:pPr>
        <w:pStyle w:val="ListParagraph"/>
        <w:ind w:left="450"/>
        <w:rPr>
          <w:rFonts w:cstheme="minorHAnsi"/>
        </w:rPr>
      </w:pPr>
      <w:r w:rsidRPr="00005DA9">
        <w:rPr>
          <w:rFonts w:cstheme="minorHAnsi"/>
          <w:b/>
          <w:bCs/>
        </w:rPr>
        <w:t>118.49</w:t>
      </w:r>
      <w:r w:rsidRPr="00F80F27">
        <w:rPr>
          <w:rFonts w:cstheme="minorHAnsi"/>
        </w:rPr>
        <w:t xml:space="preserve"> </w:t>
      </w:r>
      <w:r w:rsidRPr="003F345B">
        <w:rPr>
          <w:rFonts w:cstheme="minorHAnsi"/>
        </w:rPr>
        <w:t xml:space="preserve">Continue efforts to promote equal rights and </w:t>
      </w:r>
      <w:r w:rsidRPr="00496E46">
        <w:rPr>
          <w:rFonts w:cstheme="minorHAnsi"/>
          <w:b/>
          <w:bCs/>
        </w:rPr>
        <w:t>access to justice</w:t>
      </w:r>
      <w:r w:rsidRPr="003F345B">
        <w:rPr>
          <w:rFonts w:cstheme="minorHAnsi"/>
        </w:rPr>
        <w:t>, education, energy and health services for all people in Israel (Angola</w:t>
      </w:r>
      <w:proofErr w:type="gramStart"/>
      <w:r w:rsidRPr="003F345B">
        <w:rPr>
          <w:rFonts w:cstheme="minorHAnsi"/>
        </w:rPr>
        <w:t>);</w:t>
      </w:r>
      <w:proofErr w:type="gramEnd"/>
      <w:r w:rsidR="00496E46">
        <w:rPr>
          <w:rFonts w:cstheme="minorHAnsi"/>
        </w:rPr>
        <w:t xml:space="preserve"> </w:t>
      </w:r>
    </w:p>
    <w:p w14:paraId="11B1922D" w14:textId="4BBD8553" w:rsidR="00BB7CA4" w:rsidRDefault="00BB7CA4" w:rsidP="00BB7CA4">
      <w:pPr>
        <w:pStyle w:val="ListParagraph"/>
        <w:ind w:left="450"/>
        <w:rPr>
          <w:rFonts w:cstheme="minorHAnsi"/>
        </w:rPr>
      </w:pPr>
      <w:r w:rsidRPr="00005DA9">
        <w:rPr>
          <w:rFonts w:cstheme="minorHAnsi"/>
          <w:b/>
          <w:bCs/>
        </w:rPr>
        <w:t>118.105</w:t>
      </w:r>
      <w:r w:rsidRPr="00F80F27">
        <w:rPr>
          <w:rFonts w:cstheme="minorHAnsi"/>
        </w:rPr>
        <w:t xml:space="preserve"> Continue to work to </w:t>
      </w:r>
      <w:r w:rsidRPr="00496E46">
        <w:rPr>
          <w:rFonts w:cstheme="minorHAnsi"/>
          <w:b/>
          <w:bCs/>
        </w:rPr>
        <w:t>reduce discrimination against women</w:t>
      </w:r>
      <w:r w:rsidRPr="00F80F27">
        <w:rPr>
          <w:rFonts w:cstheme="minorHAnsi"/>
        </w:rPr>
        <w:t xml:space="preserve"> (Portugal</w:t>
      </w:r>
      <w:proofErr w:type="gramStart"/>
      <w:r w:rsidRPr="00F80F27">
        <w:rPr>
          <w:rFonts w:cstheme="minorHAnsi"/>
        </w:rPr>
        <w:t>);</w:t>
      </w:r>
      <w:proofErr w:type="gramEnd"/>
    </w:p>
    <w:p w14:paraId="40B09D9D" w14:textId="77777777" w:rsidR="00AF3FFE" w:rsidRPr="00F80F27" w:rsidRDefault="00AF3FFE" w:rsidP="00BB7CA4">
      <w:pPr>
        <w:pStyle w:val="ListParagraph"/>
        <w:ind w:left="450"/>
        <w:rPr>
          <w:rFonts w:cstheme="minorHAnsi"/>
        </w:rPr>
      </w:pPr>
    </w:p>
    <w:p w14:paraId="68568866" w14:textId="46F94B76" w:rsidR="000062CA" w:rsidRDefault="000062CA" w:rsidP="000062CA">
      <w:pPr>
        <w:rPr>
          <w:rFonts w:cstheme="minorHAnsi"/>
          <w:b/>
          <w:bCs/>
        </w:rPr>
      </w:pPr>
      <w:r>
        <w:rPr>
          <w:rFonts w:cstheme="minorHAnsi"/>
          <w:b/>
          <w:bCs/>
        </w:rPr>
        <w:t>The following recommendation</w:t>
      </w:r>
      <w:r w:rsidRPr="000062CA">
        <w:rPr>
          <w:rFonts w:cstheme="minorHAnsi"/>
          <w:b/>
          <w:bCs/>
        </w:rPr>
        <w:t xml:space="preserve"> w</w:t>
      </w:r>
      <w:r>
        <w:rPr>
          <w:rFonts w:cstheme="minorHAnsi"/>
          <w:b/>
          <w:bCs/>
        </w:rPr>
        <w:t>as</w:t>
      </w:r>
      <w:r w:rsidRPr="000062CA">
        <w:rPr>
          <w:rFonts w:cstheme="minorHAnsi"/>
          <w:b/>
          <w:bCs/>
        </w:rPr>
        <w:t xml:space="preserve"> </w:t>
      </w:r>
      <w:r w:rsidR="003F345B">
        <w:rPr>
          <w:rFonts w:cstheme="minorHAnsi"/>
          <w:b/>
          <w:bCs/>
        </w:rPr>
        <w:t xml:space="preserve">also </w:t>
      </w:r>
      <w:r w:rsidRPr="000062CA">
        <w:rPr>
          <w:rFonts w:cstheme="minorHAnsi"/>
          <w:b/>
          <w:bCs/>
        </w:rPr>
        <w:t>noted by Israel:</w:t>
      </w:r>
    </w:p>
    <w:p w14:paraId="340D2AA5" w14:textId="77777777" w:rsidR="00EE4E22" w:rsidRDefault="000B37BA" w:rsidP="000B37BA">
      <w:pPr>
        <w:pStyle w:val="ListParagraph"/>
        <w:ind w:left="450"/>
        <w:rPr>
          <w:rFonts w:cstheme="minorHAnsi"/>
        </w:rPr>
      </w:pPr>
      <w:r w:rsidRPr="000062CA">
        <w:rPr>
          <w:rFonts w:cstheme="minorHAnsi"/>
          <w:b/>
          <w:bCs/>
        </w:rPr>
        <w:t>118.112</w:t>
      </w:r>
      <w:r w:rsidRPr="000B37BA">
        <w:rPr>
          <w:rFonts w:cstheme="minorHAnsi"/>
        </w:rPr>
        <w:t xml:space="preserve"> Take necessary steps towards harmonizing its religious laws governing </w:t>
      </w:r>
      <w:r w:rsidR="00EE4E22" w:rsidRPr="000B37BA">
        <w:rPr>
          <w:rFonts w:cstheme="minorHAnsi"/>
        </w:rPr>
        <w:t>marriage and divorce with the provisions of the Convention on the Elimination of All Forms of Discrimination against Women and amend its legislation to allow for civil marriages without discrimination on the ground of religion or belief (Slovakia</w:t>
      </w:r>
      <w:proofErr w:type="gramStart"/>
      <w:r w:rsidR="00EE4E22" w:rsidRPr="000B37BA">
        <w:rPr>
          <w:rFonts w:cstheme="minorHAnsi"/>
        </w:rPr>
        <w:t>);</w:t>
      </w:r>
      <w:proofErr w:type="gramEnd"/>
    </w:p>
    <w:p w14:paraId="22E3887F" w14:textId="77777777" w:rsidR="00DD55DA" w:rsidRPr="00167FCA" w:rsidRDefault="00DD55DA" w:rsidP="00167FCA">
      <w:pPr>
        <w:rPr>
          <w:rFonts w:cstheme="minorHAnsi"/>
        </w:rPr>
      </w:pPr>
    </w:p>
    <w:p w14:paraId="2CFCA362" w14:textId="0F8B97AD" w:rsidR="002D40A9" w:rsidRDefault="002D40A9" w:rsidP="00496E46">
      <w:pPr>
        <w:spacing w:after="160"/>
        <w:jc w:val="both"/>
        <w:rPr>
          <w:rFonts w:eastAsia="Calibri" w:cstheme="minorHAnsi"/>
          <w:lang w:val="en-GB" w:bidi="he-IL"/>
        </w:rPr>
      </w:pPr>
      <w:r w:rsidRPr="002D40A9">
        <w:rPr>
          <w:rFonts w:eastAsia="Calibri" w:cstheme="minorHAnsi"/>
          <w:lang w:val="en-GB" w:bidi="he-IL"/>
        </w:rPr>
        <w:t>Jurisdiction of Religious and Family Courts:</w:t>
      </w:r>
    </w:p>
    <w:p w14:paraId="1F73FD17" w14:textId="4DB9C917" w:rsidR="00167FCA" w:rsidRDefault="00496E46" w:rsidP="0055433B">
      <w:pPr>
        <w:spacing w:after="160"/>
        <w:jc w:val="both"/>
        <w:rPr>
          <w:rFonts w:eastAsia="Calibri" w:cstheme="minorHAnsi"/>
          <w:lang w:val="en-GB"/>
        </w:rPr>
      </w:pPr>
      <w:r>
        <w:rPr>
          <w:rFonts w:eastAsia="Calibri" w:cstheme="minorHAnsi"/>
          <w:lang w:val="en-GB" w:bidi="he-IL"/>
        </w:rPr>
        <w:t>Despite accepting and noting</w:t>
      </w:r>
      <w:r w:rsidR="00167FCA" w:rsidRPr="00167FCA">
        <w:rPr>
          <w:rFonts w:eastAsia="Calibri" w:cstheme="minorHAnsi"/>
          <w:lang w:val="en-GB" w:bidi="he-IL"/>
        </w:rPr>
        <w:t xml:space="preserve"> these recommendations, Israel has continued to </w:t>
      </w:r>
      <w:r w:rsidR="0055433B">
        <w:rPr>
          <w:rFonts w:eastAsia="Calibri" w:cstheme="minorHAnsi"/>
          <w:lang w:val="en-GB" w:bidi="he-IL"/>
        </w:rPr>
        <w:t>i</w:t>
      </w:r>
      <w:r w:rsidR="00167FCA" w:rsidRPr="00167FCA">
        <w:rPr>
          <w:rFonts w:eastAsia="Calibri" w:cstheme="minorHAnsi"/>
          <w:lang w:val="en-GB" w:bidi="he-IL"/>
        </w:rPr>
        <w:t xml:space="preserve">mpose </w:t>
      </w:r>
      <w:r w:rsidR="0055433B">
        <w:rPr>
          <w:rFonts w:eastAsia="Calibri" w:cstheme="minorHAnsi"/>
          <w:lang w:val="en-GB" w:bidi="he-IL"/>
        </w:rPr>
        <w:t>r</w:t>
      </w:r>
      <w:r w:rsidR="00167FCA" w:rsidRPr="00167FCA">
        <w:rPr>
          <w:rFonts w:eastAsia="Calibri" w:cstheme="minorHAnsi"/>
          <w:lang w:val="en-GB" w:bidi="he-IL"/>
        </w:rPr>
        <w:t xml:space="preserve">eligious </w:t>
      </w:r>
      <w:r w:rsidR="0055433B">
        <w:rPr>
          <w:rFonts w:eastAsia="Calibri" w:cstheme="minorHAnsi"/>
          <w:lang w:val="en-GB" w:bidi="he-IL"/>
        </w:rPr>
        <w:t>l</w:t>
      </w:r>
      <w:r w:rsidR="00167FCA" w:rsidRPr="00167FCA">
        <w:rPr>
          <w:rFonts w:eastAsia="Calibri" w:cstheme="minorHAnsi"/>
          <w:lang w:val="en-GB" w:bidi="he-IL"/>
        </w:rPr>
        <w:t>aw</w:t>
      </w:r>
      <w:r w:rsidR="000062CA">
        <w:rPr>
          <w:rFonts w:eastAsia="Calibri" w:cstheme="minorHAnsi"/>
          <w:lang w:val="en-GB" w:bidi="he-IL"/>
        </w:rPr>
        <w:t xml:space="preserve"> on </w:t>
      </w:r>
      <w:r w:rsidR="000062CA" w:rsidRPr="00496E46">
        <w:rPr>
          <w:rFonts w:eastAsia="Calibri" w:cstheme="minorHAnsi"/>
          <w:b/>
          <w:bCs/>
          <w:lang w:val="en-GB" w:bidi="he-IL"/>
        </w:rPr>
        <w:t>personal status issues</w:t>
      </w:r>
      <w:r w:rsidR="00167FCA">
        <w:rPr>
          <w:rFonts w:eastAsia="Calibri" w:cstheme="minorHAnsi"/>
          <w:lang w:val="en-GB" w:bidi="he-IL"/>
        </w:rPr>
        <w:t xml:space="preserve">. </w:t>
      </w:r>
      <w:r w:rsidR="00167FCA" w:rsidRPr="00F80F27">
        <w:rPr>
          <w:rFonts w:eastAsia="Calibri" w:cstheme="minorHAnsi"/>
          <w:lang w:val="en-GB"/>
        </w:rPr>
        <w:t xml:space="preserve">In the State of Israel, </w:t>
      </w:r>
      <w:r w:rsidR="002D40A9" w:rsidRPr="002D40A9">
        <w:rPr>
          <w:rFonts w:eastAsia="Calibri" w:cstheme="minorHAnsi"/>
          <w:lang w:val="en-GB"/>
        </w:rPr>
        <w:t>two parallel legal systems govern family law</w:t>
      </w:r>
      <w:r w:rsidR="002D40A9">
        <w:rPr>
          <w:rFonts w:eastAsia="Calibri" w:cstheme="minorHAnsi"/>
          <w:lang w:val="en-GB"/>
        </w:rPr>
        <w:t>.</w:t>
      </w:r>
      <w:r w:rsidR="00166102">
        <w:rPr>
          <w:rFonts w:eastAsia="Calibri" w:cstheme="minorHAnsi"/>
          <w:lang w:val="en-GB"/>
        </w:rPr>
        <w:t xml:space="preserve"> </w:t>
      </w:r>
      <w:r w:rsidR="002D40A9">
        <w:rPr>
          <w:rFonts w:eastAsia="Calibri" w:cstheme="minorHAnsi"/>
          <w:lang w:val="en-GB"/>
        </w:rPr>
        <w:t>T</w:t>
      </w:r>
      <w:r w:rsidR="002D40A9" w:rsidRPr="00F80F27">
        <w:rPr>
          <w:rFonts w:eastAsia="Calibri" w:cstheme="minorHAnsi"/>
          <w:lang w:val="en-GB"/>
        </w:rPr>
        <w:t xml:space="preserve">he </w:t>
      </w:r>
      <w:r w:rsidR="00167FCA" w:rsidRPr="00F80F27">
        <w:rPr>
          <w:rFonts w:eastAsia="Calibri" w:cstheme="minorHAnsi"/>
          <w:lang w:val="en-GB"/>
        </w:rPr>
        <w:t xml:space="preserve">legal issues of marriage and divorce </w:t>
      </w:r>
      <w:r w:rsidR="00167FCA">
        <w:rPr>
          <w:rFonts w:eastAsia="Calibri" w:cstheme="minorHAnsi"/>
          <w:lang w:val="en-GB"/>
        </w:rPr>
        <w:t>continue to be</w:t>
      </w:r>
      <w:r w:rsidR="00167FCA" w:rsidRPr="00F80F27">
        <w:rPr>
          <w:rFonts w:eastAsia="Calibri" w:cstheme="minorHAnsi"/>
          <w:lang w:val="en-GB"/>
        </w:rPr>
        <w:t xml:space="preserve"> under the exclusive jurisdiction of </w:t>
      </w:r>
      <w:r w:rsidR="00167FCA" w:rsidRPr="00F80F27">
        <w:rPr>
          <w:rFonts w:eastAsia="Calibri" w:cstheme="minorHAnsi"/>
          <w:lang w:bidi="he-IL"/>
        </w:rPr>
        <w:t xml:space="preserve">the </w:t>
      </w:r>
      <w:r w:rsidR="005E6D3F">
        <w:rPr>
          <w:rFonts w:eastAsia="Calibri" w:cstheme="minorHAnsi"/>
          <w:lang w:val="en-GB"/>
        </w:rPr>
        <w:t>r</w:t>
      </w:r>
      <w:r w:rsidR="00167FCA" w:rsidRPr="00F80F27">
        <w:rPr>
          <w:rFonts w:eastAsia="Calibri" w:cstheme="minorHAnsi"/>
          <w:lang w:val="en-GB"/>
        </w:rPr>
        <w:t xml:space="preserve">eligious </w:t>
      </w:r>
      <w:r w:rsidR="005E6D3F">
        <w:rPr>
          <w:rFonts w:eastAsia="Calibri" w:cstheme="minorHAnsi"/>
          <w:lang w:val="en-GB"/>
        </w:rPr>
        <w:t>c</w:t>
      </w:r>
      <w:r w:rsidR="00167FCA" w:rsidRPr="00F80F27">
        <w:rPr>
          <w:rFonts w:eastAsia="Calibri" w:cstheme="minorHAnsi"/>
          <w:lang w:val="en-GB"/>
        </w:rPr>
        <w:t>ourts, whereas other legal issues pertaining to personal status such as distribution of property</w:t>
      </w:r>
      <w:r w:rsidR="0055433B">
        <w:rPr>
          <w:rFonts w:eastAsia="Calibri" w:cstheme="minorHAnsi"/>
          <w:lang w:val="en-GB"/>
        </w:rPr>
        <w:t>, alimony,</w:t>
      </w:r>
      <w:r w:rsidR="00167FCA" w:rsidRPr="00F80F27">
        <w:rPr>
          <w:rFonts w:eastAsia="Calibri" w:cstheme="minorHAnsi"/>
          <w:lang w:val="en-GB"/>
        </w:rPr>
        <w:t xml:space="preserve"> and child custody are under parallel jurisdiction of </w:t>
      </w:r>
      <w:r w:rsidR="0055433B">
        <w:rPr>
          <w:rFonts w:eastAsia="Calibri" w:cstheme="minorHAnsi"/>
          <w:lang w:val="en-GB"/>
        </w:rPr>
        <w:t xml:space="preserve">both </w:t>
      </w:r>
      <w:r w:rsidR="00167FCA" w:rsidRPr="00F80F27">
        <w:rPr>
          <w:rFonts w:eastAsia="Calibri" w:cstheme="minorHAnsi"/>
          <w:lang w:val="en-GB"/>
        </w:rPr>
        <w:t xml:space="preserve">the </w:t>
      </w:r>
      <w:r w:rsidR="005E6D3F">
        <w:rPr>
          <w:rFonts w:eastAsia="Calibri" w:cstheme="minorHAnsi"/>
          <w:lang w:val="en-GB"/>
        </w:rPr>
        <w:t>r</w:t>
      </w:r>
      <w:r w:rsidR="00167FCA" w:rsidRPr="00F80F27">
        <w:rPr>
          <w:rFonts w:eastAsia="Calibri" w:cstheme="minorHAnsi"/>
          <w:lang w:val="en-GB"/>
        </w:rPr>
        <w:t xml:space="preserve">eligious and </w:t>
      </w:r>
      <w:r w:rsidR="005E6D3F">
        <w:rPr>
          <w:rFonts w:eastAsia="Calibri" w:cstheme="minorHAnsi"/>
          <w:lang w:val="en-GB"/>
        </w:rPr>
        <w:t>c</w:t>
      </w:r>
      <w:r w:rsidR="00167FCA" w:rsidRPr="00F80F27">
        <w:rPr>
          <w:rFonts w:eastAsia="Calibri" w:cstheme="minorHAnsi"/>
          <w:lang w:val="en-GB"/>
        </w:rPr>
        <w:t xml:space="preserve">ivil </w:t>
      </w:r>
      <w:r w:rsidR="005E6D3F">
        <w:rPr>
          <w:rFonts w:eastAsia="Calibri" w:cstheme="minorHAnsi"/>
          <w:lang w:val="en-GB"/>
        </w:rPr>
        <w:t>f</w:t>
      </w:r>
      <w:r w:rsidR="00167FCA" w:rsidRPr="00F80F27">
        <w:rPr>
          <w:rFonts w:eastAsia="Calibri" w:cstheme="minorHAnsi"/>
          <w:lang w:val="en-GB"/>
        </w:rPr>
        <w:t xml:space="preserve">amily </w:t>
      </w:r>
      <w:r w:rsidR="005E6D3F">
        <w:rPr>
          <w:rFonts w:eastAsia="Calibri" w:cstheme="minorHAnsi"/>
          <w:lang w:val="en-GB"/>
        </w:rPr>
        <w:t>c</w:t>
      </w:r>
      <w:r w:rsidR="00167FCA" w:rsidRPr="00F80F27">
        <w:rPr>
          <w:rFonts w:eastAsia="Calibri" w:cstheme="minorHAnsi"/>
          <w:lang w:val="en-GB"/>
        </w:rPr>
        <w:t>ourts.</w:t>
      </w:r>
      <w:r w:rsidR="00167FCA" w:rsidRPr="00C658EF">
        <w:rPr>
          <w:rFonts w:eastAsia="Calibri" w:cstheme="minorHAnsi"/>
          <w:sz w:val="16"/>
          <w:szCs w:val="16"/>
          <w:lang w:val="en-GB"/>
        </w:rPr>
        <w:footnoteReference w:id="1"/>
      </w:r>
      <w:r w:rsidR="00167FCA" w:rsidRPr="00F80F27">
        <w:rPr>
          <w:rFonts w:eastAsia="Calibri" w:cstheme="minorHAnsi"/>
          <w:lang w:val="en-GB"/>
        </w:rPr>
        <w:t xml:space="preserve"> In practice</w:t>
      </w:r>
      <w:r w:rsidR="0055433B">
        <w:rPr>
          <w:rFonts w:eastAsia="Calibri" w:cstheme="minorHAnsi"/>
          <w:lang w:val="en-GB"/>
        </w:rPr>
        <w:t>,</w:t>
      </w:r>
      <w:r w:rsidR="00167FCA" w:rsidRPr="00F80F27">
        <w:rPr>
          <w:rFonts w:eastAsia="Calibri" w:cstheme="minorHAnsi"/>
          <w:lang w:val="en-GB"/>
        </w:rPr>
        <w:t xml:space="preserve"> applying</w:t>
      </w:r>
      <w:r w:rsidR="00167FCA" w:rsidRPr="00F80F27" w:rsidDel="0023132E">
        <w:rPr>
          <w:rFonts w:eastAsia="Calibri" w:cstheme="minorHAnsi"/>
          <w:lang w:val="en-GB"/>
        </w:rPr>
        <w:t xml:space="preserve"> </w:t>
      </w:r>
      <w:r w:rsidR="00167FCA" w:rsidRPr="00F80F27">
        <w:rPr>
          <w:rFonts w:eastAsia="Calibri" w:cstheme="minorHAnsi"/>
          <w:lang w:val="en-GB"/>
        </w:rPr>
        <w:t>different laws and regulations to the parties in a dispute depending on their religio</w:t>
      </w:r>
      <w:r w:rsidR="0055433B">
        <w:rPr>
          <w:rFonts w:eastAsia="Calibri" w:cstheme="minorHAnsi"/>
          <w:lang w:val="en-GB"/>
        </w:rPr>
        <w:t>us</w:t>
      </w:r>
      <w:r w:rsidR="00167FCA" w:rsidRPr="00F80F27">
        <w:rPr>
          <w:rFonts w:eastAsia="Calibri" w:cstheme="minorHAnsi"/>
          <w:lang w:val="en-GB"/>
        </w:rPr>
        <w:t xml:space="preserve"> denomination results in different rules and levels of protection in matters of personal status.</w:t>
      </w:r>
    </w:p>
    <w:p w14:paraId="03CA2B21" w14:textId="5A1C316B" w:rsidR="00A54632" w:rsidRPr="00F80F27" w:rsidRDefault="00A54632" w:rsidP="0055433B">
      <w:pPr>
        <w:spacing w:after="160"/>
        <w:jc w:val="both"/>
        <w:rPr>
          <w:rFonts w:eastAsia="Calibri" w:cstheme="minorHAnsi"/>
          <w:lang w:val="en-GB"/>
        </w:rPr>
      </w:pPr>
      <w:r w:rsidRPr="00A54632">
        <w:rPr>
          <w:rFonts w:eastAsia="Calibri" w:cstheme="minorHAnsi"/>
          <w:lang w:val="en-GB"/>
        </w:rPr>
        <w:t>According to Israeli law, the Supreme Court has the authority to judicially review religious courts if they exceed their authority, but its involvement in actual practice is minimal. Imposing religion-based family law constitutes a violation of the right to freedom of conscience, freedom of religion, and equality in marriage.</w:t>
      </w:r>
    </w:p>
    <w:p w14:paraId="12DFEDC5" w14:textId="77777777" w:rsidR="005E6D3F" w:rsidRDefault="005E6D3F">
      <w:pPr>
        <w:rPr>
          <w:rFonts w:eastAsia="Calibri" w:cstheme="minorHAnsi"/>
          <w:b/>
          <w:bCs/>
          <w:sz w:val="28"/>
          <w:szCs w:val="28"/>
          <w:lang w:val="en-GB"/>
        </w:rPr>
      </w:pPr>
      <w:r>
        <w:rPr>
          <w:rFonts w:eastAsia="Calibri" w:cstheme="minorHAnsi"/>
          <w:b/>
          <w:bCs/>
          <w:sz w:val="28"/>
          <w:szCs w:val="28"/>
          <w:lang w:val="en-GB"/>
        </w:rPr>
        <w:br w:type="page"/>
      </w:r>
    </w:p>
    <w:p w14:paraId="7320B1F4" w14:textId="124F9A52" w:rsidR="00167FCA" w:rsidRPr="00F80F27" w:rsidRDefault="00167FCA" w:rsidP="00D85F60">
      <w:pPr>
        <w:spacing w:after="160"/>
        <w:jc w:val="both"/>
        <w:outlineLvl w:val="0"/>
        <w:rPr>
          <w:rFonts w:eastAsia="Calibri" w:cstheme="minorHAnsi"/>
          <w:b/>
          <w:bCs/>
          <w:sz w:val="28"/>
          <w:szCs w:val="28"/>
          <w:lang w:val="en-GB"/>
        </w:rPr>
      </w:pPr>
      <w:r w:rsidRPr="00F80F27">
        <w:rPr>
          <w:rFonts w:eastAsia="Calibri" w:cstheme="minorHAnsi"/>
          <w:b/>
          <w:bCs/>
          <w:sz w:val="28"/>
          <w:szCs w:val="28"/>
          <w:lang w:val="en-GB"/>
        </w:rPr>
        <w:lastRenderedPageBreak/>
        <w:t>Discrimination against women in religious courts</w:t>
      </w:r>
    </w:p>
    <w:p w14:paraId="33453A3C" w14:textId="40550C96" w:rsidR="00D85F60" w:rsidRPr="003F345B" w:rsidRDefault="008777F2" w:rsidP="008777F2">
      <w:pPr>
        <w:numPr>
          <w:ilvl w:val="0"/>
          <w:numId w:val="4"/>
        </w:numPr>
        <w:spacing w:after="160" w:line="276" w:lineRule="auto"/>
        <w:ind w:left="360"/>
        <w:contextualSpacing/>
        <w:jc w:val="both"/>
        <w:rPr>
          <w:rFonts w:eastAsia="Calibri" w:cstheme="minorHAnsi"/>
          <w:lang w:bidi="he-IL"/>
        </w:rPr>
      </w:pPr>
      <w:r>
        <w:rPr>
          <w:rFonts w:eastAsia="Calibri" w:cstheme="minorHAnsi"/>
          <w:b/>
          <w:bCs/>
          <w:sz w:val="28"/>
          <w:szCs w:val="28"/>
          <w:lang w:val="en-GB"/>
        </w:rPr>
        <w:t>Sharia C</w:t>
      </w:r>
      <w:r w:rsidR="00D85F60" w:rsidRPr="00F80F27">
        <w:rPr>
          <w:rFonts w:eastAsia="Calibri" w:cstheme="minorHAnsi"/>
          <w:b/>
          <w:bCs/>
          <w:sz w:val="28"/>
          <w:szCs w:val="28"/>
          <w:lang w:val="en-GB"/>
        </w:rPr>
        <w:t>ourts</w:t>
      </w:r>
      <w:r w:rsidR="00167FCA" w:rsidRPr="00F80F27">
        <w:rPr>
          <w:rFonts w:eastAsia="Calibri" w:cstheme="minorHAnsi"/>
          <w:lang w:bidi="he-IL"/>
        </w:rPr>
        <w:t>:</w:t>
      </w:r>
    </w:p>
    <w:p w14:paraId="339D93EA" w14:textId="77777777" w:rsidR="00167FCA" w:rsidRPr="00AC696D" w:rsidRDefault="00167FCA" w:rsidP="008777F2">
      <w:pPr>
        <w:numPr>
          <w:ilvl w:val="0"/>
          <w:numId w:val="2"/>
        </w:numPr>
        <w:spacing w:after="160" w:line="276" w:lineRule="auto"/>
        <w:ind w:left="450"/>
        <w:contextualSpacing/>
        <w:jc w:val="both"/>
        <w:rPr>
          <w:rFonts w:eastAsia="Calibri" w:cstheme="minorHAnsi"/>
          <w:b/>
          <w:bCs/>
          <w:lang w:bidi="he-IL"/>
        </w:rPr>
      </w:pPr>
      <w:r w:rsidRPr="00C658EF">
        <w:rPr>
          <w:rFonts w:eastAsia="Calibri" w:cstheme="minorHAnsi"/>
          <w:b/>
          <w:bCs/>
          <w:lang w:val="en-GB"/>
        </w:rPr>
        <w:t>Obedience in Sharia Courts</w:t>
      </w:r>
      <w:r w:rsidRPr="00AC696D">
        <w:rPr>
          <w:rFonts w:eastAsia="Calibri" w:cstheme="minorHAnsi"/>
          <w:b/>
          <w:bCs/>
          <w:lang w:bidi="he-IL"/>
        </w:rPr>
        <w:t>:</w:t>
      </w:r>
    </w:p>
    <w:p w14:paraId="204BF21F" w14:textId="28E3441D" w:rsidR="00167FCA" w:rsidRPr="00F80F27" w:rsidRDefault="00C97576" w:rsidP="00C947EE">
      <w:pPr>
        <w:spacing w:after="160"/>
        <w:jc w:val="both"/>
        <w:rPr>
          <w:rFonts w:eastAsia="Calibri" w:cstheme="minorHAnsi"/>
          <w:lang w:bidi="he-IL"/>
        </w:rPr>
      </w:pPr>
      <w:r w:rsidRPr="00F80F27">
        <w:rPr>
          <w:rFonts w:eastAsia="Calibri" w:cstheme="minorHAnsi"/>
          <w:lang w:bidi="he-IL"/>
        </w:rPr>
        <w:t>Obedience</w:t>
      </w:r>
      <w:r>
        <w:rPr>
          <w:rFonts w:eastAsia="Calibri" w:cstheme="minorHAnsi" w:hint="cs"/>
          <w:rtl/>
          <w:lang w:bidi="ar-JO"/>
        </w:rPr>
        <w:t xml:space="preserve"> </w:t>
      </w:r>
      <w:r>
        <w:rPr>
          <w:rFonts w:eastAsia="Calibri" w:cstheme="minorHAnsi" w:hint="cs"/>
          <w:lang w:bidi="ar-JO"/>
        </w:rPr>
        <w:t>lawsuits</w:t>
      </w:r>
      <w:r w:rsidR="00167FCA" w:rsidRPr="00F80F27">
        <w:rPr>
          <w:rFonts w:eastAsia="Calibri" w:cstheme="minorHAnsi"/>
          <w:lang w:bidi="he-IL"/>
        </w:rPr>
        <w:t xml:space="preserve"> </w:t>
      </w:r>
      <w:r w:rsidR="0052053E">
        <w:rPr>
          <w:rFonts w:eastAsia="Calibri" w:cstheme="minorHAnsi"/>
          <w:lang w:bidi="he-IL"/>
        </w:rPr>
        <w:t>are</w:t>
      </w:r>
      <w:r w:rsidR="0052053E" w:rsidRPr="00F80F27">
        <w:rPr>
          <w:rFonts w:eastAsia="Calibri" w:cstheme="minorHAnsi"/>
          <w:lang w:bidi="he-IL"/>
        </w:rPr>
        <w:t xml:space="preserve"> </w:t>
      </w:r>
      <w:r w:rsidR="00167FCA" w:rsidRPr="00F80F27">
        <w:rPr>
          <w:rFonts w:eastAsia="Calibri" w:cstheme="minorHAnsi"/>
          <w:lang w:bidi="he-IL"/>
        </w:rPr>
        <w:t>present in most religious laws. According to Islamic Sharia, a wife must obey her husband, who in return pays th</w:t>
      </w:r>
      <w:r w:rsidR="008777F2">
        <w:rPr>
          <w:rFonts w:eastAsia="Calibri" w:cstheme="minorHAnsi"/>
          <w:lang w:bidi="he-IL"/>
        </w:rPr>
        <w:t>e dowry and the wife’s expenses</w:t>
      </w:r>
      <w:r w:rsidR="00167FCA" w:rsidRPr="00F80F27">
        <w:rPr>
          <w:rFonts w:eastAsia="Calibri" w:cstheme="minorHAnsi"/>
          <w:lang w:bidi="he-IL"/>
        </w:rPr>
        <w:t xml:space="preserve">. In this lawsuit the husband demands his wife obey him. This experience </w:t>
      </w:r>
      <w:r w:rsidR="0052053E">
        <w:rPr>
          <w:rFonts w:eastAsia="Calibri" w:cstheme="minorHAnsi"/>
          <w:lang w:bidi="he-IL"/>
        </w:rPr>
        <w:t>is</w:t>
      </w:r>
      <w:r w:rsidR="00167FCA" w:rsidRPr="00F80F27">
        <w:rPr>
          <w:rFonts w:eastAsia="Calibri" w:cstheme="minorHAnsi"/>
          <w:lang w:bidi="he-IL"/>
        </w:rPr>
        <w:t xml:space="preserve"> humiliating for the wife, exhausting, painful and expensive. Obedience lawsuits are often filed by husbands against wives who move out of the house, or those who file alimony lawsuits</w:t>
      </w:r>
      <w:r w:rsidR="00167FCA" w:rsidRPr="00F80F27">
        <w:rPr>
          <w:rFonts w:eastAsia="Calibri" w:cstheme="minorHAnsi"/>
          <w:rtl/>
          <w:lang w:bidi="he-IL"/>
        </w:rPr>
        <w:t>.</w:t>
      </w:r>
    </w:p>
    <w:p w14:paraId="01D7DC3A" w14:textId="20A4529C" w:rsidR="00D85F60" w:rsidRPr="003F345B" w:rsidRDefault="00167FCA" w:rsidP="00C947EE">
      <w:pPr>
        <w:spacing w:after="160"/>
        <w:jc w:val="both"/>
        <w:rPr>
          <w:rFonts w:eastAsia="Calibri" w:cstheme="minorHAnsi"/>
          <w:b/>
          <w:bCs/>
          <w:color w:val="FF0000"/>
          <w:lang w:bidi="he-IL"/>
        </w:rPr>
      </w:pPr>
      <w:r w:rsidRPr="00F80F27">
        <w:rPr>
          <w:rFonts w:eastAsia="Calibri" w:cstheme="minorHAnsi"/>
          <w:lang w:bidi="he-IL"/>
        </w:rPr>
        <w:t>Obedience lawsuit pro</w:t>
      </w:r>
      <w:r w:rsidR="00C947EE">
        <w:rPr>
          <w:rFonts w:eastAsia="Calibri" w:cstheme="minorHAnsi"/>
          <w:lang w:bidi="he-IL"/>
        </w:rPr>
        <w:t>cedure is still running</w:t>
      </w:r>
      <w:r w:rsidRPr="00F80F27">
        <w:rPr>
          <w:rFonts w:eastAsia="Calibri" w:cstheme="minorHAnsi"/>
          <w:lang w:bidi="he-IL"/>
        </w:rPr>
        <w:t>. According the 2021 annual report of Sharia courts, 194 cases</w:t>
      </w:r>
      <w:r w:rsidRPr="00F80F27">
        <w:rPr>
          <w:rFonts w:cstheme="minorHAnsi"/>
        </w:rPr>
        <w:t xml:space="preserve"> </w:t>
      </w:r>
      <w:r w:rsidRPr="00F80F27">
        <w:rPr>
          <w:rFonts w:eastAsia="Calibri" w:cstheme="minorHAnsi"/>
          <w:lang w:bidi="he-IL"/>
        </w:rPr>
        <w:t xml:space="preserve">of </w:t>
      </w:r>
      <w:r w:rsidR="005E6D3F">
        <w:rPr>
          <w:rFonts w:eastAsia="Calibri" w:cstheme="minorHAnsi"/>
          <w:lang w:bidi="he-IL"/>
        </w:rPr>
        <w:t>o</w:t>
      </w:r>
      <w:r w:rsidRPr="00F80F27">
        <w:rPr>
          <w:rFonts w:eastAsia="Calibri" w:cstheme="minorHAnsi"/>
          <w:lang w:bidi="he-IL"/>
        </w:rPr>
        <w:t>bedience were running</w:t>
      </w:r>
      <w:r w:rsidRPr="00F80F27">
        <w:rPr>
          <w:rFonts w:cstheme="minorHAnsi"/>
        </w:rPr>
        <w:t xml:space="preserve"> </w:t>
      </w:r>
      <w:r w:rsidR="005E6D3F">
        <w:rPr>
          <w:rFonts w:eastAsia="Calibri" w:cstheme="minorHAnsi"/>
          <w:lang w:bidi="he-IL"/>
        </w:rPr>
        <w:t>in</w:t>
      </w:r>
      <w:r w:rsidRPr="00F80F27">
        <w:rPr>
          <w:rFonts w:eastAsia="Calibri" w:cstheme="minorHAnsi"/>
          <w:lang w:bidi="he-IL"/>
        </w:rPr>
        <w:t xml:space="preserve"> 2019, 141</w:t>
      </w:r>
      <w:r w:rsidRPr="00F80F27">
        <w:rPr>
          <w:rFonts w:cstheme="minorHAnsi"/>
        </w:rPr>
        <w:t xml:space="preserve"> </w:t>
      </w:r>
      <w:r w:rsidRPr="00F80F27">
        <w:rPr>
          <w:rFonts w:eastAsia="Calibri" w:cstheme="minorHAnsi"/>
          <w:lang w:bidi="he-IL"/>
        </w:rPr>
        <w:t xml:space="preserve">cases </w:t>
      </w:r>
      <w:r w:rsidR="005E6D3F">
        <w:rPr>
          <w:rFonts w:eastAsia="Calibri" w:cstheme="minorHAnsi"/>
          <w:lang w:bidi="he-IL"/>
        </w:rPr>
        <w:t>in</w:t>
      </w:r>
      <w:r w:rsidRPr="00F80F27">
        <w:rPr>
          <w:rFonts w:eastAsia="Calibri" w:cstheme="minorHAnsi"/>
          <w:lang w:bidi="he-IL"/>
        </w:rPr>
        <w:t xml:space="preserve"> 2020</w:t>
      </w:r>
      <w:r w:rsidR="005E6D3F">
        <w:rPr>
          <w:rFonts w:eastAsia="Calibri" w:cstheme="minorHAnsi"/>
          <w:lang w:bidi="he-IL"/>
        </w:rPr>
        <w:t>,</w:t>
      </w:r>
      <w:r w:rsidRPr="00F80F27">
        <w:rPr>
          <w:rFonts w:eastAsia="Calibri" w:cstheme="minorHAnsi"/>
          <w:lang w:bidi="he-IL"/>
        </w:rPr>
        <w:t xml:space="preserve"> and 162 cases </w:t>
      </w:r>
      <w:r w:rsidR="005E6D3F">
        <w:rPr>
          <w:rFonts w:eastAsia="Calibri" w:cstheme="minorHAnsi"/>
          <w:lang w:bidi="he-IL"/>
        </w:rPr>
        <w:t>in</w:t>
      </w:r>
      <w:r w:rsidRPr="00F80F27">
        <w:rPr>
          <w:rFonts w:eastAsia="Calibri" w:cstheme="minorHAnsi"/>
          <w:lang w:bidi="he-IL"/>
        </w:rPr>
        <w:t xml:space="preserve"> 2021.</w:t>
      </w:r>
      <w:r w:rsidR="00C97576">
        <w:rPr>
          <w:rStyle w:val="FootnoteReference"/>
          <w:rFonts w:eastAsia="Calibri" w:cstheme="minorHAnsi"/>
          <w:lang w:bidi="he-IL"/>
        </w:rPr>
        <w:footnoteReference w:id="2"/>
      </w:r>
    </w:p>
    <w:p w14:paraId="16724E7D" w14:textId="785CB852" w:rsidR="00D85F60" w:rsidRPr="00AC696D" w:rsidRDefault="00D85F60" w:rsidP="008777F2">
      <w:pPr>
        <w:numPr>
          <w:ilvl w:val="0"/>
          <w:numId w:val="2"/>
        </w:numPr>
        <w:spacing w:after="160" w:line="276" w:lineRule="auto"/>
        <w:ind w:left="450"/>
        <w:contextualSpacing/>
        <w:jc w:val="both"/>
        <w:rPr>
          <w:rFonts w:eastAsia="Calibri" w:cstheme="minorHAnsi"/>
          <w:b/>
          <w:bCs/>
          <w:lang w:val="en-GB"/>
        </w:rPr>
      </w:pPr>
      <w:r w:rsidRPr="00AC696D">
        <w:rPr>
          <w:rFonts w:eastAsia="Calibri" w:cstheme="minorHAnsi"/>
          <w:b/>
          <w:bCs/>
          <w:lang w:val="en-GB"/>
        </w:rPr>
        <w:t xml:space="preserve">Child Custody </w:t>
      </w:r>
      <w:r w:rsidR="00167FCA" w:rsidRPr="00AC696D">
        <w:rPr>
          <w:rFonts w:eastAsia="Calibri" w:cstheme="minorHAnsi"/>
          <w:b/>
          <w:bCs/>
          <w:lang w:val="en-GB"/>
        </w:rPr>
        <w:t>in Sharia Courts:</w:t>
      </w:r>
    </w:p>
    <w:p w14:paraId="393544BA" w14:textId="495DE798" w:rsidR="00167FCA" w:rsidRPr="00D85F60" w:rsidRDefault="00167FCA" w:rsidP="00C97576">
      <w:pPr>
        <w:spacing w:after="160"/>
        <w:jc w:val="both"/>
        <w:rPr>
          <w:rFonts w:eastAsia="Calibri" w:cstheme="minorHAnsi"/>
          <w:b/>
          <w:bCs/>
          <w:sz w:val="28"/>
          <w:szCs w:val="28"/>
          <w:lang w:val="en-GB"/>
        </w:rPr>
      </w:pPr>
      <w:r w:rsidRPr="00D85F60">
        <w:rPr>
          <w:rFonts w:eastAsia="Calibri" w:cstheme="minorHAnsi"/>
          <w:lang w:bidi="he-IL"/>
        </w:rPr>
        <w:t xml:space="preserve">The most important consideration in cases of child custody is </w:t>
      </w:r>
      <w:r w:rsidRPr="00D85F60">
        <w:rPr>
          <w:rFonts w:eastAsia="Calibri" w:cstheme="minorHAnsi"/>
          <w:b/>
          <w:bCs/>
          <w:lang w:bidi="he-IL"/>
        </w:rPr>
        <w:t>the child’s best interests</w:t>
      </w:r>
      <w:r w:rsidRPr="00D85F60">
        <w:rPr>
          <w:rFonts w:eastAsia="Calibri" w:cstheme="minorHAnsi"/>
          <w:lang w:bidi="he-IL"/>
        </w:rPr>
        <w:t xml:space="preserve">, but this does not always fare well with religious law. </w:t>
      </w:r>
      <w:r w:rsidR="00C947EE">
        <w:rPr>
          <w:rFonts w:eastAsia="Calibri" w:cstheme="minorHAnsi"/>
          <w:lang w:bidi="he-IL"/>
        </w:rPr>
        <w:t xml:space="preserve">Even though Sharia </w:t>
      </w:r>
      <w:r w:rsidR="005E6D3F">
        <w:rPr>
          <w:rFonts w:eastAsia="Calibri" w:cstheme="minorHAnsi"/>
          <w:lang w:bidi="he-IL"/>
        </w:rPr>
        <w:t>c</w:t>
      </w:r>
      <w:r w:rsidRPr="00D85F60">
        <w:rPr>
          <w:rFonts w:eastAsia="Calibri" w:cstheme="minorHAnsi"/>
          <w:lang w:bidi="he-IL"/>
        </w:rPr>
        <w:t xml:space="preserve">ourt is subject to some aspects of Israeli civil law, which specifies that the priority should always be given to the </w:t>
      </w:r>
      <w:r w:rsidRPr="00C947EE">
        <w:rPr>
          <w:rFonts w:eastAsia="Calibri" w:cstheme="minorHAnsi"/>
          <w:b/>
          <w:bCs/>
          <w:lang w:bidi="he-IL"/>
        </w:rPr>
        <w:t>child’s ‘best interests’</w:t>
      </w:r>
      <w:r w:rsidR="00C947EE">
        <w:rPr>
          <w:rFonts w:eastAsia="Calibri" w:cstheme="minorHAnsi"/>
          <w:lang w:bidi="he-IL"/>
        </w:rPr>
        <w:t>,</w:t>
      </w:r>
      <w:r w:rsidR="003031BC">
        <w:rPr>
          <w:rFonts w:eastAsia="Calibri" w:cstheme="minorHAnsi"/>
          <w:lang w:bidi="he-IL"/>
        </w:rPr>
        <w:t xml:space="preserve"> </w:t>
      </w:r>
      <w:r w:rsidR="00C947EE">
        <w:rPr>
          <w:rFonts w:eastAsia="Calibri" w:cstheme="minorHAnsi"/>
          <w:lang w:bidi="he-IL"/>
        </w:rPr>
        <w:t>Sharia courts</w:t>
      </w:r>
      <w:r w:rsidRPr="00D85F60">
        <w:rPr>
          <w:rFonts w:eastAsia="Calibri" w:cstheme="minorHAnsi"/>
          <w:lang w:bidi="he-IL"/>
        </w:rPr>
        <w:t xml:space="preserve"> use two discriminatory caveats that, if fulfilled, effectively strip the mother of child custody</w:t>
      </w:r>
      <w:r w:rsidRPr="00D85F60">
        <w:rPr>
          <w:rFonts w:eastAsia="Calibri" w:cstheme="minorHAnsi"/>
          <w:rtl/>
          <w:lang w:bidi="he-IL"/>
        </w:rPr>
        <w:t>:</w:t>
      </w:r>
    </w:p>
    <w:p w14:paraId="4B9A5AD4" w14:textId="188917E2" w:rsidR="00167FCA" w:rsidRPr="00836EDE" w:rsidRDefault="00AC696D" w:rsidP="00C97576">
      <w:pPr>
        <w:numPr>
          <w:ilvl w:val="0"/>
          <w:numId w:val="1"/>
        </w:numPr>
        <w:spacing w:after="160"/>
        <w:contextualSpacing/>
        <w:jc w:val="both"/>
        <w:rPr>
          <w:rFonts w:eastAsia="Calibri" w:cstheme="minorHAnsi"/>
          <w:lang w:bidi="he-IL"/>
        </w:rPr>
      </w:pPr>
      <w:r w:rsidRPr="00836EDE">
        <w:rPr>
          <w:rFonts w:eastAsia="Calibri" w:cstheme="minorHAnsi"/>
          <w:lang w:val="en-GB" w:bidi="he-IL"/>
        </w:rPr>
        <w:t>In t</w:t>
      </w:r>
      <w:r w:rsidR="00167FCA" w:rsidRPr="00836EDE">
        <w:rPr>
          <w:rFonts w:eastAsia="Calibri" w:cstheme="minorHAnsi"/>
          <w:lang w:bidi="he-IL"/>
        </w:rPr>
        <w:t>he case of mother marrying another man after getting a divorce, she might lose her right to custody.</w:t>
      </w:r>
      <w:r w:rsidR="00C97576" w:rsidRPr="00836EDE">
        <w:rPr>
          <w:rStyle w:val="FootnoteReference"/>
          <w:rFonts w:eastAsia="Calibri" w:cstheme="minorHAnsi"/>
          <w:lang w:bidi="he-IL"/>
        </w:rPr>
        <w:footnoteReference w:id="3"/>
      </w:r>
      <w:r w:rsidR="00167FCA" w:rsidRPr="00836EDE">
        <w:rPr>
          <w:rFonts w:eastAsia="Calibri" w:cstheme="minorHAnsi"/>
          <w:lang w:bidi="he-IL"/>
        </w:rPr>
        <w:t xml:space="preserve"> </w:t>
      </w:r>
    </w:p>
    <w:p w14:paraId="5D48B470" w14:textId="2544112A" w:rsidR="00167FCA" w:rsidRDefault="00167FCA" w:rsidP="0074653A">
      <w:pPr>
        <w:numPr>
          <w:ilvl w:val="0"/>
          <w:numId w:val="1"/>
        </w:numPr>
        <w:spacing w:after="160"/>
        <w:contextualSpacing/>
        <w:jc w:val="both"/>
        <w:rPr>
          <w:rFonts w:eastAsia="Calibri" w:cstheme="minorHAnsi"/>
          <w:sz w:val="22"/>
          <w:szCs w:val="22"/>
          <w:lang w:val="en-GB" w:bidi="he-IL"/>
        </w:rPr>
      </w:pPr>
      <w:r w:rsidRPr="00F80F27">
        <w:rPr>
          <w:rFonts w:eastAsia="Calibri" w:cstheme="minorHAnsi"/>
          <w:lang w:bidi="he-IL"/>
        </w:rPr>
        <w:t xml:space="preserve">The child’s age: according to the Hanafi school of thought used in Sharia courts, a mother has custody over her child until 7 years old </w:t>
      </w:r>
      <w:r w:rsidR="00AC696D">
        <w:rPr>
          <w:rFonts w:eastAsia="Calibri" w:cstheme="minorHAnsi"/>
          <w:lang w:bidi="he-IL"/>
        </w:rPr>
        <w:t>if</w:t>
      </w:r>
      <w:r w:rsidRPr="00F80F27">
        <w:rPr>
          <w:rFonts w:eastAsia="Calibri" w:cstheme="minorHAnsi"/>
          <w:lang w:bidi="he-IL"/>
        </w:rPr>
        <w:t xml:space="preserve"> a boy</w:t>
      </w:r>
      <w:r w:rsidR="00AC696D">
        <w:rPr>
          <w:rFonts w:eastAsia="Calibri" w:cstheme="minorHAnsi"/>
          <w:lang w:bidi="he-IL"/>
        </w:rPr>
        <w:t>;</w:t>
      </w:r>
      <w:r w:rsidRPr="00F80F27">
        <w:rPr>
          <w:rFonts w:eastAsia="Calibri" w:cstheme="minorHAnsi"/>
          <w:lang w:bidi="he-IL"/>
        </w:rPr>
        <w:t xml:space="preserve"> 9 years old </w:t>
      </w:r>
      <w:r w:rsidR="00AC696D">
        <w:rPr>
          <w:rFonts w:eastAsia="Calibri" w:cstheme="minorHAnsi"/>
          <w:lang w:bidi="he-IL"/>
        </w:rPr>
        <w:t>if a</w:t>
      </w:r>
      <w:r w:rsidR="00AC696D" w:rsidRPr="00F80F27">
        <w:rPr>
          <w:rFonts w:eastAsia="Calibri" w:cstheme="minorHAnsi"/>
          <w:lang w:bidi="he-IL"/>
        </w:rPr>
        <w:t xml:space="preserve"> </w:t>
      </w:r>
      <w:r w:rsidRPr="00F80F27">
        <w:rPr>
          <w:rFonts w:eastAsia="Calibri" w:cstheme="minorHAnsi"/>
          <w:lang w:bidi="he-IL"/>
        </w:rPr>
        <w:t>girl</w:t>
      </w:r>
      <w:r w:rsidRPr="00F80F27">
        <w:rPr>
          <w:rFonts w:eastAsia="Calibri" w:cstheme="minorHAnsi"/>
          <w:rtl/>
          <w:lang w:bidi="he-IL"/>
        </w:rPr>
        <w:t>.</w:t>
      </w:r>
    </w:p>
    <w:p w14:paraId="5C1AAE8F" w14:textId="77777777" w:rsidR="0074653A" w:rsidRPr="0074653A" w:rsidRDefault="0074653A" w:rsidP="0074653A">
      <w:pPr>
        <w:spacing w:after="160"/>
        <w:ind w:left="720"/>
        <w:contextualSpacing/>
        <w:jc w:val="both"/>
        <w:rPr>
          <w:rFonts w:eastAsia="Calibri" w:cstheme="minorHAnsi"/>
          <w:sz w:val="22"/>
          <w:szCs w:val="22"/>
          <w:rtl/>
          <w:lang w:val="en-GB" w:bidi="he-IL"/>
        </w:rPr>
      </w:pPr>
    </w:p>
    <w:p w14:paraId="493F1CC8" w14:textId="7E67BD14" w:rsidR="00167FCA" w:rsidRPr="00F80F27" w:rsidRDefault="006F4B6E" w:rsidP="00D85F60">
      <w:pPr>
        <w:spacing w:after="160"/>
        <w:jc w:val="both"/>
        <w:outlineLvl w:val="0"/>
        <w:rPr>
          <w:rFonts w:eastAsia="Calibri" w:cstheme="minorHAnsi"/>
          <w:b/>
          <w:bCs/>
          <w:sz w:val="28"/>
          <w:szCs w:val="28"/>
          <w:lang w:val="en-GB"/>
        </w:rPr>
      </w:pPr>
      <w:r>
        <w:rPr>
          <w:rFonts w:eastAsia="Calibri" w:cstheme="minorHAnsi"/>
          <w:b/>
          <w:bCs/>
          <w:sz w:val="28"/>
          <w:szCs w:val="28"/>
          <w:lang w:val="en-GB"/>
        </w:rPr>
        <w:t xml:space="preserve">2- </w:t>
      </w:r>
      <w:r w:rsidR="00167FCA" w:rsidRPr="00F80F27">
        <w:rPr>
          <w:rFonts w:eastAsia="Calibri" w:cstheme="minorHAnsi"/>
          <w:b/>
          <w:bCs/>
          <w:sz w:val="28"/>
          <w:szCs w:val="28"/>
          <w:lang w:val="en-GB"/>
        </w:rPr>
        <w:t>Ecclesiastical court:</w:t>
      </w:r>
    </w:p>
    <w:p w14:paraId="0A4FE076" w14:textId="37D9FBBE" w:rsidR="00167FCA" w:rsidRPr="00F80F27" w:rsidRDefault="00167FCA" w:rsidP="00AC696D">
      <w:pPr>
        <w:spacing w:after="160"/>
        <w:contextualSpacing/>
        <w:jc w:val="both"/>
        <w:rPr>
          <w:rFonts w:eastAsia="Calibri" w:cstheme="minorHAnsi"/>
          <w:lang w:val="en-GB" w:bidi="he-IL"/>
        </w:rPr>
      </w:pPr>
      <w:r w:rsidRPr="00F80F27">
        <w:rPr>
          <w:rFonts w:eastAsia="Calibri" w:cstheme="minorHAnsi"/>
          <w:lang w:val="en-GB" w:bidi="he-IL"/>
        </w:rPr>
        <w:t>Ecclesiastical courts enjoy full independence. Thus, they set the rules of procedure that govern legal proceedings, set the fees for every legal proceeding, and make procedural and substantive decisions</w:t>
      </w:r>
      <w:r w:rsidR="008E10C6">
        <w:rPr>
          <w:rFonts w:eastAsia="Calibri" w:cstheme="minorHAnsi"/>
          <w:lang w:val="en-GB" w:bidi="he-IL"/>
        </w:rPr>
        <w:t>.</w:t>
      </w:r>
      <w:r w:rsidRPr="00F80F27">
        <w:rPr>
          <w:rFonts w:eastAsia="Calibri" w:cstheme="minorHAnsi"/>
          <w:lang w:val="en-GB" w:bidi="he-IL"/>
        </w:rPr>
        <w:t xml:space="preserve"> However, most of these legal activities are unpublished and unreported.</w:t>
      </w:r>
      <w:r w:rsidR="003031BC">
        <w:rPr>
          <w:rFonts w:eastAsia="Calibri" w:cstheme="minorHAnsi"/>
          <w:lang w:val="en-GB" w:bidi="he-IL"/>
        </w:rPr>
        <w:t xml:space="preserve"> </w:t>
      </w:r>
      <w:r w:rsidRPr="00F80F27">
        <w:rPr>
          <w:rFonts w:eastAsia="Calibri" w:cstheme="minorHAnsi"/>
          <w:lang w:val="en-GB" w:bidi="he-IL"/>
        </w:rPr>
        <w:t>Ecclesiastical courts</w:t>
      </w:r>
      <w:r w:rsidR="00C947EE">
        <w:rPr>
          <w:rFonts w:eastAsia="Calibri" w:cstheme="minorHAnsi"/>
          <w:lang w:val="en-GB" w:bidi="he-IL"/>
        </w:rPr>
        <w:t xml:space="preserve"> also</w:t>
      </w:r>
      <w:r w:rsidRPr="00F80F27">
        <w:rPr>
          <w:rFonts w:eastAsia="Calibri" w:cstheme="minorHAnsi"/>
          <w:lang w:val="en-GB" w:bidi="he-IL"/>
        </w:rPr>
        <w:t xml:space="preserve"> abuse their autonomy in a way that violates basic human rights, while the State – through its non-involvement policy</w:t>
      </w:r>
      <w:r w:rsidR="007D6DC6" w:rsidRPr="00F80F27">
        <w:rPr>
          <w:rFonts w:eastAsia="Calibri" w:cstheme="minorHAnsi"/>
          <w:lang w:val="en-GB" w:bidi="he-IL"/>
        </w:rPr>
        <w:t>– violates</w:t>
      </w:r>
      <w:r w:rsidRPr="00F80F27">
        <w:rPr>
          <w:rFonts w:eastAsia="Calibri" w:cstheme="minorHAnsi"/>
          <w:lang w:val="en-GB" w:bidi="he-IL"/>
        </w:rPr>
        <w:t xml:space="preserve"> those same human rights </w:t>
      </w:r>
      <w:r w:rsidR="00AC696D">
        <w:rPr>
          <w:rFonts w:eastAsia="Calibri" w:cstheme="minorHAnsi"/>
          <w:lang w:val="en-GB" w:bidi="he-IL"/>
        </w:rPr>
        <w:t xml:space="preserve">that are supposed to be </w:t>
      </w:r>
      <w:r w:rsidRPr="00F80F27">
        <w:rPr>
          <w:rFonts w:eastAsia="Calibri" w:cstheme="minorHAnsi"/>
          <w:lang w:val="en-GB" w:bidi="he-IL"/>
        </w:rPr>
        <w:t>pr</w:t>
      </w:r>
      <w:r w:rsidR="007D6DC6">
        <w:rPr>
          <w:rFonts w:eastAsia="Calibri" w:cstheme="minorHAnsi"/>
          <w:lang w:val="en-GB" w:bidi="he-IL"/>
        </w:rPr>
        <w:t xml:space="preserve">otected under </w:t>
      </w:r>
      <w:r w:rsidR="00AC696D">
        <w:rPr>
          <w:rFonts w:eastAsia="Calibri" w:cstheme="minorHAnsi"/>
          <w:lang w:val="en-GB" w:bidi="he-IL"/>
        </w:rPr>
        <w:t>i</w:t>
      </w:r>
      <w:r w:rsidR="00C947EE">
        <w:rPr>
          <w:rFonts w:eastAsia="Calibri" w:cstheme="minorHAnsi"/>
          <w:lang w:val="en-GB" w:bidi="he-IL"/>
        </w:rPr>
        <w:t>nternational instruments</w:t>
      </w:r>
      <w:r w:rsidRPr="00F80F27">
        <w:rPr>
          <w:rFonts w:eastAsia="Times New Roman" w:cstheme="minorHAnsi"/>
          <w:vertAlign w:val="superscript"/>
          <w:lang w:eastAsia="en-GB" w:bidi="he-IL"/>
        </w:rPr>
        <w:footnoteReference w:id="4"/>
      </w:r>
      <w:r w:rsidRPr="00F80F27">
        <w:rPr>
          <w:rFonts w:eastAsia="Calibri" w:cstheme="minorHAnsi"/>
          <w:lang w:val="en-GB" w:bidi="he-IL"/>
        </w:rPr>
        <w:t>.</w:t>
      </w:r>
    </w:p>
    <w:p w14:paraId="3562D081" w14:textId="77777777" w:rsidR="00167FCA" w:rsidRPr="00F80F27" w:rsidRDefault="00167FCA" w:rsidP="00167FCA">
      <w:pPr>
        <w:spacing w:after="160"/>
        <w:contextualSpacing/>
        <w:jc w:val="both"/>
        <w:rPr>
          <w:rFonts w:eastAsia="Calibri" w:cstheme="minorHAnsi"/>
          <w:b/>
          <w:bCs/>
          <w:lang w:val="en-GB" w:bidi="he-IL"/>
        </w:rPr>
      </w:pPr>
    </w:p>
    <w:p w14:paraId="2AE5C333" w14:textId="02FE70D4" w:rsidR="00167FCA" w:rsidRPr="0074653A" w:rsidRDefault="00D42630" w:rsidP="006F4B6E">
      <w:pPr>
        <w:numPr>
          <w:ilvl w:val="1"/>
          <w:numId w:val="5"/>
        </w:numPr>
        <w:spacing w:after="160"/>
        <w:ind w:left="720"/>
        <w:contextualSpacing/>
        <w:jc w:val="both"/>
        <w:outlineLvl w:val="0"/>
        <w:rPr>
          <w:rFonts w:eastAsia="Calibri" w:cstheme="minorHAnsi"/>
          <w:b/>
          <w:bCs/>
          <w:lang w:val="en-GB"/>
        </w:rPr>
      </w:pPr>
      <w:r w:rsidRPr="0074653A">
        <w:rPr>
          <w:rFonts w:eastAsia="Calibri" w:cstheme="minorHAnsi"/>
          <w:b/>
          <w:bCs/>
          <w:lang w:val="en-GB"/>
        </w:rPr>
        <w:t xml:space="preserve">Discriminatory </w:t>
      </w:r>
      <w:r w:rsidR="00167FCA" w:rsidRPr="0074653A">
        <w:rPr>
          <w:rFonts w:eastAsia="Calibri" w:cstheme="minorHAnsi"/>
          <w:b/>
          <w:bCs/>
          <w:lang w:val="en-GB"/>
        </w:rPr>
        <w:t>High Fees</w:t>
      </w:r>
    </w:p>
    <w:p w14:paraId="6918F17A" w14:textId="77777777" w:rsidR="00A63965" w:rsidRPr="00F80F27" w:rsidRDefault="00167FCA" w:rsidP="00A63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12121"/>
          <w:lang w:val="en" w:eastAsia="en-GB" w:bidi="he-IL"/>
        </w:rPr>
      </w:pPr>
      <w:r w:rsidRPr="00F80F27">
        <w:rPr>
          <w:rFonts w:eastAsia="Times New Roman" w:cstheme="minorHAnsi"/>
          <w:color w:val="212121"/>
          <w:lang w:val="en" w:eastAsia="en-GB" w:bidi="he-IL"/>
        </w:rPr>
        <w:t xml:space="preserve">The autonomy given to the </w:t>
      </w:r>
      <w:r w:rsidR="00D42630">
        <w:rPr>
          <w:rFonts w:eastAsia="Times New Roman" w:cstheme="minorHAnsi"/>
          <w:color w:val="212121"/>
          <w:lang w:val="en" w:eastAsia="en-GB" w:bidi="he-IL"/>
        </w:rPr>
        <w:t xml:space="preserve">Ecclesiastical </w:t>
      </w:r>
      <w:r w:rsidR="00AC696D">
        <w:rPr>
          <w:rFonts w:eastAsia="Times New Roman" w:cstheme="minorHAnsi"/>
          <w:color w:val="212121"/>
          <w:lang w:val="en" w:eastAsia="en-GB" w:bidi="he-IL"/>
        </w:rPr>
        <w:t>c</w:t>
      </w:r>
      <w:r w:rsidRPr="00F80F27">
        <w:rPr>
          <w:rFonts w:eastAsia="Times New Roman" w:cstheme="minorHAnsi"/>
          <w:color w:val="212121"/>
          <w:lang w:val="en" w:eastAsia="en-GB" w:bidi="he-IL"/>
        </w:rPr>
        <w:t>ourts</w:t>
      </w:r>
      <w:r w:rsidR="00AC696D">
        <w:rPr>
          <w:rFonts w:eastAsia="Times New Roman" w:cstheme="minorHAnsi"/>
          <w:color w:val="212121"/>
          <w:lang w:val="en" w:eastAsia="en-GB" w:bidi="he-IL"/>
        </w:rPr>
        <w:t xml:space="preserve"> combined with </w:t>
      </w:r>
      <w:r w:rsidRPr="00F80F27">
        <w:rPr>
          <w:rFonts w:eastAsia="Times New Roman" w:cstheme="minorHAnsi"/>
          <w:color w:val="212121"/>
          <w:lang w:val="en" w:eastAsia="en-GB" w:bidi="he-IL"/>
        </w:rPr>
        <w:t>the non-regulation policy of the State lead to a flawed outcome, expressed mainly in unreasonably high fees compared with other religious and civil courts, and non-publication or insufficient publication of fees, discounts</w:t>
      </w:r>
      <w:r w:rsidR="00AC696D">
        <w:rPr>
          <w:rFonts w:eastAsia="Times New Roman" w:cstheme="minorHAnsi"/>
          <w:color w:val="212121"/>
          <w:lang w:val="en" w:eastAsia="en-GB" w:bidi="he-IL"/>
        </w:rPr>
        <w:t>,</w:t>
      </w:r>
      <w:r w:rsidRPr="00F80F27">
        <w:rPr>
          <w:rFonts w:eastAsia="Times New Roman" w:cstheme="minorHAnsi"/>
          <w:color w:val="212121"/>
          <w:lang w:val="en" w:eastAsia="en-GB" w:bidi="he-IL"/>
        </w:rPr>
        <w:t xml:space="preserve"> and exemption procedures</w:t>
      </w:r>
      <w:r w:rsidR="004613C3">
        <w:rPr>
          <w:rStyle w:val="FootnoteReference"/>
          <w:rFonts w:eastAsia="Times New Roman" w:cstheme="minorHAnsi"/>
          <w:color w:val="212121"/>
          <w:lang w:val="en" w:eastAsia="en-GB" w:bidi="he-IL"/>
        </w:rPr>
        <w:footnoteReference w:id="5"/>
      </w:r>
      <w:r w:rsidRPr="00F80F27">
        <w:rPr>
          <w:rFonts w:eastAsia="Times New Roman" w:cstheme="minorHAnsi"/>
          <w:color w:val="212121"/>
          <w:lang w:val="en" w:eastAsia="en-GB" w:bidi="he-IL"/>
        </w:rPr>
        <w:t>.</w:t>
      </w:r>
      <w:r w:rsidR="007D6DC6">
        <w:rPr>
          <w:rFonts w:eastAsia="Times New Roman" w:cstheme="minorHAnsi"/>
          <w:color w:val="212121"/>
          <w:lang w:val="en" w:eastAsia="en-GB" w:bidi="he-IL"/>
        </w:rPr>
        <w:t xml:space="preserve"> T</w:t>
      </w:r>
      <w:r w:rsidRPr="00F80F27">
        <w:rPr>
          <w:rFonts w:eastAsia="Times New Roman" w:cstheme="minorHAnsi"/>
          <w:color w:val="212121"/>
          <w:lang w:val="en" w:eastAsia="en-GB" w:bidi="he-IL"/>
        </w:rPr>
        <w:t xml:space="preserve">he fees in the Ecclesiastical courts are extremely high </w:t>
      </w:r>
      <w:r w:rsidRPr="00F80F27">
        <w:rPr>
          <w:rFonts w:eastAsia="Times New Roman" w:cstheme="minorHAnsi"/>
          <w:color w:val="212121"/>
          <w:lang w:val="en" w:eastAsia="en-GB" w:bidi="he-IL"/>
        </w:rPr>
        <w:lastRenderedPageBreak/>
        <w:t xml:space="preserve">compared to the </w:t>
      </w:r>
      <w:r w:rsidR="00AC696D">
        <w:rPr>
          <w:rFonts w:eastAsia="Times New Roman" w:cstheme="minorHAnsi"/>
          <w:color w:val="212121"/>
          <w:lang w:val="en" w:eastAsia="en-GB" w:bidi="he-IL"/>
        </w:rPr>
        <w:t>other</w:t>
      </w:r>
      <w:r w:rsidRPr="00F80F27">
        <w:rPr>
          <w:rFonts w:eastAsia="Times New Roman" w:cstheme="minorHAnsi"/>
          <w:color w:val="212121"/>
          <w:lang w:val="en" w:eastAsia="en-GB" w:bidi="he-IL"/>
        </w:rPr>
        <w:t xml:space="preserve"> religious courts. To illustrate the gap; the fee for opening a divorce case in the Sharia court is around </w:t>
      </w:r>
      <w:r w:rsidRPr="00F80F27">
        <w:rPr>
          <w:rFonts w:eastAsia="Times New Roman" w:cstheme="minorHAnsi"/>
          <w:color w:val="212121"/>
          <w:rtl/>
          <w:lang w:val="en" w:eastAsia="en-GB" w:bidi="ar-JO"/>
        </w:rPr>
        <w:t>359</w:t>
      </w:r>
      <w:r w:rsidRPr="00F80F27">
        <w:rPr>
          <w:rFonts w:eastAsia="Times New Roman" w:cstheme="minorHAnsi"/>
          <w:color w:val="212121"/>
          <w:lang w:val="en" w:eastAsia="en-GB" w:bidi="he-IL"/>
        </w:rPr>
        <w:t xml:space="preserve"> NIS (about </w:t>
      </w:r>
      <w:r w:rsidR="00AC696D">
        <w:rPr>
          <w:rFonts w:eastAsia="Times New Roman" w:cstheme="minorHAnsi"/>
          <w:color w:val="212121"/>
          <w:lang w:val="en" w:eastAsia="en-GB" w:bidi="he-IL"/>
        </w:rPr>
        <w:t>$</w:t>
      </w:r>
      <w:r w:rsidRPr="00F80F27">
        <w:rPr>
          <w:rFonts w:eastAsia="Times New Roman" w:cstheme="minorHAnsi"/>
          <w:color w:val="212121"/>
          <w:rtl/>
          <w:lang w:val="en" w:eastAsia="en-GB" w:bidi="ar-JO"/>
        </w:rPr>
        <w:t>105</w:t>
      </w:r>
      <w:r w:rsidRPr="00F80F27">
        <w:rPr>
          <w:rFonts w:eastAsia="Times New Roman" w:cstheme="minorHAnsi"/>
          <w:color w:val="212121"/>
          <w:lang w:val="en" w:eastAsia="en-GB" w:bidi="he-IL"/>
        </w:rPr>
        <w:t xml:space="preserve"> US)</w:t>
      </w:r>
      <w:r w:rsidR="00E63177">
        <w:rPr>
          <w:rFonts w:eastAsia="Times New Roman" w:cstheme="minorHAnsi"/>
          <w:color w:val="212121"/>
          <w:lang w:val="en" w:eastAsia="en-GB" w:bidi="he-IL"/>
        </w:rPr>
        <w:t xml:space="preserve"> and</w:t>
      </w:r>
      <w:r w:rsidRPr="00F80F27">
        <w:rPr>
          <w:rFonts w:eastAsia="Times New Roman" w:cstheme="minorHAnsi"/>
          <w:color w:val="212121"/>
          <w:lang w:val="en" w:eastAsia="en-GB" w:bidi="he-IL"/>
        </w:rPr>
        <w:t xml:space="preserve"> in the Rabbinical court around 396</w:t>
      </w:r>
      <w:r w:rsidR="00AC696D">
        <w:rPr>
          <w:rFonts w:eastAsia="Times New Roman" w:cstheme="minorHAnsi"/>
          <w:color w:val="212121"/>
          <w:lang w:val="en" w:eastAsia="en-GB" w:bidi="he-IL"/>
        </w:rPr>
        <w:t xml:space="preserve"> </w:t>
      </w:r>
      <w:r w:rsidRPr="00F80F27">
        <w:rPr>
          <w:rFonts w:eastAsia="Times New Roman" w:cstheme="minorHAnsi"/>
          <w:color w:val="212121"/>
          <w:lang w:val="en" w:eastAsia="en-GB" w:bidi="he-IL"/>
        </w:rPr>
        <w:t xml:space="preserve">NIS (about </w:t>
      </w:r>
      <w:r w:rsidR="00AC696D">
        <w:rPr>
          <w:rFonts w:eastAsia="Times New Roman" w:cstheme="minorHAnsi"/>
          <w:color w:val="212121"/>
          <w:lang w:val="en" w:eastAsia="en-GB" w:bidi="he-IL"/>
        </w:rPr>
        <w:t>$</w:t>
      </w:r>
      <w:r w:rsidRPr="00F80F27">
        <w:rPr>
          <w:rFonts w:eastAsia="Times New Roman" w:cstheme="minorHAnsi"/>
          <w:color w:val="212121"/>
          <w:lang w:val="en" w:eastAsia="en-GB" w:bidi="he-IL"/>
        </w:rPr>
        <w:t>116 US)</w:t>
      </w:r>
      <w:r w:rsidR="00E63177">
        <w:rPr>
          <w:rFonts w:eastAsia="Times New Roman" w:cstheme="minorHAnsi"/>
          <w:color w:val="212121"/>
          <w:lang w:val="en" w:eastAsia="en-GB" w:bidi="he-IL"/>
        </w:rPr>
        <w:t>,</w:t>
      </w:r>
      <w:r w:rsidRPr="00F80F27">
        <w:rPr>
          <w:rFonts w:eastAsia="Times New Roman" w:cstheme="minorHAnsi"/>
          <w:color w:val="212121"/>
          <w:lang w:val="en" w:eastAsia="en-GB" w:bidi="he-IL"/>
        </w:rPr>
        <w:t xml:space="preserve"> while in the Catholic Ecclesiastical court</w:t>
      </w:r>
      <w:r w:rsidR="00E63177">
        <w:rPr>
          <w:rFonts w:eastAsia="Times New Roman" w:cstheme="minorHAnsi"/>
          <w:color w:val="212121"/>
          <w:lang w:val="en" w:eastAsia="en-GB" w:bidi="he-IL"/>
        </w:rPr>
        <w:t xml:space="preserve"> the</w:t>
      </w:r>
      <w:r w:rsidRPr="00F80F27">
        <w:rPr>
          <w:rFonts w:eastAsia="Times New Roman" w:cstheme="minorHAnsi"/>
          <w:color w:val="212121"/>
          <w:lang w:val="en" w:eastAsia="en-GB" w:bidi="he-IL"/>
        </w:rPr>
        <w:t xml:space="preserve"> fee is around </w:t>
      </w:r>
      <w:r w:rsidR="00750AEC">
        <w:rPr>
          <w:rFonts w:eastAsia="Times New Roman" w:cstheme="minorHAnsi"/>
          <w:color w:val="212121"/>
          <w:lang w:val="en" w:eastAsia="en-GB" w:bidi="he-IL"/>
        </w:rPr>
        <w:t>6</w:t>
      </w:r>
      <w:r w:rsidRPr="00F80F27">
        <w:rPr>
          <w:rFonts w:eastAsia="Times New Roman" w:cstheme="minorHAnsi"/>
          <w:color w:val="212121"/>
          <w:lang w:val="en" w:eastAsia="en-GB" w:bidi="he-IL"/>
        </w:rPr>
        <w:t xml:space="preserve">000 NIS (about </w:t>
      </w:r>
      <w:r w:rsidR="00E63177">
        <w:rPr>
          <w:rFonts w:eastAsia="Times New Roman" w:cstheme="minorHAnsi"/>
          <w:color w:val="212121"/>
          <w:lang w:val="en" w:eastAsia="en-GB" w:bidi="he-IL"/>
        </w:rPr>
        <w:t>$</w:t>
      </w:r>
      <w:r w:rsidR="00750AEC">
        <w:rPr>
          <w:rFonts w:eastAsia="Times New Roman" w:cstheme="minorHAnsi"/>
          <w:color w:val="212121"/>
          <w:lang w:val="en" w:eastAsia="en-GB" w:bidi="he-IL"/>
        </w:rPr>
        <w:t>1,689</w:t>
      </w:r>
      <w:r w:rsidRPr="00F80F27">
        <w:rPr>
          <w:rFonts w:eastAsia="Times New Roman" w:cstheme="minorHAnsi"/>
          <w:color w:val="212121"/>
          <w:lang w:val="en" w:eastAsia="en-GB" w:bidi="he-IL"/>
        </w:rPr>
        <w:t xml:space="preserve"> US).</w:t>
      </w:r>
      <w:r w:rsidR="00A63965">
        <w:rPr>
          <w:rFonts w:eastAsia="Times New Roman" w:cstheme="minorHAnsi"/>
          <w:color w:val="212121"/>
          <w:lang w:val="en" w:eastAsia="en-GB" w:bidi="he-IL"/>
        </w:rPr>
        <w:t xml:space="preserve"> This situation has negative implications on Arab women and their right to equality and fair trial.</w:t>
      </w:r>
    </w:p>
    <w:p w14:paraId="0A4EE590" w14:textId="7CF4BEE4" w:rsidR="00167FCA" w:rsidRPr="00F80F27" w:rsidRDefault="00167FCA" w:rsidP="0046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12121"/>
          <w:lang w:val="en" w:eastAsia="en-GB" w:bidi="he-IL"/>
        </w:rPr>
      </w:pPr>
    </w:p>
    <w:p w14:paraId="6DAECE95" w14:textId="77777777" w:rsidR="008F5C9C" w:rsidRPr="008F5C9C" w:rsidRDefault="008F5C9C" w:rsidP="008F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12121"/>
          <w:lang w:val="en-GB" w:eastAsia="en-GB" w:bidi="he-IL"/>
        </w:rPr>
      </w:pPr>
    </w:p>
    <w:p w14:paraId="038BC0B2" w14:textId="16A85EA0" w:rsidR="00167FCA" w:rsidRPr="006F4B6E" w:rsidRDefault="00C97576" w:rsidP="00C97576">
      <w:pPr>
        <w:numPr>
          <w:ilvl w:val="1"/>
          <w:numId w:val="5"/>
        </w:numPr>
        <w:spacing w:after="160"/>
        <w:ind w:left="720"/>
        <w:contextualSpacing/>
        <w:jc w:val="both"/>
        <w:outlineLvl w:val="0"/>
        <w:rPr>
          <w:rFonts w:eastAsia="Calibri" w:cstheme="minorHAnsi"/>
          <w:b/>
          <w:bCs/>
          <w:lang w:val="en-GB"/>
        </w:rPr>
      </w:pPr>
      <w:r>
        <w:rPr>
          <w:rFonts w:eastAsia="Calibri" w:cstheme="minorHAnsi"/>
          <w:b/>
          <w:bCs/>
          <w:lang w:val="en-GB"/>
        </w:rPr>
        <w:t xml:space="preserve">Limited access to </w:t>
      </w:r>
      <w:r w:rsidR="00E63177">
        <w:rPr>
          <w:rFonts w:eastAsia="Calibri" w:cstheme="minorHAnsi"/>
          <w:b/>
          <w:bCs/>
          <w:lang w:val="en-GB"/>
        </w:rPr>
        <w:t>i</w:t>
      </w:r>
      <w:r>
        <w:rPr>
          <w:rFonts w:eastAsia="Calibri" w:cstheme="minorHAnsi"/>
          <w:b/>
          <w:bCs/>
          <w:lang w:val="en-GB"/>
        </w:rPr>
        <w:t>nformation</w:t>
      </w:r>
      <w:r w:rsidR="00167FCA" w:rsidRPr="006F4B6E">
        <w:rPr>
          <w:rFonts w:eastAsia="Calibri" w:cstheme="minorHAnsi"/>
          <w:b/>
          <w:bCs/>
          <w:lang w:val="en-GB"/>
        </w:rPr>
        <w:t xml:space="preserve"> </w:t>
      </w:r>
    </w:p>
    <w:p w14:paraId="59596877" w14:textId="24D175F6" w:rsidR="00C97576" w:rsidRPr="009537EC" w:rsidRDefault="00167FCA" w:rsidP="00A63965">
      <w:pPr>
        <w:pStyle w:val="ListParagraph"/>
        <w:spacing w:after="160"/>
        <w:ind w:left="360"/>
        <w:jc w:val="both"/>
        <w:rPr>
          <w:rFonts w:eastAsia="Calibri" w:cstheme="minorHAnsi"/>
          <w:lang w:val="en-GB" w:bidi="he-IL"/>
        </w:rPr>
      </w:pPr>
      <w:proofErr w:type="gramStart"/>
      <w:r w:rsidRPr="009537EC">
        <w:rPr>
          <w:rFonts w:eastAsia="Calibri" w:cstheme="minorHAnsi"/>
          <w:lang w:bidi="he-IL"/>
        </w:rPr>
        <w:t>The</w:t>
      </w:r>
      <w:r w:rsidRPr="009537EC">
        <w:rPr>
          <w:rFonts w:eastAsia="Calibri" w:cstheme="minorHAnsi"/>
          <w:rtl/>
          <w:lang w:val="en-GB" w:bidi="he-IL"/>
        </w:rPr>
        <w:t xml:space="preserve"> </w:t>
      </w:r>
      <w:r w:rsidRPr="009537EC">
        <w:rPr>
          <w:rFonts w:eastAsia="Calibri" w:cstheme="minorHAnsi"/>
          <w:lang w:val="en-GB" w:bidi="he-IL"/>
        </w:rPr>
        <w:t>majority of</w:t>
      </w:r>
      <w:proofErr w:type="gramEnd"/>
      <w:r w:rsidRPr="009537EC">
        <w:rPr>
          <w:rFonts w:eastAsia="Calibri" w:cstheme="minorHAnsi"/>
          <w:lang w:val="en-GB" w:bidi="he-IL"/>
        </w:rPr>
        <w:t xml:space="preserve"> the Ecclesiastical</w:t>
      </w:r>
      <w:r w:rsidRPr="009537EC">
        <w:rPr>
          <w:rFonts w:eastAsia="Calibri" w:cstheme="minorHAnsi"/>
          <w:rtl/>
          <w:lang w:val="en-GB" w:bidi="he-IL"/>
        </w:rPr>
        <w:t xml:space="preserve"> </w:t>
      </w:r>
      <w:r w:rsidR="00E63177">
        <w:rPr>
          <w:rFonts w:eastAsia="Calibri" w:cstheme="minorHAnsi"/>
          <w:lang w:val="en-GB" w:bidi="he-IL"/>
        </w:rPr>
        <w:t>c</w:t>
      </w:r>
      <w:r w:rsidRPr="009537EC">
        <w:rPr>
          <w:rFonts w:eastAsia="Calibri" w:cstheme="minorHAnsi"/>
          <w:lang w:val="en-GB" w:bidi="he-IL"/>
        </w:rPr>
        <w:t>ourts</w:t>
      </w:r>
      <w:r w:rsidRPr="009537EC">
        <w:rPr>
          <w:rFonts w:eastAsia="Calibri" w:cstheme="minorHAnsi"/>
          <w:rtl/>
          <w:lang w:val="en-GB" w:bidi="he-IL"/>
        </w:rPr>
        <w:t xml:space="preserve"> </w:t>
      </w:r>
      <w:r w:rsidRPr="009537EC">
        <w:rPr>
          <w:rFonts w:eastAsia="Calibri" w:cstheme="minorHAnsi"/>
          <w:lang w:val="en-GB" w:bidi="he-IL"/>
        </w:rPr>
        <w:t>in</w:t>
      </w:r>
      <w:r w:rsidRPr="009537EC">
        <w:rPr>
          <w:rFonts w:eastAsia="Calibri" w:cstheme="minorHAnsi"/>
          <w:rtl/>
          <w:lang w:val="en-GB" w:bidi="he-IL"/>
        </w:rPr>
        <w:t xml:space="preserve"> </w:t>
      </w:r>
      <w:r w:rsidRPr="009537EC">
        <w:rPr>
          <w:rFonts w:eastAsia="Calibri" w:cstheme="minorHAnsi"/>
          <w:lang w:val="en-GB" w:bidi="he-IL"/>
        </w:rPr>
        <w:t>Israel</w:t>
      </w:r>
      <w:r w:rsidRPr="009537EC">
        <w:rPr>
          <w:rFonts w:eastAsia="Calibri" w:cstheme="minorHAnsi"/>
          <w:rtl/>
          <w:lang w:val="en-GB" w:bidi="he-IL"/>
        </w:rPr>
        <w:t xml:space="preserve"> </w:t>
      </w:r>
      <w:r w:rsidRPr="009537EC">
        <w:rPr>
          <w:rFonts w:eastAsia="Calibri" w:cstheme="minorHAnsi"/>
          <w:lang w:val="en-GB" w:bidi="he-IL"/>
        </w:rPr>
        <w:t>do</w:t>
      </w:r>
      <w:r w:rsidRPr="009537EC">
        <w:rPr>
          <w:rFonts w:eastAsia="Calibri" w:cstheme="minorHAnsi"/>
          <w:rtl/>
          <w:lang w:val="en-GB" w:bidi="he-IL"/>
        </w:rPr>
        <w:t xml:space="preserve"> </w:t>
      </w:r>
      <w:r w:rsidRPr="009537EC">
        <w:rPr>
          <w:rFonts w:eastAsia="Calibri" w:cstheme="minorHAnsi"/>
          <w:lang w:val="en-GB" w:bidi="he-IL"/>
        </w:rPr>
        <w:t>not</w:t>
      </w:r>
      <w:r w:rsidRPr="009537EC">
        <w:rPr>
          <w:rFonts w:eastAsia="Calibri" w:cstheme="minorHAnsi"/>
          <w:rtl/>
          <w:lang w:val="en-GB" w:bidi="he-IL"/>
        </w:rPr>
        <w:t xml:space="preserve"> </w:t>
      </w:r>
      <w:r w:rsidRPr="009537EC">
        <w:rPr>
          <w:rFonts w:eastAsia="Calibri" w:cstheme="minorHAnsi"/>
          <w:lang w:val="en-GB" w:bidi="he-IL"/>
        </w:rPr>
        <w:t>make</w:t>
      </w:r>
      <w:r w:rsidR="00E63177">
        <w:rPr>
          <w:rFonts w:eastAsia="Calibri" w:cstheme="minorHAnsi"/>
          <w:lang w:val="en-GB" w:bidi="he-IL"/>
        </w:rPr>
        <w:t xml:space="preserve"> publicly accessible</w:t>
      </w:r>
      <w:r w:rsidRPr="009537EC">
        <w:rPr>
          <w:rFonts w:eastAsia="Calibri" w:cstheme="minorHAnsi"/>
          <w:rtl/>
          <w:lang w:val="en-GB" w:bidi="he-IL"/>
        </w:rPr>
        <w:t xml:space="preserve"> </w:t>
      </w:r>
      <w:r w:rsidRPr="009537EC">
        <w:rPr>
          <w:rFonts w:eastAsia="Calibri" w:cstheme="minorHAnsi"/>
          <w:lang w:val="en-GB" w:bidi="he-IL"/>
        </w:rPr>
        <w:t>the</w:t>
      </w:r>
      <w:r w:rsidRPr="009537EC">
        <w:rPr>
          <w:rFonts w:eastAsia="Calibri" w:cstheme="minorHAnsi"/>
          <w:rtl/>
          <w:lang w:val="en-GB" w:bidi="he-IL"/>
        </w:rPr>
        <w:t xml:space="preserve"> </w:t>
      </w:r>
      <w:r w:rsidRPr="009537EC">
        <w:rPr>
          <w:rFonts w:eastAsia="Calibri" w:cstheme="minorHAnsi"/>
          <w:lang w:val="en-GB" w:bidi="he-IL"/>
        </w:rPr>
        <w:t>laws</w:t>
      </w:r>
      <w:r w:rsidRPr="009537EC">
        <w:rPr>
          <w:rFonts w:eastAsia="Calibri" w:cstheme="minorHAnsi"/>
          <w:lang w:bidi="he-IL"/>
        </w:rPr>
        <w:t>,</w:t>
      </w:r>
      <w:r w:rsidRPr="009537EC">
        <w:rPr>
          <w:rFonts w:eastAsia="Calibri" w:cstheme="minorHAnsi"/>
          <w:rtl/>
          <w:lang w:val="en-GB" w:bidi="he-IL"/>
        </w:rPr>
        <w:t xml:space="preserve"> </w:t>
      </w:r>
      <w:r w:rsidRPr="009537EC">
        <w:rPr>
          <w:rFonts w:eastAsia="Calibri" w:cstheme="minorHAnsi"/>
          <w:lang w:val="en-GB" w:bidi="he-IL"/>
        </w:rPr>
        <w:t>regulations</w:t>
      </w:r>
      <w:r w:rsidRPr="009537EC">
        <w:rPr>
          <w:rFonts w:eastAsia="Calibri" w:cstheme="minorHAnsi"/>
          <w:rtl/>
          <w:lang w:val="en-GB" w:bidi="he-IL"/>
        </w:rPr>
        <w:t xml:space="preserve"> </w:t>
      </w:r>
      <w:r w:rsidRPr="009537EC">
        <w:rPr>
          <w:rFonts w:eastAsia="Calibri" w:cstheme="minorHAnsi"/>
          <w:lang w:val="en-GB" w:bidi="he-IL"/>
        </w:rPr>
        <w:t>and</w:t>
      </w:r>
      <w:r w:rsidRPr="009537EC">
        <w:rPr>
          <w:rFonts w:eastAsia="Calibri" w:cstheme="minorHAnsi"/>
          <w:rtl/>
          <w:lang w:val="en-GB" w:bidi="he-IL"/>
        </w:rPr>
        <w:t xml:space="preserve"> </w:t>
      </w:r>
      <w:r w:rsidRPr="009537EC">
        <w:rPr>
          <w:rFonts w:eastAsia="Calibri" w:cstheme="minorHAnsi"/>
          <w:lang w:val="en-GB" w:bidi="he-IL"/>
        </w:rPr>
        <w:t>rules</w:t>
      </w:r>
      <w:r w:rsidRPr="009537EC">
        <w:rPr>
          <w:rFonts w:eastAsia="Calibri" w:cstheme="minorHAnsi"/>
          <w:lang w:bidi="he-IL"/>
        </w:rPr>
        <w:t xml:space="preserve"> that </w:t>
      </w:r>
      <w:r w:rsidRPr="009537EC">
        <w:rPr>
          <w:rFonts w:eastAsia="Calibri" w:cstheme="minorHAnsi"/>
          <w:lang w:val="en-GB" w:bidi="he-IL"/>
        </w:rPr>
        <w:t>they</w:t>
      </w:r>
      <w:r w:rsidRPr="009537EC">
        <w:rPr>
          <w:rFonts w:eastAsia="Calibri" w:cstheme="minorHAnsi"/>
          <w:rtl/>
          <w:lang w:val="en-GB" w:bidi="he-IL"/>
        </w:rPr>
        <w:t xml:space="preserve"> </w:t>
      </w:r>
      <w:r w:rsidRPr="009537EC">
        <w:rPr>
          <w:rFonts w:eastAsia="Calibri" w:cstheme="minorHAnsi"/>
          <w:lang w:val="en-GB" w:bidi="he-IL"/>
        </w:rPr>
        <w:t>rely</w:t>
      </w:r>
      <w:r w:rsidRPr="009537EC">
        <w:rPr>
          <w:rFonts w:eastAsia="Calibri" w:cstheme="minorHAnsi"/>
          <w:rtl/>
          <w:lang w:val="en-GB" w:bidi="he-IL"/>
        </w:rPr>
        <w:t xml:space="preserve"> </w:t>
      </w:r>
      <w:r w:rsidRPr="009537EC">
        <w:rPr>
          <w:rFonts w:eastAsia="Calibri" w:cstheme="minorHAnsi"/>
          <w:lang w:val="en-GB" w:bidi="he-IL"/>
        </w:rPr>
        <w:t>on</w:t>
      </w:r>
      <w:r w:rsidRPr="009537EC">
        <w:rPr>
          <w:rFonts w:eastAsia="Calibri" w:cstheme="minorHAnsi"/>
          <w:rtl/>
          <w:lang w:val="en-GB" w:bidi="he-IL"/>
        </w:rPr>
        <w:t xml:space="preserve"> </w:t>
      </w:r>
      <w:r w:rsidRPr="009537EC">
        <w:rPr>
          <w:rFonts w:eastAsia="Calibri" w:cstheme="minorHAnsi"/>
          <w:lang w:bidi="he-IL"/>
        </w:rPr>
        <w:t>in</w:t>
      </w:r>
      <w:r w:rsidRPr="009537EC">
        <w:rPr>
          <w:rFonts w:eastAsia="Calibri" w:cstheme="minorHAnsi"/>
          <w:rtl/>
          <w:lang w:bidi="he-IL"/>
        </w:rPr>
        <w:t xml:space="preserve"> </w:t>
      </w:r>
      <w:r w:rsidRPr="009537EC">
        <w:rPr>
          <w:rFonts w:eastAsia="Calibri" w:cstheme="minorHAnsi"/>
          <w:lang w:bidi="he-IL"/>
        </w:rPr>
        <w:t>their</w:t>
      </w:r>
      <w:r w:rsidRPr="009537EC">
        <w:rPr>
          <w:rFonts w:eastAsia="Calibri" w:cstheme="minorHAnsi"/>
          <w:rtl/>
          <w:lang w:bidi="he-IL"/>
        </w:rPr>
        <w:t xml:space="preserve"> </w:t>
      </w:r>
      <w:r w:rsidRPr="009537EC">
        <w:rPr>
          <w:rFonts w:eastAsia="Calibri" w:cstheme="minorHAnsi"/>
          <w:lang w:bidi="he-IL"/>
        </w:rPr>
        <w:t>judgments</w:t>
      </w:r>
      <w:r w:rsidRPr="009537EC">
        <w:rPr>
          <w:rFonts w:eastAsia="Calibri" w:cstheme="minorHAnsi"/>
          <w:rtl/>
          <w:lang w:bidi="he-IL"/>
        </w:rPr>
        <w:t xml:space="preserve"> </w:t>
      </w:r>
      <w:r w:rsidRPr="009537EC">
        <w:rPr>
          <w:rFonts w:eastAsia="Calibri" w:cstheme="minorHAnsi"/>
          <w:lang w:bidi="he-IL"/>
        </w:rPr>
        <w:t>and</w:t>
      </w:r>
      <w:r w:rsidRPr="009537EC">
        <w:rPr>
          <w:rFonts w:eastAsia="Calibri" w:cstheme="minorHAnsi"/>
          <w:rtl/>
          <w:lang w:bidi="he-IL"/>
        </w:rPr>
        <w:t xml:space="preserve"> </w:t>
      </w:r>
      <w:r w:rsidRPr="009537EC">
        <w:rPr>
          <w:rFonts w:eastAsia="Calibri" w:cstheme="minorHAnsi"/>
          <w:lang w:bidi="he-IL"/>
        </w:rPr>
        <w:t xml:space="preserve">opinions. These legal instruments are crucial not only to the parties (or potential parties) of the proceedings, but also to the attorneys who represent the parties or wish to advise them before turning to the </w:t>
      </w:r>
      <w:r w:rsidR="00E63177">
        <w:rPr>
          <w:rFonts w:eastAsia="Calibri" w:cstheme="minorHAnsi"/>
          <w:lang w:bidi="he-IL"/>
        </w:rPr>
        <w:t>c</w:t>
      </w:r>
      <w:r w:rsidRPr="009537EC">
        <w:rPr>
          <w:rFonts w:eastAsia="Calibri" w:cstheme="minorHAnsi"/>
          <w:lang w:bidi="he-IL"/>
        </w:rPr>
        <w:t>ourt, in violation to their right to adequate legal representation</w:t>
      </w:r>
      <w:r w:rsidRPr="00F80F27">
        <w:rPr>
          <w:vertAlign w:val="superscript"/>
          <w:lang w:bidi="he-IL"/>
        </w:rPr>
        <w:footnoteReference w:id="6"/>
      </w:r>
      <w:r w:rsidRPr="009537EC">
        <w:rPr>
          <w:rFonts w:eastAsia="Calibri" w:cstheme="minorHAnsi"/>
          <w:lang w:bidi="he-IL"/>
        </w:rPr>
        <w:t xml:space="preserve">. </w:t>
      </w:r>
      <w:r w:rsidRPr="009537EC">
        <w:rPr>
          <w:rFonts w:eastAsia="Calibri" w:cstheme="minorHAnsi"/>
          <w:lang w:val="en-GB" w:bidi="he-IL"/>
        </w:rPr>
        <w:t>The fact that the Christian citizens of I</w:t>
      </w:r>
      <w:r w:rsidR="007D6DC6" w:rsidRPr="009537EC">
        <w:rPr>
          <w:rFonts w:eastAsia="Calibri" w:cstheme="minorHAnsi"/>
          <w:lang w:val="en-GB" w:bidi="he-IL"/>
        </w:rPr>
        <w:t xml:space="preserve">srael do not have access to </w:t>
      </w:r>
      <w:r w:rsidRPr="009537EC">
        <w:rPr>
          <w:rFonts w:eastAsia="Calibri" w:cstheme="minorHAnsi"/>
          <w:lang w:val="en-GB" w:bidi="he-IL"/>
        </w:rPr>
        <w:t>information regarding court procedures constitutes clear discrimination based on religion,</w:t>
      </w:r>
      <w:r w:rsidR="0031688E" w:rsidRPr="009537EC">
        <w:rPr>
          <w:rFonts w:eastAsia="Calibri" w:cstheme="minorHAnsi"/>
          <w:lang w:val="en-GB" w:bidi="he-IL"/>
        </w:rPr>
        <w:t xml:space="preserve"> and a violation of their right</w:t>
      </w:r>
      <w:r w:rsidRPr="009537EC">
        <w:rPr>
          <w:rFonts w:eastAsia="Calibri" w:cstheme="minorHAnsi"/>
          <w:lang w:val="en-GB" w:bidi="he-IL"/>
        </w:rPr>
        <w:t xml:space="preserve"> to freedom of co</w:t>
      </w:r>
      <w:r w:rsidR="007D6DC6" w:rsidRPr="009537EC">
        <w:rPr>
          <w:rFonts w:eastAsia="Calibri" w:cstheme="minorHAnsi"/>
          <w:lang w:val="en-GB" w:bidi="he-IL"/>
        </w:rPr>
        <w:t>nscience and freedom of religion</w:t>
      </w:r>
      <w:r w:rsidRPr="009537EC">
        <w:rPr>
          <w:rFonts w:eastAsia="Calibri" w:cstheme="minorHAnsi"/>
          <w:lang w:val="en-GB" w:bidi="he-IL"/>
        </w:rPr>
        <w:t>.</w:t>
      </w:r>
    </w:p>
    <w:p w14:paraId="5B908031" w14:textId="560984EE" w:rsidR="00167FCA" w:rsidRPr="003B7AF7" w:rsidRDefault="00167FCA" w:rsidP="009537EC">
      <w:pPr>
        <w:pStyle w:val="ListParagraph"/>
        <w:spacing w:after="160"/>
        <w:jc w:val="both"/>
        <w:outlineLvl w:val="0"/>
        <w:rPr>
          <w:rFonts w:eastAsia="Calibri" w:cstheme="minorHAnsi"/>
          <w:lang w:val="en-GB" w:bidi="he-IL"/>
        </w:rPr>
      </w:pPr>
      <w:r w:rsidRPr="003B7AF7">
        <w:rPr>
          <w:rFonts w:eastAsia="Calibri" w:cstheme="minorHAnsi"/>
          <w:lang w:val="en-GB" w:bidi="he-IL"/>
        </w:rPr>
        <w:t xml:space="preserve"> </w:t>
      </w:r>
    </w:p>
    <w:p w14:paraId="482B13E8" w14:textId="76FBBC02" w:rsidR="00C2591E" w:rsidRPr="00F80F27" w:rsidRDefault="009537EC" w:rsidP="0074653A">
      <w:pPr>
        <w:spacing w:after="160"/>
        <w:jc w:val="both"/>
        <w:rPr>
          <w:rFonts w:eastAsia="Calibri" w:cstheme="minorHAnsi"/>
          <w:rtl/>
          <w:lang w:val="en-GB" w:bidi="he-IL"/>
        </w:rPr>
      </w:pPr>
      <w:r>
        <w:rPr>
          <w:rFonts w:eastAsia="Calibri" w:cstheme="minorHAnsi"/>
          <w:lang w:val="en-GB" w:bidi="he-IL"/>
        </w:rPr>
        <w:t xml:space="preserve">The </w:t>
      </w:r>
      <w:r w:rsidR="00167FCA" w:rsidRPr="00F80F27">
        <w:rPr>
          <w:rFonts w:eastAsia="Calibri" w:cstheme="minorHAnsi"/>
          <w:lang w:val="en-GB" w:bidi="he-IL"/>
        </w:rPr>
        <w:t>Knesset has enacted regulations about the proper procedures of the civil and criminal courts, among them regulations of the publication of judicial decisions</w:t>
      </w:r>
      <w:r w:rsidR="00167FCA" w:rsidRPr="00C658EF">
        <w:rPr>
          <w:rFonts w:eastAsia="Calibri" w:cstheme="minorHAnsi"/>
          <w:sz w:val="16"/>
          <w:szCs w:val="16"/>
          <w:lang w:val="en-GB" w:bidi="he-IL"/>
        </w:rPr>
        <w:footnoteReference w:id="7"/>
      </w:r>
      <w:r w:rsidR="00167FCA" w:rsidRPr="00F80F27">
        <w:rPr>
          <w:rFonts w:eastAsia="Calibri" w:cstheme="minorHAnsi"/>
          <w:lang w:val="en-GB" w:bidi="he-IL"/>
        </w:rPr>
        <w:t>. However, in the religious legal system</w:t>
      </w:r>
      <w:r w:rsidR="00E63177">
        <w:rPr>
          <w:rFonts w:eastAsia="Calibri" w:cstheme="minorHAnsi"/>
          <w:lang w:val="en-GB" w:bidi="he-IL"/>
        </w:rPr>
        <w:t>s</w:t>
      </w:r>
      <w:r w:rsidR="00167FCA" w:rsidRPr="00F80F27">
        <w:rPr>
          <w:rFonts w:eastAsia="Calibri" w:cstheme="minorHAnsi"/>
          <w:lang w:val="en-GB" w:bidi="he-IL"/>
        </w:rPr>
        <w:t>, there is only one law that has been enacted: “Regulations Regarding the Procedures of Jewish Courts in Israel”</w:t>
      </w:r>
      <w:r w:rsidR="00167FCA" w:rsidRPr="00C658EF">
        <w:rPr>
          <w:rFonts w:eastAsia="Calibri" w:cstheme="minorHAnsi"/>
          <w:sz w:val="16"/>
          <w:szCs w:val="16"/>
          <w:lang w:val="en-GB" w:bidi="he-IL"/>
        </w:rPr>
        <w:footnoteReference w:id="8"/>
      </w:r>
      <w:r w:rsidR="00167FCA" w:rsidRPr="00F80F27">
        <w:rPr>
          <w:rFonts w:eastAsia="Calibri" w:cstheme="minorHAnsi"/>
          <w:lang w:val="en-GB" w:bidi="he-IL"/>
        </w:rPr>
        <w:t xml:space="preserve"> that refers solely to the Jewish </w:t>
      </w:r>
      <w:r w:rsidR="00E63177">
        <w:rPr>
          <w:rFonts w:eastAsia="Calibri" w:cstheme="minorHAnsi"/>
          <w:lang w:val="en-GB" w:bidi="he-IL"/>
        </w:rPr>
        <w:t>r</w:t>
      </w:r>
      <w:r w:rsidR="00167FCA" w:rsidRPr="00F80F27">
        <w:rPr>
          <w:rFonts w:eastAsia="Calibri" w:cstheme="minorHAnsi"/>
          <w:lang w:val="en-GB" w:bidi="he-IL"/>
        </w:rPr>
        <w:t xml:space="preserve">eligious </w:t>
      </w:r>
      <w:r w:rsidR="00E63177">
        <w:rPr>
          <w:rFonts w:eastAsia="Calibri" w:cstheme="minorHAnsi"/>
          <w:lang w:val="en-GB" w:bidi="he-IL"/>
        </w:rPr>
        <w:t>c</w:t>
      </w:r>
      <w:r w:rsidR="00167FCA" w:rsidRPr="00F80F27">
        <w:rPr>
          <w:rFonts w:eastAsia="Calibri" w:cstheme="minorHAnsi"/>
          <w:lang w:val="en-GB" w:bidi="he-IL"/>
        </w:rPr>
        <w:t xml:space="preserve">ourt. Regarding all other religious </w:t>
      </w:r>
      <w:r w:rsidR="00E63177">
        <w:rPr>
          <w:rFonts w:eastAsia="Calibri" w:cstheme="minorHAnsi"/>
          <w:lang w:val="en-GB" w:bidi="he-IL"/>
        </w:rPr>
        <w:t>courts</w:t>
      </w:r>
      <w:r w:rsidR="00E63177" w:rsidRPr="00F80F27">
        <w:rPr>
          <w:rFonts w:eastAsia="Calibri" w:cstheme="minorHAnsi"/>
          <w:lang w:val="en-GB" w:bidi="he-IL"/>
        </w:rPr>
        <w:t xml:space="preserve"> </w:t>
      </w:r>
      <w:r w:rsidR="00167FCA" w:rsidRPr="00F80F27">
        <w:rPr>
          <w:rFonts w:eastAsia="Calibri" w:cstheme="minorHAnsi"/>
          <w:lang w:val="en-GB" w:bidi="he-IL"/>
        </w:rPr>
        <w:t xml:space="preserve">in Israel, there are no regulations whatsoever on publication or transparency. In practice, however, since 2014, the Druze </w:t>
      </w:r>
      <w:r w:rsidR="00E63177">
        <w:rPr>
          <w:rFonts w:eastAsia="Calibri" w:cstheme="minorHAnsi"/>
          <w:lang w:val="en-GB" w:bidi="he-IL"/>
        </w:rPr>
        <w:t>r</w:t>
      </w:r>
      <w:r w:rsidR="00167FCA" w:rsidRPr="00F80F27">
        <w:rPr>
          <w:rFonts w:eastAsia="Calibri" w:cstheme="minorHAnsi"/>
          <w:lang w:val="en-GB" w:bidi="he-IL"/>
        </w:rPr>
        <w:t xml:space="preserve">eligious </w:t>
      </w:r>
      <w:r w:rsidR="00E63177">
        <w:rPr>
          <w:rFonts w:eastAsia="Calibri" w:cstheme="minorHAnsi"/>
          <w:lang w:val="en-GB" w:bidi="he-IL"/>
        </w:rPr>
        <w:t>c</w:t>
      </w:r>
      <w:r w:rsidR="00167FCA" w:rsidRPr="00F80F27">
        <w:rPr>
          <w:rFonts w:eastAsia="Calibri" w:cstheme="minorHAnsi"/>
          <w:lang w:val="en-GB" w:bidi="he-IL"/>
        </w:rPr>
        <w:t xml:space="preserve">ourts as well as the Sharia </w:t>
      </w:r>
      <w:r w:rsidR="00E63177">
        <w:rPr>
          <w:rFonts w:eastAsia="Calibri" w:cstheme="minorHAnsi"/>
          <w:lang w:val="en-GB" w:bidi="he-IL"/>
        </w:rPr>
        <w:t>c</w:t>
      </w:r>
      <w:r w:rsidR="00167FCA" w:rsidRPr="00F80F27">
        <w:rPr>
          <w:rFonts w:eastAsia="Calibri" w:cstheme="minorHAnsi"/>
          <w:lang w:val="en-GB" w:bidi="he-IL"/>
        </w:rPr>
        <w:t xml:space="preserve">ourts have been publishing their decisions, but they, like the Jewish </w:t>
      </w:r>
      <w:r w:rsidR="00E63177">
        <w:rPr>
          <w:rFonts w:eastAsia="Calibri" w:cstheme="minorHAnsi"/>
          <w:lang w:val="en-GB" w:bidi="he-IL"/>
        </w:rPr>
        <w:t>c</w:t>
      </w:r>
      <w:r w:rsidR="00167FCA" w:rsidRPr="00F80F27">
        <w:rPr>
          <w:rFonts w:eastAsia="Calibri" w:cstheme="minorHAnsi"/>
          <w:lang w:val="en-GB" w:bidi="he-IL"/>
        </w:rPr>
        <w:t>ourts, do so sporadically and when they see fit to do so.</w:t>
      </w:r>
    </w:p>
    <w:p w14:paraId="645ADD54" w14:textId="77777777" w:rsidR="004E3710" w:rsidRPr="004C645E" w:rsidRDefault="004E3710" w:rsidP="004C645E">
      <w:pPr>
        <w:rPr>
          <w:rFonts w:cstheme="minorHAnsi"/>
        </w:rPr>
      </w:pPr>
    </w:p>
    <w:p w14:paraId="0CE9B8D5" w14:textId="51AD5324" w:rsidR="004E3710" w:rsidRPr="0074653A" w:rsidRDefault="000B37BA" w:rsidP="00D47F7E">
      <w:pPr>
        <w:pStyle w:val="ListParagraph"/>
        <w:numPr>
          <w:ilvl w:val="0"/>
          <w:numId w:val="6"/>
        </w:numPr>
        <w:spacing w:after="160"/>
        <w:ind w:left="450"/>
        <w:jc w:val="both"/>
        <w:rPr>
          <w:rFonts w:cstheme="minorHAnsi"/>
          <w:lang w:val="en-GB"/>
        </w:rPr>
      </w:pPr>
      <w:r w:rsidRPr="0074653A">
        <w:rPr>
          <w:rFonts w:cstheme="minorHAnsi"/>
          <w:b/>
          <w:bCs/>
          <w:sz w:val="28"/>
          <w:szCs w:val="28"/>
        </w:rPr>
        <w:t xml:space="preserve">Combatting </w:t>
      </w:r>
      <w:r w:rsidR="00E63177">
        <w:rPr>
          <w:rFonts w:cstheme="minorHAnsi"/>
          <w:b/>
          <w:bCs/>
          <w:sz w:val="28"/>
          <w:szCs w:val="28"/>
        </w:rPr>
        <w:t>d</w:t>
      </w:r>
      <w:r w:rsidRPr="0074653A">
        <w:rPr>
          <w:rFonts w:cstheme="minorHAnsi"/>
          <w:b/>
          <w:bCs/>
          <w:sz w:val="28"/>
          <w:szCs w:val="28"/>
        </w:rPr>
        <w:t xml:space="preserve">omestic </w:t>
      </w:r>
      <w:r w:rsidR="00E63177">
        <w:rPr>
          <w:rFonts w:cstheme="minorHAnsi"/>
          <w:b/>
          <w:bCs/>
          <w:sz w:val="28"/>
          <w:szCs w:val="28"/>
        </w:rPr>
        <w:t>g</w:t>
      </w:r>
      <w:r w:rsidRPr="0074653A">
        <w:rPr>
          <w:rFonts w:cstheme="minorHAnsi"/>
          <w:b/>
          <w:bCs/>
          <w:sz w:val="28"/>
          <w:szCs w:val="28"/>
        </w:rPr>
        <w:t>ender</w:t>
      </w:r>
      <w:r w:rsidR="00E63177">
        <w:rPr>
          <w:rFonts w:cstheme="minorHAnsi"/>
          <w:b/>
          <w:bCs/>
          <w:sz w:val="28"/>
          <w:szCs w:val="28"/>
        </w:rPr>
        <w:t>-</w:t>
      </w:r>
      <w:r w:rsidRPr="0074653A">
        <w:rPr>
          <w:rFonts w:cstheme="minorHAnsi"/>
          <w:b/>
          <w:bCs/>
          <w:sz w:val="28"/>
          <w:szCs w:val="28"/>
        </w:rPr>
        <w:t xml:space="preserve">based </w:t>
      </w:r>
      <w:r w:rsidR="00E63177">
        <w:rPr>
          <w:rFonts w:cstheme="minorHAnsi"/>
          <w:b/>
          <w:bCs/>
          <w:sz w:val="28"/>
          <w:szCs w:val="28"/>
        </w:rPr>
        <w:t>v</w:t>
      </w:r>
      <w:r w:rsidRPr="0074653A">
        <w:rPr>
          <w:rFonts w:cstheme="minorHAnsi"/>
          <w:b/>
          <w:bCs/>
          <w:sz w:val="28"/>
          <w:szCs w:val="28"/>
        </w:rPr>
        <w:t xml:space="preserve">iolence and </w:t>
      </w:r>
      <w:r w:rsidR="00E63177">
        <w:rPr>
          <w:rFonts w:cstheme="minorHAnsi"/>
          <w:b/>
          <w:bCs/>
          <w:sz w:val="28"/>
          <w:szCs w:val="28"/>
        </w:rPr>
        <w:t>f</w:t>
      </w:r>
      <w:r w:rsidRPr="0074653A">
        <w:rPr>
          <w:rFonts w:cstheme="minorHAnsi"/>
          <w:b/>
          <w:bCs/>
          <w:sz w:val="28"/>
          <w:szCs w:val="28"/>
        </w:rPr>
        <w:t xml:space="preserve">emicide </w:t>
      </w:r>
    </w:p>
    <w:p w14:paraId="792E04E5" w14:textId="015B5D61" w:rsidR="004E3710" w:rsidRPr="000B37BA" w:rsidRDefault="0074653A" w:rsidP="0074653A">
      <w:pPr>
        <w:spacing w:after="160"/>
        <w:jc w:val="both"/>
        <w:rPr>
          <w:rFonts w:eastAsia="Calibri" w:cstheme="minorHAnsi"/>
          <w:lang w:val="en-GB" w:bidi="he-IL"/>
        </w:rPr>
      </w:pPr>
      <w:r>
        <w:rPr>
          <w:rFonts w:eastAsia="Calibri" w:cstheme="minorHAnsi"/>
          <w:lang w:val="en-GB" w:bidi="he-IL"/>
        </w:rPr>
        <w:t>D</w:t>
      </w:r>
      <w:r w:rsidRPr="000B37BA">
        <w:rPr>
          <w:rFonts w:eastAsia="Calibri" w:cstheme="minorHAnsi"/>
          <w:lang w:val="en-GB" w:bidi="he-IL"/>
        </w:rPr>
        <w:t>uring its UPR session in 2018</w:t>
      </w:r>
      <w:r>
        <w:rPr>
          <w:rFonts w:eastAsia="Calibri" w:cstheme="minorHAnsi"/>
          <w:lang w:val="en-GB" w:bidi="he-IL"/>
        </w:rPr>
        <w:t xml:space="preserve">, </w:t>
      </w:r>
      <w:r w:rsidR="00E63177">
        <w:rPr>
          <w:rFonts w:eastAsia="Calibri" w:cstheme="minorHAnsi"/>
          <w:lang w:val="en-GB" w:bidi="he-IL"/>
        </w:rPr>
        <w:t xml:space="preserve">the </w:t>
      </w:r>
      <w:r w:rsidR="004E3710" w:rsidRPr="000B37BA">
        <w:rPr>
          <w:rFonts w:eastAsia="Calibri" w:cstheme="minorHAnsi"/>
          <w:lang w:val="en-GB" w:bidi="he-IL"/>
        </w:rPr>
        <w:t>Israeli Ambassador “noted efforts to host rapporteurs on an annual basis, underlining the recent visit of the Special Rapporteur on violence against women</w:t>
      </w:r>
      <w:r w:rsidR="00E63177">
        <w:rPr>
          <w:rFonts w:eastAsia="Calibri" w:cstheme="minorHAnsi"/>
          <w:lang w:val="en-GB" w:bidi="he-IL"/>
        </w:rPr>
        <w:t xml:space="preserve"> and girls</w:t>
      </w:r>
      <w:r w:rsidR="004E3710" w:rsidRPr="000B37BA">
        <w:rPr>
          <w:rFonts w:eastAsia="Calibri" w:cstheme="minorHAnsi"/>
          <w:lang w:val="en-GB" w:bidi="he-IL"/>
        </w:rPr>
        <w:t>, its causes and consequences”.</w:t>
      </w:r>
      <w:r w:rsidR="0045412B">
        <w:rPr>
          <w:rFonts w:eastAsia="Calibri" w:cstheme="minorHAnsi"/>
          <w:lang w:val="en-GB" w:bidi="he-IL"/>
        </w:rPr>
        <w:t xml:space="preserve"> </w:t>
      </w:r>
      <w:r w:rsidR="000B37BA" w:rsidRPr="000B37BA">
        <w:rPr>
          <w:rFonts w:eastAsia="Calibri" w:cstheme="minorHAnsi"/>
          <w:lang w:val="en-GB" w:bidi="he-IL"/>
        </w:rPr>
        <w:t>Israel</w:t>
      </w:r>
      <w:r w:rsidR="0045412B">
        <w:rPr>
          <w:rFonts w:eastAsia="Calibri" w:cstheme="minorHAnsi"/>
          <w:lang w:val="en-GB" w:bidi="he-IL"/>
        </w:rPr>
        <w:t xml:space="preserve"> also </w:t>
      </w:r>
      <w:r w:rsidR="000B37BA" w:rsidRPr="000B37BA">
        <w:rPr>
          <w:rFonts w:eastAsia="Calibri" w:cstheme="minorHAnsi"/>
          <w:lang w:val="en-GB" w:bidi="he-IL"/>
        </w:rPr>
        <w:t>accepted the following recommendations</w:t>
      </w:r>
      <w:r w:rsidR="000B37BA">
        <w:rPr>
          <w:rFonts w:eastAsia="Calibri" w:cstheme="minorHAnsi"/>
          <w:lang w:bidi="he-IL"/>
        </w:rPr>
        <w:t>:</w:t>
      </w:r>
    </w:p>
    <w:p w14:paraId="757EC9D0" w14:textId="77777777" w:rsidR="004E3710" w:rsidRPr="00F80F27" w:rsidRDefault="004E3710" w:rsidP="000B37BA">
      <w:pPr>
        <w:pStyle w:val="ListParagraph"/>
        <w:ind w:left="450"/>
        <w:rPr>
          <w:rFonts w:cstheme="minorHAnsi"/>
        </w:rPr>
      </w:pPr>
      <w:r w:rsidRPr="0045412B">
        <w:rPr>
          <w:rFonts w:cstheme="minorHAnsi"/>
          <w:b/>
          <w:bCs/>
        </w:rPr>
        <w:t>118.113</w:t>
      </w:r>
      <w:r w:rsidRPr="00F80F27">
        <w:rPr>
          <w:rFonts w:cstheme="minorHAnsi"/>
        </w:rPr>
        <w:t xml:space="preserve"> Continue its efforts to combat domestic and gender-based violence against women (Nepal</w:t>
      </w:r>
      <w:proofErr w:type="gramStart"/>
      <w:r w:rsidRPr="00F80F27">
        <w:rPr>
          <w:rFonts w:cstheme="minorHAnsi"/>
        </w:rPr>
        <w:t>);</w:t>
      </w:r>
      <w:proofErr w:type="gramEnd"/>
      <w:r w:rsidRPr="00F80F27">
        <w:rPr>
          <w:rFonts w:cstheme="minorHAnsi"/>
        </w:rPr>
        <w:t xml:space="preserve"> </w:t>
      </w:r>
    </w:p>
    <w:p w14:paraId="1C112946" w14:textId="291A08CA" w:rsidR="004E3710" w:rsidRPr="00F80F27" w:rsidRDefault="004E3710" w:rsidP="004E3710">
      <w:pPr>
        <w:pStyle w:val="ListParagraph"/>
        <w:ind w:left="450"/>
        <w:rPr>
          <w:rFonts w:cstheme="minorHAnsi"/>
        </w:rPr>
      </w:pPr>
      <w:r w:rsidRPr="0045412B">
        <w:rPr>
          <w:rFonts w:cstheme="minorHAnsi"/>
          <w:b/>
          <w:bCs/>
        </w:rPr>
        <w:t>118.115</w:t>
      </w:r>
      <w:r w:rsidRPr="00F80F27">
        <w:rPr>
          <w:rFonts w:cstheme="minorHAnsi"/>
        </w:rPr>
        <w:t xml:space="preserve"> Take note of the reports of pervasive and serious domestic and sexual violence against women</w:t>
      </w:r>
      <w:r w:rsidR="00E63177">
        <w:rPr>
          <w:rFonts w:cstheme="minorHAnsi"/>
        </w:rPr>
        <w:t xml:space="preserve"> </w:t>
      </w:r>
      <w:r w:rsidRPr="00F80F27">
        <w:rPr>
          <w:rFonts w:cstheme="minorHAnsi"/>
        </w:rPr>
        <w:t>by the Special Rapporteur on violence against women, and redouble its efforts to address this issue (Japan</w:t>
      </w:r>
      <w:proofErr w:type="gramStart"/>
      <w:r w:rsidRPr="00F80F27">
        <w:rPr>
          <w:rFonts w:cstheme="minorHAnsi"/>
        </w:rPr>
        <w:t>);</w:t>
      </w:r>
      <w:proofErr w:type="gramEnd"/>
      <w:r w:rsidRPr="00F80F27">
        <w:rPr>
          <w:rFonts w:cstheme="minorHAnsi"/>
        </w:rPr>
        <w:t xml:space="preserve"> </w:t>
      </w:r>
    </w:p>
    <w:p w14:paraId="531D5057" w14:textId="7FD6ED57" w:rsidR="004E3710" w:rsidRDefault="004E3710" w:rsidP="00BB167A">
      <w:pPr>
        <w:pStyle w:val="ListParagraph"/>
        <w:ind w:left="450"/>
        <w:rPr>
          <w:rFonts w:cstheme="minorHAnsi"/>
        </w:rPr>
      </w:pPr>
      <w:r w:rsidRPr="0045412B">
        <w:rPr>
          <w:rFonts w:cstheme="minorHAnsi"/>
          <w:b/>
          <w:bCs/>
        </w:rPr>
        <w:t>118.116</w:t>
      </w:r>
      <w:r w:rsidRPr="00F80F27">
        <w:rPr>
          <w:rFonts w:cstheme="minorHAnsi"/>
        </w:rPr>
        <w:t xml:space="preserve"> Strengthen measures to combat gender-based violence, including through the implementation of relevant laws to ensure justice for victims (Rwanda</w:t>
      </w:r>
      <w:proofErr w:type="gramStart"/>
      <w:r w:rsidRPr="00F80F27">
        <w:rPr>
          <w:rFonts w:cstheme="minorHAnsi"/>
        </w:rPr>
        <w:t>);</w:t>
      </w:r>
      <w:proofErr w:type="gramEnd"/>
      <w:r w:rsidRPr="00F80F27">
        <w:rPr>
          <w:rFonts w:cstheme="minorHAnsi"/>
        </w:rPr>
        <w:t xml:space="preserve"> </w:t>
      </w:r>
    </w:p>
    <w:p w14:paraId="735C1E02" w14:textId="77777777" w:rsidR="00AF3FFE" w:rsidRPr="00BB167A" w:rsidRDefault="00AF3FFE" w:rsidP="00BB167A">
      <w:pPr>
        <w:pStyle w:val="ListParagraph"/>
        <w:ind w:left="450"/>
        <w:rPr>
          <w:rFonts w:cstheme="minorHAnsi"/>
        </w:rPr>
      </w:pPr>
    </w:p>
    <w:p w14:paraId="0AE5369C" w14:textId="4A8742F6" w:rsidR="005E13D9" w:rsidRPr="00BB167A" w:rsidRDefault="005F0126" w:rsidP="005F0126">
      <w:pPr>
        <w:spacing w:after="160"/>
        <w:jc w:val="both"/>
        <w:rPr>
          <w:rFonts w:eastAsia="Calibri" w:cstheme="minorHAnsi"/>
          <w:b/>
          <w:bCs/>
          <w:lang w:val="en-GB" w:bidi="he-IL"/>
        </w:rPr>
      </w:pPr>
      <w:r w:rsidRPr="00BB167A">
        <w:rPr>
          <w:rFonts w:eastAsia="Calibri" w:cstheme="minorHAnsi"/>
          <w:b/>
          <w:bCs/>
          <w:lang w:val="en-GB" w:bidi="he-IL"/>
        </w:rPr>
        <w:t>Israel</w:t>
      </w:r>
      <w:r w:rsidR="00324C45" w:rsidRPr="00BB167A">
        <w:rPr>
          <w:rFonts w:eastAsia="Calibri" w:cstheme="minorHAnsi"/>
          <w:b/>
          <w:bCs/>
          <w:lang w:val="en-GB" w:bidi="he-IL"/>
        </w:rPr>
        <w:t xml:space="preserve"> also </w:t>
      </w:r>
      <w:r w:rsidR="005E13D9" w:rsidRPr="00BB167A">
        <w:rPr>
          <w:rFonts w:eastAsia="Calibri" w:cstheme="minorHAnsi"/>
          <w:b/>
          <w:bCs/>
          <w:lang w:val="en-GB" w:bidi="he-IL"/>
        </w:rPr>
        <w:t xml:space="preserve">examined </w:t>
      </w:r>
      <w:r w:rsidRPr="00BB167A">
        <w:rPr>
          <w:rFonts w:eastAsia="Calibri" w:cstheme="minorHAnsi"/>
          <w:b/>
          <w:bCs/>
          <w:lang w:val="en-GB" w:bidi="he-IL"/>
        </w:rPr>
        <w:t>the following recommendations</w:t>
      </w:r>
      <w:r w:rsidR="005E13D9" w:rsidRPr="00BB167A">
        <w:rPr>
          <w:rFonts w:eastAsia="Calibri" w:cstheme="minorHAnsi"/>
          <w:b/>
          <w:bCs/>
          <w:lang w:val="en-GB" w:bidi="he-IL"/>
        </w:rPr>
        <w:t>,</w:t>
      </w:r>
      <w:r w:rsidRPr="00BB167A">
        <w:rPr>
          <w:rFonts w:eastAsia="Calibri" w:cstheme="minorHAnsi"/>
          <w:b/>
          <w:bCs/>
          <w:lang w:val="en-GB" w:bidi="he-IL"/>
        </w:rPr>
        <w:t xml:space="preserve"> and committed to</w:t>
      </w:r>
      <w:r w:rsidR="005E13D9" w:rsidRPr="00BB167A">
        <w:rPr>
          <w:rFonts w:eastAsia="Calibri" w:cstheme="minorHAnsi"/>
          <w:b/>
          <w:bCs/>
          <w:lang w:val="en-GB" w:bidi="he-IL"/>
        </w:rPr>
        <w:t xml:space="preserve"> provide responses </w:t>
      </w:r>
      <w:r w:rsidR="00BB7CA4" w:rsidRPr="00BB167A">
        <w:rPr>
          <w:rFonts w:eastAsia="Calibri" w:cstheme="minorHAnsi"/>
          <w:b/>
          <w:bCs/>
          <w:lang w:val="en-GB" w:bidi="he-IL"/>
        </w:rPr>
        <w:t>to</w:t>
      </w:r>
      <w:r w:rsidRPr="00BB167A">
        <w:rPr>
          <w:rFonts w:eastAsia="Calibri" w:cstheme="minorHAnsi"/>
          <w:b/>
          <w:bCs/>
          <w:lang w:val="en-GB" w:bidi="he-IL"/>
        </w:rPr>
        <w:t xml:space="preserve"> the Human Rights Council:</w:t>
      </w:r>
    </w:p>
    <w:p w14:paraId="1B81FC62" w14:textId="045A4D53" w:rsidR="00EE4E22" w:rsidRPr="00F80F27" w:rsidRDefault="00EE4E22" w:rsidP="005F0126">
      <w:pPr>
        <w:pStyle w:val="ListParagraph"/>
        <w:ind w:left="450"/>
        <w:rPr>
          <w:rFonts w:cstheme="minorHAnsi"/>
        </w:rPr>
      </w:pPr>
      <w:r w:rsidRPr="0045412B">
        <w:rPr>
          <w:rFonts w:cstheme="minorHAnsi"/>
          <w:b/>
          <w:bCs/>
        </w:rPr>
        <w:t>118.104</w:t>
      </w:r>
      <w:r w:rsidRPr="00F80F27">
        <w:rPr>
          <w:rFonts w:cstheme="minorHAnsi"/>
        </w:rPr>
        <w:t xml:space="preserve"> Step up efforts in terms of advancing women’s rights inclusive to combat trafficking of </w:t>
      </w:r>
      <w:r w:rsidRPr="00F80F27">
        <w:rPr>
          <w:rFonts w:cstheme="minorHAnsi"/>
          <w:b/>
          <w:bCs/>
        </w:rPr>
        <w:t>and violence against women</w:t>
      </w:r>
      <w:r w:rsidRPr="00F80F27">
        <w:rPr>
          <w:rFonts w:cstheme="minorHAnsi"/>
        </w:rPr>
        <w:t xml:space="preserve"> (Indonesia</w:t>
      </w:r>
      <w:proofErr w:type="gramStart"/>
      <w:r w:rsidRPr="00F80F27">
        <w:rPr>
          <w:rFonts w:cstheme="minorHAnsi"/>
        </w:rPr>
        <w:t>);</w:t>
      </w:r>
      <w:proofErr w:type="gramEnd"/>
    </w:p>
    <w:p w14:paraId="680508FD" w14:textId="3A68F829" w:rsidR="0045412B" w:rsidRDefault="00EE4E22" w:rsidP="00767C9B">
      <w:pPr>
        <w:pStyle w:val="ListParagraph"/>
        <w:ind w:left="450"/>
        <w:rPr>
          <w:rFonts w:cstheme="minorHAnsi"/>
        </w:rPr>
      </w:pPr>
      <w:r w:rsidRPr="0045412B">
        <w:rPr>
          <w:rFonts w:cstheme="minorHAnsi"/>
          <w:b/>
          <w:bCs/>
        </w:rPr>
        <w:t>118.106</w:t>
      </w:r>
      <w:r w:rsidRPr="00F80F27">
        <w:rPr>
          <w:rFonts w:cstheme="minorHAnsi"/>
        </w:rPr>
        <w:t xml:space="preserve"> Continue their laudable efforts in promoting gender-based equality, including women’s participation in public and private life and </w:t>
      </w:r>
      <w:r w:rsidRPr="00F80F27">
        <w:rPr>
          <w:rFonts w:cstheme="minorHAnsi"/>
          <w:b/>
          <w:bCs/>
        </w:rPr>
        <w:t>combating gender-based violence</w:t>
      </w:r>
      <w:r w:rsidRPr="00F80F27">
        <w:rPr>
          <w:rFonts w:cstheme="minorHAnsi"/>
        </w:rPr>
        <w:t xml:space="preserve"> (Greece</w:t>
      </w:r>
      <w:proofErr w:type="gramStart"/>
      <w:r w:rsidRPr="00F80F27">
        <w:rPr>
          <w:rFonts w:cstheme="minorHAnsi"/>
        </w:rPr>
        <w:t>);</w:t>
      </w:r>
      <w:proofErr w:type="gramEnd"/>
    </w:p>
    <w:p w14:paraId="68050D24" w14:textId="77777777" w:rsidR="00AF3FFE" w:rsidRPr="00767C9B" w:rsidRDefault="00AF3FFE" w:rsidP="00767C9B">
      <w:pPr>
        <w:pStyle w:val="ListParagraph"/>
        <w:ind w:left="450"/>
        <w:rPr>
          <w:rFonts w:cstheme="minorHAnsi"/>
        </w:rPr>
      </w:pPr>
    </w:p>
    <w:p w14:paraId="2518E06E" w14:textId="3A05AA39" w:rsidR="00826D62" w:rsidRDefault="00742A5B" w:rsidP="00742A5B">
      <w:pPr>
        <w:spacing w:after="160"/>
        <w:contextualSpacing/>
        <w:jc w:val="both"/>
        <w:rPr>
          <w:rFonts w:eastAsia="Calibri" w:cstheme="minorHAnsi"/>
          <w:lang w:bidi="ar-JO"/>
        </w:rPr>
      </w:pPr>
      <w:r w:rsidRPr="009537EC">
        <w:rPr>
          <w:rFonts w:eastAsia="Calibri" w:cstheme="minorHAnsi"/>
          <w:lang w:bidi="ar-JO"/>
        </w:rPr>
        <w:t>However, as documented extensively by Kayan</w:t>
      </w:r>
      <w:r w:rsidR="00AF3FFE">
        <w:rPr>
          <w:rFonts w:eastAsia="Calibri" w:cstheme="minorHAnsi"/>
          <w:lang w:bidi="ar-JO"/>
        </w:rPr>
        <w:t>, c</w:t>
      </w:r>
      <w:r w:rsidR="00E54FA9" w:rsidRPr="005F061A">
        <w:rPr>
          <w:rFonts w:eastAsia="Calibri" w:cstheme="minorHAnsi"/>
          <w:lang w:bidi="ar-JO"/>
        </w:rPr>
        <w:t>riminal complaints about violence</w:t>
      </w:r>
      <w:r w:rsidR="00AF3FFE">
        <w:rPr>
          <w:rFonts w:eastAsia="Calibri" w:cstheme="minorHAnsi"/>
          <w:lang w:bidi="ar-JO"/>
        </w:rPr>
        <w:t xml:space="preserve"> </w:t>
      </w:r>
      <w:r w:rsidR="00E54FA9" w:rsidRPr="005F061A">
        <w:rPr>
          <w:rFonts w:eastAsia="Calibri" w:cstheme="minorHAnsi"/>
          <w:lang w:bidi="ar-JO"/>
        </w:rPr>
        <w:t xml:space="preserve">have been increasing </w:t>
      </w:r>
      <w:r w:rsidR="00E63177">
        <w:rPr>
          <w:rFonts w:eastAsia="Calibri" w:cstheme="minorHAnsi"/>
          <w:lang w:bidi="ar-JO"/>
        </w:rPr>
        <w:t>in</w:t>
      </w:r>
      <w:r w:rsidR="00E63177" w:rsidRPr="005F061A">
        <w:rPr>
          <w:rFonts w:eastAsia="Calibri" w:cstheme="minorHAnsi"/>
          <w:lang w:bidi="ar-JO"/>
        </w:rPr>
        <w:t xml:space="preserve"> </w:t>
      </w:r>
      <w:r w:rsidR="00E63177">
        <w:rPr>
          <w:rFonts w:eastAsia="Calibri" w:cstheme="minorHAnsi"/>
          <w:lang w:bidi="ar-JO"/>
        </w:rPr>
        <w:t>p</w:t>
      </w:r>
      <w:r w:rsidR="00E54FA9" w:rsidRPr="005F061A">
        <w:rPr>
          <w:rFonts w:eastAsia="Calibri" w:cstheme="minorHAnsi"/>
          <w:lang w:bidi="ar-JO"/>
        </w:rPr>
        <w:t>ast years, and the police continue to fail to protect</w:t>
      </w:r>
      <w:r w:rsidRPr="005F061A">
        <w:rPr>
          <w:rFonts w:eastAsia="Calibri" w:cstheme="minorHAnsi"/>
          <w:lang w:bidi="ar-JO"/>
        </w:rPr>
        <w:t xml:space="preserve"> </w:t>
      </w:r>
      <w:r w:rsidR="00E54FA9" w:rsidRPr="005F061A">
        <w:rPr>
          <w:rFonts w:eastAsia="Calibri" w:cstheme="minorHAnsi"/>
          <w:lang w:bidi="ar-JO"/>
        </w:rPr>
        <w:t>women</w:t>
      </w:r>
      <w:r w:rsidR="00E54FA9" w:rsidRPr="005F061A">
        <w:rPr>
          <w:rFonts w:eastAsia="Calibri" w:cstheme="minorHAnsi"/>
          <w:vertAlign w:val="superscript"/>
          <w:lang w:bidi="ar-JO"/>
        </w:rPr>
        <w:footnoteReference w:id="9"/>
      </w:r>
      <w:r w:rsidR="00E54FA9" w:rsidRPr="005F061A">
        <w:rPr>
          <w:rFonts w:eastAsia="Calibri" w:cstheme="minorHAnsi"/>
          <w:lang w:bidi="ar-JO"/>
        </w:rPr>
        <w:t>.</w:t>
      </w:r>
      <w:r w:rsidR="00E54FA9" w:rsidRPr="00F80F27">
        <w:rPr>
          <w:rFonts w:eastAsia="Calibri" w:cstheme="minorHAnsi"/>
          <w:lang w:bidi="ar-JO"/>
        </w:rPr>
        <w:t xml:space="preserve"> </w:t>
      </w:r>
      <w:r w:rsidR="00AF3FFE">
        <w:rPr>
          <w:rFonts w:eastAsia="Calibri" w:cstheme="minorHAnsi"/>
          <w:lang w:bidi="ar-JO"/>
        </w:rPr>
        <w:t>A</w:t>
      </w:r>
      <w:r w:rsidR="00AF3FFE" w:rsidRPr="009537EC">
        <w:rPr>
          <w:rFonts w:eastAsia="Calibri" w:cstheme="minorHAnsi"/>
          <w:lang w:bidi="ar-JO"/>
        </w:rPr>
        <w:t xml:space="preserve"> total of 73 Palestinian women in Israel were killed between 2015 and 2020, according to data requested from the Israeli police</w:t>
      </w:r>
      <w:r w:rsidR="00AF3FFE" w:rsidRPr="005F061A">
        <w:rPr>
          <w:rFonts w:eastAsia="Calibri" w:cstheme="minorHAnsi"/>
          <w:lang w:bidi="ar-JO"/>
        </w:rPr>
        <w:t>.</w:t>
      </w:r>
    </w:p>
    <w:p w14:paraId="6C9E738C" w14:textId="77777777" w:rsidR="00826D62" w:rsidRDefault="00826D62" w:rsidP="00742A5B">
      <w:pPr>
        <w:spacing w:after="160"/>
        <w:contextualSpacing/>
        <w:jc w:val="both"/>
        <w:rPr>
          <w:rFonts w:eastAsia="Calibri" w:cstheme="minorHAnsi"/>
          <w:lang w:bidi="ar-JO"/>
        </w:rPr>
      </w:pPr>
    </w:p>
    <w:p w14:paraId="5E40DB6B" w14:textId="384F97EF" w:rsidR="00E54FA9" w:rsidRPr="00F80F27" w:rsidRDefault="00826D62" w:rsidP="00E35B4B">
      <w:pPr>
        <w:spacing w:after="160"/>
        <w:contextualSpacing/>
        <w:jc w:val="both"/>
        <w:rPr>
          <w:rFonts w:eastAsia="Calibri" w:cstheme="minorHAnsi"/>
          <w:rtl/>
          <w:lang w:val="en-GB"/>
        </w:rPr>
      </w:pPr>
      <w:r>
        <w:rPr>
          <w:rFonts w:eastAsia="Calibri" w:cstheme="minorHAnsi"/>
          <w:lang w:bidi="ar-JO"/>
        </w:rPr>
        <w:t>According to a</w:t>
      </w:r>
      <w:r w:rsidR="00E54FA9" w:rsidRPr="00BB167A">
        <w:rPr>
          <w:rFonts w:eastAsia="Calibri" w:cstheme="minorHAnsi"/>
          <w:lang w:bidi="ar-JO"/>
        </w:rPr>
        <w:t xml:space="preserve"> research</w:t>
      </w:r>
      <w:r w:rsidR="00E63177">
        <w:rPr>
          <w:rFonts w:eastAsia="Calibri" w:cstheme="minorHAnsi"/>
          <w:lang w:bidi="ar-JO"/>
        </w:rPr>
        <w:t xml:space="preserve"> study</w:t>
      </w:r>
      <w:r w:rsidR="00E54FA9" w:rsidRPr="00BB167A">
        <w:rPr>
          <w:rFonts w:eastAsia="Calibri" w:cstheme="minorHAnsi"/>
          <w:lang w:bidi="ar-JO"/>
        </w:rPr>
        <w:t xml:space="preserve"> by Kayan</w:t>
      </w:r>
      <w:r w:rsidR="00E54FA9" w:rsidRPr="00BB167A">
        <w:rPr>
          <w:rFonts w:eastAsia="Calibri" w:cstheme="minorHAnsi"/>
          <w:vertAlign w:val="superscript"/>
          <w:lang w:bidi="ar-JO"/>
        </w:rPr>
        <w:footnoteReference w:id="10"/>
      </w:r>
      <w:r w:rsidR="00BB167A" w:rsidRPr="00BB167A">
        <w:rPr>
          <w:rFonts w:eastAsia="Calibri" w:cstheme="minorHAnsi"/>
          <w:lang w:bidi="ar-JO"/>
        </w:rPr>
        <w:t>,</w:t>
      </w:r>
      <w:r w:rsidR="00BB167A">
        <w:rPr>
          <w:rFonts w:eastAsia="Calibri" w:cstheme="minorHAnsi"/>
          <w:lang w:bidi="ar-JO"/>
        </w:rPr>
        <w:t xml:space="preserve"> </w:t>
      </w:r>
      <w:r w:rsidR="00BB167A" w:rsidRPr="00F80F27">
        <w:rPr>
          <w:rFonts w:eastAsia="Calibri" w:cstheme="minorHAnsi"/>
          <w:lang w:bidi="ar-JO"/>
        </w:rPr>
        <w:t>the</w:t>
      </w:r>
      <w:r w:rsidR="004C6C98">
        <w:rPr>
          <w:rFonts w:eastAsia="Calibri" w:cstheme="minorHAnsi"/>
          <w:lang w:bidi="ar-JO"/>
        </w:rPr>
        <w:t xml:space="preserve"> </w:t>
      </w:r>
      <w:r w:rsidR="00E54FA9" w:rsidRPr="00F80F27">
        <w:rPr>
          <w:rFonts w:eastAsia="Calibri" w:cstheme="minorHAnsi"/>
          <w:lang w:bidi="ar-JO"/>
        </w:rPr>
        <w:t xml:space="preserve">problem of femicide has recently increased among Palestinians in </w:t>
      </w:r>
      <w:r w:rsidR="0063066B" w:rsidRPr="00F80F27">
        <w:rPr>
          <w:rFonts w:eastAsia="Calibri" w:cstheme="minorHAnsi"/>
          <w:lang w:bidi="ar-JO"/>
        </w:rPr>
        <w:t>Israel</w:t>
      </w:r>
      <w:r w:rsidR="0063066B" w:rsidRPr="004C6C98">
        <w:rPr>
          <w:rFonts w:eastAsia="Calibri" w:cstheme="minorHAnsi"/>
          <w:lang w:bidi="ar-JO"/>
        </w:rPr>
        <w:t xml:space="preserve">. </w:t>
      </w:r>
      <w:r w:rsidR="00E54FA9" w:rsidRPr="004C6C98">
        <w:rPr>
          <w:rFonts w:eastAsia="Calibri" w:cstheme="minorHAnsi"/>
          <w:lang w:bidi="ar-JO"/>
        </w:rPr>
        <w:t xml:space="preserve">During </w:t>
      </w:r>
      <w:r w:rsidR="00E54FA9" w:rsidRPr="004C6C98">
        <w:rPr>
          <w:rFonts w:eastAsia="Calibri" w:cstheme="minorHAnsi"/>
          <w:b/>
          <w:bCs/>
          <w:lang w:bidi="ar-JO"/>
        </w:rPr>
        <w:t>2015-2020, a yearly average of 12 Palestinian women were killed by men.</w:t>
      </w:r>
      <w:r w:rsidRPr="004C6C98">
        <w:rPr>
          <w:rStyle w:val="FootnoteReference"/>
          <w:rFonts w:eastAsia="Calibri" w:cstheme="minorHAnsi"/>
          <w:b/>
          <w:bCs/>
          <w:lang w:bidi="ar-JO"/>
        </w:rPr>
        <w:footnoteReference w:id="11"/>
      </w:r>
      <w:r w:rsidR="0063066B">
        <w:rPr>
          <w:rFonts w:eastAsia="Calibri" w:cstheme="minorHAnsi"/>
          <w:lang w:bidi="ar-JO"/>
        </w:rPr>
        <w:t xml:space="preserve"> </w:t>
      </w:r>
      <w:r w:rsidR="009537EC">
        <w:rPr>
          <w:rFonts w:eastAsia="Calibri" w:cstheme="minorHAnsi"/>
          <w:lang w:bidi="ar-JO"/>
        </w:rPr>
        <w:t>From January 202</w:t>
      </w:r>
      <w:r w:rsidR="000D6B0A">
        <w:rPr>
          <w:rFonts w:eastAsia="Calibri" w:cstheme="minorHAnsi"/>
          <w:lang w:bidi="ar-JO"/>
        </w:rPr>
        <w:t>1</w:t>
      </w:r>
      <w:r w:rsidR="002577F5">
        <w:rPr>
          <w:rFonts w:eastAsia="Calibri" w:cstheme="minorHAnsi"/>
          <w:lang w:bidi="ar-JO"/>
        </w:rPr>
        <w:t xml:space="preserve"> </w:t>
      </w:r>
      <w:r w:rsidR="009537EC">
        <w:rPr>
          <w:rFonts w:eastAsia="Calibri" w:cstheme="minorHAnsi"/>
          <w:lang w:bidi="ar-JO"/>
        </w:rPr>
        <w:t xml:space="preserve">to October </w:t>
      </w:r>
      <w:r w:rsidR="008F2ACA">
        <w:rPr>
          <w:rFonts w:eastAsia="Calibri" w:cstheme="minorHAnsi"/>
          <w:lang w:bidi="ar-JO"/>
        </w:rPr>
        <w:t>2022, 25</w:t>
      </w:r>
      <w:r w:rsidR="002577F5">
        <w:rPr>
          <w:rFonts w:eastAsia="Calibri" w:cstheme="minorHAnsi"/>
          <w:lang w:bidi="ar-JO"/>
        </w:rPr>
        <w:t xml:space="preserve"> </w:t>
      </w:r>
      <w:r w:rsidR="009537EC">
        <w:rPr>
          <w:rFonts w:eastAsia="Calibri" w:cstheme="minorHAnsi"/>
          <w:lang w:bidi="ar-JO"/>
        </w:rPr>
        <w:t>Palestinian women from Israel were killed.</w:t>
      </w:r>
      <w:r w:rsidR="009537EC">
        <w:rPr>
          <w:rFonts w:eastAsia="Calibri" w:cstheme="minorHAnsi"/>
          <w:b/>
          <w:bCs/>
          <w:lang w:bidi="ar-JO"/>
        </w:rPr>
        <w:t xml:space="preserve"> </w:t>
      </w:r>
      <w:r w:rsidR="0063066B">
        <w:rPr>
          <w:rFonts w:eastAsia="Calibri" w:cstheme="minorHAnsi"/>
          <w:lang w:bidi="ar-JO"/>
        </w:rPr>
        <w:t>M</w:t>
      </w:r>
      <w:r w:rsidR="00E54FA9" w:rsidRPr="00F80F27">
        <w:rPr>
          <w:rFonts w:eastAsia="Calibri" w:cstheme="minorHAnsi"/>
          <w:lang w:bidi="ar-JO"/>
        </w:rPr>
        <w:t>ost of the perpetrators were their partners, former partners, or other male relatives.</w:t>
      </w:r>
      <w:r w:rsidR="00E54FA9" w:rsidRPr="00F80F27">
        <w:rPr>
          <w:rFonts w:eastAsia="Calibri" w:cstheme="minorHAnsi"/>
          <w:vertAlign w:val="superscript"/>
          <w:lang w:bidi="ar-JO"/>
        </w:rPr>
        <w:footnoteReference w:id="12"/>
      </w:r>
      <w:r w:rsidR="00E54FA9" w:rsidRPr="00F80F27">
        <w:rPr>
          <w:rFonts w:eastAsia="Calibri" w:cstheme="minorHAnsi"/>
          <w:lang w:bidi="ar-JO"/>
        </w:rPr>
        <w:t xml:space="preserve"> </w:t>
      </w:r>
      <w:r w:rsidR="000D6B0A">
        <w:rPr>
          <w:rFonts w:eastAsia="Calibri" w:cstheme="minorHAnsi"/>
          <w:lang w:bidi="ar-JO"/>
        </w:rPr>
        <w:t>T</w:t>
      </w:r>
      <w:r w:rsidR="00E54FA9" w:rsidRPr="00F80F27">
        <w:rPr>
          <w:rFonts w:eastAsia="Calibri" w:cstheme="minorHAnsi"/>
          <w:lang w:bidi="ar-JO"/>
        </w:rPr>
        <w:t>he State Comptroller in Israel issued a report accusing the authorities of failing to prevent domestic violence and femicide. According to the report, Palestinian women in Israel comprise 40% of the total women who stay in shelters for battered women and 39% of femicide cases</w:t>
      </w:r>
      <w:r w:rsidR="00E35B4B">
        <w:rPr>
          <w:rFonts w:eastAsia="Calibri" w:cstheme="minorHAnsi"/>
          <w:lang w:bidi="ar-JO"/>
        </w:rPr>
        <w:t xml:space="preserve">, </w:t>
      </w:r>
      <w:r w:rsidR="00E35B4B" w:rsidRPr="00F80F27">
        <w:rPr>
          <w:rFonts w:eastAsia="Calibri" w:cstheme="minorHAnsi"/>
          <w:lang w:bidi="ar-JO"/>
        </w:rPr>
        <w:t xml:space="preserve">double of their </w:t>
      </w:r>
      <w:r w:rsidR="00E35B4B">
        <w:rPr>
          <w:rFonts w:eastAsia="Calibri" w:cstheme="minorHAnsi"/>
          <w:lang w:bidi="ar-JO"/>
        </w:rPr>
        <w:t>percentage of the overall</w:t>
      </w:r>
      <w:r w:rsidR="00E35B4B" w:rsidRPr="00F80F27">
        <w:rPr>
          <w:rFonts w:eastAsia="Calibri" w:cstheme="minorHAnsi"/>
          <w:lang w:bidi="ar-JO"/>
        </w:rPr>
        <w:t xml:space="preserve"> Israeli population</w:t>
      </w:r>
      <w:r w:rsidR="00E54FA9" w:rsidRPr="00F80F27">
        <w:rPr>
          <w:rFonts w:eastAsia="Calibri" w:cstheme="minorHAnsi"/>
          <w:lang w:bidi="ar-JO"/>
        </w:rPr>
        <w:t>. Despite these data, there is a lack of available places for Arabic</w:t>
      </w:r>
      <w:r w:rsidR="00E35B4B">
        <w:rPr>
          <w:rFonts w:eastAsia="Calibri" w:cstheme="minorHAnsi"/>
          <w:lang w:bidi="ar-JO"/>
        </w:rPr>
        <w:t xml:space="preserve"> </w:t>
      </w:r>
      <w:r w:rsidR="00E54FA9" w:rsidRPr="00F80F27">
        <w:rPr>
          <w:rFonts w:eastAsia="Calibri" w:cstheme="minorHAnsi"/>
          <w:lang w:bidi="ar-JO"/>
        </w:rPr>
        <w:t xml:space="preserve">speakers in shelters. Data also indicates a sharp rise in homicide cases in Palestinian society in Israel. From 2000 to 2017, the 1,180 Palestinian </w:t>
      </w:r>
      <w:r w:rsidR="00E35B4B">
        <w:rPr>
          <w:rFonts w:eastAsia="Calibri" w:cstheme="minorHAnsi"/>
          <w:lang w:bidi="ar-JO"/>
        </w:rPr>
        <w:t xml:space="preserve">homicide </w:t>
      </w:r>
      <w:r w:rsidR="00E54FA9" w:rsidRPr="00F80F27">
        <w:rPr>
          <w:rFonts w:eastAsia="Calibri" w:cstheme="minorHAnsi"/>
          <w:lang w:bidi="ar-JO"/>
        </w:rPr>
        <w:t xml:space="preserve">victims comprised 67% of the total murder victims in Israel, </w:t>
      </w:r>
      <w:r w:rsidR="00E35B4B">
        <w:rPr>
          <w:rFonts w:eastAsia="Calibri" w:cstheme="minorHAnsi"/>
          <w:lang w:bidi="ar-JO"/>
        </w:rPr>
        <w:t>and</w:t>
      </w:r>
      <w:r w:rsidR="00E35B4B" w:rsidRPr="00F80F27">
        <w:rPr>
          <w:rFonts w:eastAsia="Calibri" w:cstheme="minorHAnsi"/>
          <w:lang w:bidi="ar-JO"/>
        </w:rPr>
        <w:t xml:space="preserve"> </w:t>
      </w:r>
      <w:r w:rsidR="00E54FA9" w:rsidRPr="00F80F27">
        <w:rPr>
          <w:rFonts w:eastAsia="Calibri" w:cstheme="minorHAnsi"/>
          <w:lang w:bidi="ar-JO"/>
        </w:rPr>
        <w:t>85% of these cases (as of 2017) had not been resolved</w:t>
      </w:r>
      <w:r w:rsidR="003D7718">
        <w:rPr>
          <w:rFonts w:eastAsia="Calibri" w:cstheme="minorHAnsi"/>
          <w:lang w:bidi="ar-JO"/>
        </w:rPr>
        <w:t>.</w:t>
      </w:r>
      <w:r w:rsidR="00E35B4B">
        <w:rPr>
          <w:rStyle w:val="FootnoteReference"/>
          <w:rFonts w:eastAsia="Calibri" w:cstheme="minorHAnsi"/>
          <w:lang w:bidi="ar-JO"/>
        </w:rPr>
        <w:footnoteReference w:id="13"/>
      </w:r>
    </w:p>
    <w:p w14:paraId="624F25C0" w14:textId="77777777" w:rsidR="002A3B3B" w:rsidRDefault="002A3B3B" w:rsidP="00742A5B">
      <w:pPr>
        <w:spacing w:after="160"/>
        <w:contextualSpacing/>
        <w:jc w:val="both"/>
        <w:rPr>
          <w:rFonts w:eastAsia="Calibri" w:cstheme="minorHAnsi"/>
          <w:b/>
          <w:bCs/>
          <w:lang w:bidi="ar-JO"/>
        </w:rPr>
      </w:pPr>
    </w:p>
    <w:p w14:paraId="792E8FFA" w14:textId="77777777" w:rsidR="00E54FA9" w:rsidRPr="00767C9B" w:rsidRDefault="00E54FA9" w:rsidP="00742A5B">
      <w:pPr>
        <w:spacing w:after="160"/>
        <w:contextualSpacing/>
        <w:jc w:val="both"/>
        <w:rPr>
          <w:rFonts w:eastAsia="Calibri" w:cstheme="minorHAnsi"/>
          <w:b/>
          <w:bCs/>
          <w:u w:val="single"/>
          <w:lang w:bidi="ar-JO"/>
        </w:rPr>
      </w:pPr>
      <w:r w:rsidRPr="00EB7EFA">
        <w:rPr>
          <w:rFonts w:eastAsia="Calibri" w:cstheme="minorHAnsi"/>
          <w:b/>
          <w:bCs/>
          <w:u w:val="single"/>
          <w:lang w:bidi="ar-JO"/>
        </w:rPr>
        <w:t>Public institutions’ role: Systemic negligence, inaction, and high bureaucracy</w:t>
      </w:r>
    </w:p>
    <w:p w14:paraId="0BC80DB1" w14:textId="669876EF" w:rsidR="006E5D5F" w:rsidRPr="00F80F27" w:rsidRDefault="00E54FA9" w:rsidP="00BB167A">
      <w:pPr>
        <w:spacing w:after="160"/>
        <w:contextualSpacing/>
        <w:jc w:val="both"/>
        <w:rPr>
          <w:rFonts w:eastAsia="Calibri" w:cstheme="minorHAnsi"/>
          <w:lang w:bidi="ar-JO"/>
        </w:rPr>
      </w:pPr>
      <w:r w:rsidRPr="00F80F27">
        <w:rPr>
          <w:rFonts w:eastAsia="Calibri" w:cstheme="minorHAnsi"/>
          <w:lang w:bidi="ar-JO"/>
        </w:rPr>
        <w:t xml:space="preserve">Victims’ families confirmed in </w:t>
      </w:r>
      <w:r w:rsidR="00E35B4B">
        <w:rPr>
          <w:rFonts w:eastAsia="Calibri" w:cstheme="minorHAnsi"/>
          <w:lang w:bidi="ar-JO"/>
        </w:rPr>
        <w:t xml:space="preserve">Kayan’s </w:t>
      </w:r>
      <w:r w:rsidRPr="00F80F27">
        <w:rPr>
          <w:rFonts w:eastAsia="Calibri" w:cstheme="minorHAnsi"/>
          <w:lang w:bidi="ar-JO"/>
        </w:rPr>
        <w:t xml:space="preserve">research </w:t>
      </w:r>
      <w:r w:rsidR="00AC4003">
        <w:rPr>
          <w:rFonts w:eastAsia="Calibri" w:cstheme="minorHAnsi"/>
          <w:lang w:bidi="ar-JO"/>
        </w:rPr>
        <w:t>the</w:t>
      </w:r>
      <w:r w:rsidRPr="00F80F27">
        <w:rPr>
          <w:rFonts w:eastAsia="Calibri" w:cstheme="minorHAnsi"/>
          <w:lang w:bidi="ar-JO"/>
        </w:rPr>
        <w:t xml:space="preserve"> pattern of </w:t>
      </w:r>
      <w:r w:rsidRPr="002A3B3B">
        <w:rPr>
          <w:rFonts w:eastAsia="Calibri" w:cstheme="minorHAnsi"/>
          <w:b/>
          <w:bCs/>
          <w:lang w:bidi="ar-JO"/>
        </w:rPr>
        <w:t>systemic negligence</w:t>
      </w:r>
      <w:r w:rsidRPr="00F80F27">
        <w:rPr>
          <w:rFonts w:eastAsia="Calibri" w:cstheme="minorHAnsi"/>
          <w:lang w:bidi="ar-JO"/>
        </w:rPr>
        <w:t xml:space="preserve"> by the Israeli police when it comes to addressing violence against Palestinian women. They observe that the police do not do their job of combating crimes against women, such as providing precautionary protection for women, holding perpetrators accountable, prosecuting offenders, and bringing them to justice.</w:t>
      </w:r>
      <w:r w:rsidR="00353775">
        <w:rPr>
          <w:rFonts w:eastAsia="Calibri" w:cstheme="minorHAnsi"/>
          <w:lang w:bidi="ar-JO"/>
        </w:rPr>
        <w:t xml:space="preserve"> </w:t>
      </w:r>
      <w:r w:rsidRPr="00F80F27">
        <w:rPr>
          <w:rFonts w:eastAsia="Calibri" w:cstheme="minorHAnsi"/>
          <w:lang w:bidi="ar-JO"/>
        </w:rPr>
        <w:t xml:space="preserve">The police failed to act even in cases when complaints were filed </w:t>
      </w:r>
      <w:r w:rsidR="00E35B4B">
        <w:rPr>
          <w:rFonts w:eastAsia="Calibri" w:cstheme="minorHAnsi"/>
          <w:lang w:bidi="ar-JO"/>
        </w:rPr>
        <w:t>long</w:t>
      </w:r>
      <w:r w:rsidR="00E35B4B" w:rsidRPr="00F80F27">
        <w:rPr>
          <w:rFonts w:eastAsia="Calibri" w:cstheme="minorHAnsi"/>
          <w:lang w:bidi="ar-JO"/>
        </w:rPr>
        <w:t xml:space="preserve"> </w:t>
      </w:r>
      <w:r w:rsidRPr="00F80F27">
        <w:rPr>
          <w:rFonts w:eastAsia="Calibri" w:cstheme="minorHAnsi"/>
          <w:lang w:bidi="ar-JO"/>
        </w:rPr>
        <w:t xml:space="preserve">before the murder took place. </w:t>
      </w:r>
      <w:r w:rsidR="00E35B4B">
        <w:rPr>
          <w:rFonts w:eastAsia="Calibri" w:cstheme="minorHAnsi"/>
          <w:lang w:bidi="ar-JO"/>
        </w:rPr>
        <w:t>Families</w:t>
      </w:r>
      <w:r w:rsidR="00E35B4B" w:rsidRPr="00F80F27">
        <w:rPr>
          <w:rFonts w:eastAsia="Calibri" w:cstheme="minorHAnsi"/>
          <w:lang w:bidi="ar-JO"/>
        </w:rPr>
        <w:t xml:space="preserve"> </w:t>
      </w:r>
      <w:r w:rsidRPr="00F80F27">
        <w:rPr>
          <w:rFonts w:eastAsia="Calibri" w:cstheme="minorHAnsi"/>
          <w:lang w:bidi="ar-JO"/>
        </w:rPr>
        <w:t>also spoke of a lack of seriousness when</w:t>
      </w:r>
      <w:r w:rsidR="00E35B4B">
        <w:rPr>
          <w:rFonts w:eastAsia="Calibri" w:cstheme="minorHAnsi"/>
          <w:lang w:bidi="ar-JO"/>
        </w:rPr>
        <w:t xml:space="preserve"> police</w:t>
      </w:r>
      <w:r w:rsidRPr="00F80F27">
        <w:rPr>
          <w:rFonts w:eastAsia="Calibri" w:cstheme="minorHAnsi"/>
          <w:lang w:bidi="ar-JO"/>
        </w:rPr>
        <w:t xml:space="preserve"> investigat</w:t>
      </w:r>
      <w:r w:rsidR="00E35B4B">
        <w:rPr>
          <w:rFonts w:eastAsia="Calibri" w:cstheme="minorHAnsi"/>
          <w:lang w:bidi="ar-JO"/>
        </w:rPr>
        <w:t>ed</w:t>
      </w:r>
      <w:r w:rsidRPr="00F80F27">
        <w:rPr>
          <w:rFonts w:eastAsia="Calibri" w:cstheme="minorHAnsi"/>
          <w:lang w:bidi="ar-JO"/>
        </w:rPr>
        <w:t xml:space="preserve"> crimes after they occurred</w:t>
      </w:r>
      <w:r w:rsidR="00E35B4B">
        <w:rPr>
          <w:rFonts w:eastAsia="Calibri" w:cstheme="minorHAnsi"/>
          <w:lang w:bidi="ar-JO"/>
        </w:rPr>
        <w:t>,</w:t>
      </w:r>
      <w:r w:rsidRPr="00F80F27">
        <w:rPr>
          <w:rFonts w:eastAsia="Calibri" w:cstheme="minorHAnsi"/>
          <w:lang w:bidi="ar-JO"/>
        </w:rPr>
        <w:t xml:space="preserve"> which allowed the criminals to remain free. </w:t>
      </w:r>
    </w:p>
    <w:p w14:paraId="11681BC2" w14:textId="77777777" w:rsidR="002A3B3B" w:rsidRDefault="002A3B3B" w:rsidP="006E5D5F">
      <w:pPr>
        <w:spacing w:after="160"/>
        <w:contextualSpacing/>
        <w:jc w:val="both"/>
        <w:rPr>
          <w:rFonts w:eastAsia="Calibri" w:cstheme="minorHAnsi"/>
          <w:lang w:bidi="ar-JO"/>
        </w:rPr>
      </w:pPr>
    </w:p>
    <w:p w14:paraId="1BA65CB5" w14:textId="2B22AAB5" w:rsidR="00742A5B" w:rsidRDefault="00E35B4B" w:rsidP="00054C4B">
      <w:pPr>
        <w:spacing w:after="160"/>
        <w:contextualSpacing/>
        <w:jc w:val="both"/>
        <w:rPr>
          <w:rFonts w:eastAsia="Calibri" w:cstheme="minorHAnsi"/>
          <w:lang w:bidi="ar-JO"/>
        </w:rPr>
      </w:pPr>
      <w:r>
        <w:rPr>
          <w:rFonts w:eastAsia="Calibri" w:cstheme="minorHAnsi"/>
          <w:lang w:bidi="ar-JO"/>
        </w:rPr>
        <w:lastRenderedPageBreak/>
        <w:t xml:space="preserve">Testimonies in </w:t>
      </w:r>
      <w:r w:rsidR="00C420C9">
        <w:rPr>
          <w:rFonts w:eastAsia="Calibri" w:cstheme="minorHAnsi"/>
          <w:lang w:bidi="ar-JO"/>
        </w:rPr>
        <w:t xml:space="preserve">Kayan’s </w:t>
      </w:r>
      <w:r>
        <w:rPr>
          <w:rFonts w:eastAsia="Calibri" w:cstheme="minorHAnsi"/>
          <w:lang w:bidi="ar-JO"/>
        </w:rPr>
        <w:t>r</w:t>
      </w:r>
      <w:r w:rsidR="00E54FA9" w:rsidRPr="00F80F27">
        <w:rPr>
          <w:rFonts w:eastAsia="Calibri" w:cstheme="minorHAnsi"/>
          <w:lang w:bidi="ar-JO"/>
        </w:rPr>
        <w:t xml:space="preserve">esearch indicated the existence of a pattern of </w:t>
      </w:r>
      <w:r w:rsidR="00E54FA9" w:rsidRPr="002A3B3B">
        <w:rPr>
          <w:rFonts w:eastAsia="Calibri" w:cstheme="minorHAnsi"/>
          <w:b/>
          <w:bCs/>
          <w:lang w:bidi="ar-JO"/>
        </w:rPr>
        <w:t xml:space="preserve">systemic discrimination based on nationality </w:t>
      </w:r>
      <w:r w:rsidR="00E54FA9" w:rsidRPr="00F80F27">
        <w:rPr>
          <w:rFonts w:eastAsia="Calibri" w:cstheme="minorHAnsi"/>
          <w:lang w:bidi="ar-JO"/>
        </w:rPr>
        <w:t>within the police department, which stems from the idea that violence and crimes against women are part of Pal</w:t>
      </w:r>
      <w:r w:rsidR="00353775">
        <w:rPr>
          <w:rFonts w:eastAsia="Calibri" w:cstheme="minorHAnsi"/>
          <w:lang w:bidi="ar-JO"/>
        </w:rPr>
        <w:t>estinian culture and traditions</w:t>
      </w:r>
      <w:r w:rsidR="00E54FA9" w:rsidRPr="00F80F27">
        <w:rPr>
          <w:rFonts w:eastAsia="Calibri" w:cstheme="minorHAnsi"/>
          <w:lang w:bidi="ar-JO"/>
        </w:rPr>
        <w:t>. Other testimonies addressed the social welfare</w:t>
      </w:r>
      <w:r w:rsidR="00054C4B">
        <w:rPr>
          <w:rFonts w:eastAsia="Calibri" w:cstheme="minorHAnsi"/>
          <w:lang w:bidi="ar-JO"/>
        </w:rPr>
        <w:t xml:space="preserve"> office’s</w:t>
      </w:r>
      <w:r w:rsidR="00E54FA9" w:rsidRPr="00F80F27">
        <w:rPr>
          <w:rFonts w:eastAsia="Calibri" w:cstheme="minorHAnsi"/>
          <w:lang w:bidi="ar-JO"/>
        </w:rPr>
        <w:t xml:space="preserve"> role in addressing violence. Most accounts confirmed that, in most femicide cases, </w:t>
      </w:r>
      <w:r w:rsidR="00E54FA9" w:rsidRPr="002A3B3B">
        <w:rPr>
          <w:rFonts w:eastAsia="Calibri" w:cstheme="minorHAnsi"/>
          <w:b/>
          <w:bCs/>
          <w:lang w:bidi="ar-JO"/>
        </w:rPr>
        <w:t>the victims were known to social welfare offices</w:t>
      </w:r>
      <w:r w:rsidR="00054C4B">
        <w:rPr>
          <w:rFonts w:eastAsia="Calibri" w:cstheme="minorHAnsi"/>
          <w:b/>
          <w:bCs/>
          <w:lang w:bidi="ar-JO"/>
        </w:rPr>
        <w:t xml:space="preserve"> prior to the murder</w:t>
      </w:r>
      <w:r w:rsidR="00E54FA9" w:rsidRPr="00F80F27">
        <w:rPr>
          <w:rFonts w:eastAsia="Calibri" w:cstheme="minorHAnsi"/>
          <w:lang w:bidi="ar-JO"/>
        </w:rPr>
        <w:t>. In some instances, battered women’s complaints were not taken seriously and no protection was provided</w:t>
      </w:r>
      <w:r w:rsidR="00353775">
        <w:rPr>
          <w:rFonts w:eastAsia="Calibri" w:cstheme="minorHAnsi"/>
          <w:lang w:bidi="ar-JO"/>
        </w:rPr>
        <w:t xml:space="preserve">. </w:t>
      </w:r>
      <w:r w:rsidR="00E54FA9" w:rsidRPr="00F80F27">
        <w:rPr>
          <w:rFonts w:eastAsia="Calibri" w:cstheme="minorHAnsi"/>
          <w:lang w:bidi="ar-JO"/>
        </w:rPr>
        <w:t>Some social workers confirmed that their offices often experienced professional blunders when attempting to support and protect women due to bureaucratic barriers.</w:t>
      </w:r>
      <w:r w:rsidR="00E54FA9" w:rsidRPr="00F80F27" w:rsidDel="00C20D68">
        <w:rPr>
          <w:rFonts w:eastAsia="Calibri" w:cstheme="minorHAnsi"/>
          <w:lang w:bidi="ar-JO"/>
        </w:rPr>
        <w:t xml:space="preserve"> </w:t>
      </w:r>
    </w:p>
    <w:p w14:paraId="576DB024" w14:textId="77777777" w:rsidR="002A3B3B" w:rsidRDefault="002A3B3B" w:rsidP="00742A5B">
      <w:pPr>
        <w:spacing w:after="160"/>
        <w:contextualSpacing/>
        <w:jc w:val="both"/>
        <w:rPr>
          <w:rFonts w:eastAsia="Calibri" w:cstheme="minorHAnsi"/>
          <w:b/>
          <w:bCs/>
          <w:lang w:bidi="ar-JO"/>
        </w:rPr>
      </w:pPr>
    </w:p>
    <w:p w14:paraId="52884EB8" w14:textId="3C902E96" w:rsidR="00E54FA9" w:rsidRPr="00F80F27" w:rsidRDefault="00E54FA9" w:rsidP="00742A5B">
      <w:pPr>
        <w:spacing w:after="160"/>
        <w:contextualSpacing/>
        <w:jc w:val="both"/>
        <w:rPr>
          <w:rFonts w:eastAsia="Calibri" w:cstheme="minorHAnsi"/>
          <w:rtl/>
          <w:lang w:bidi="ar-JO"/>
        </w:rPr>
      </w:pPr>
      <w:r w:rsidRPr="00F80F27">
        <w:rPr>
          <w:rFonts w:eastAsia="Calibri" w:cstheme="minorHAnsi"/>
          <w:lang w:bidi="ar-JO"/>
        </w:rPr>
        <w:t xml:space="preserve">The information that the police were legally obliged to disclose </w:t>
      </w:r>
      <w:r w:rsidR="00054C4B">
        <w:rPr>
          <w:rFonts w:eastAsia="Calibri" w:cstheme="minorHAnsi"/>
          <w:lang w:bidi="ar-JO"/>
        </w:rPr>
        <w:t>to Kayan</w:t>
      </w:r>
      <w:r w:rsidRPr="00F80F27">
        <w:rPr>
          <w:rFonts w:eastAsia="Calibri" w:cstheme="minorHAnsi"/>
          <w:lang w:bidi="ar-JO"/>
        </w:rPr>
        <w:t xml:space="preserve"> through </w:t>
      </w:r>
      <w:r w:rsidR="00054C4B">
        <w:rPr>
          <w:rFonts w:eastAsia="Calibri" w:cstheme="minorHAnsi"/>
          <w:lang w:bidi="ar-JO"/>
        </w:rPr>
        <w:t>a</w:t>
      </w:r>
      <w:r w:rsidR="00054C4B" w:rsidRPr="00F80F27">
        <w:rPr>
          <w:rFonts w:eastAsia="Calibri" w:cstheme="minorHAnsi"/>
          <w:lang w:bidi="ar-JO"/>
        </w:rPr>
        <w:t xml:space="preserve"> </w:t>
      </w:r>
      <w:r w:rsidRPr="00F80F27">
        <w:rPr>
          <w:rFonts w:eastAsia="Calibri" w:cstheme="minorHAnsi"/>
          <w:lang w:bidi="ar-JO"/>
        </w:rPr>
        <w:t>freedom of information request showed that more than a third of the women killed from 2015 to 2018 had submitted a complaint to the police about violence before their murders. Increased complaints were documented, reaching 50% of cases in 2019 and 60% in 2020</w:t>
      </w:r>
      <w:r w:rsidR="00F41568">
        <w:rPr>
          <w:rFonts w:eastAsia="Calibri" w:cstheme="minorHAnsi"/>
          <w:lang w:bidi="ar-JO"/>
        </w:rPr>
        <w:t>,</w:t>
      </w:r>
      <w:r w:rsidRPr="00F80F27">
        <w:rPr>
          <w:rFonts w:eastAsia="Calibri" w:cstheme="minorHAnsi"/>
          <w:lang w:bidi="ar-JO"/>
        </w:rPr>
        <w:t xml:space="preserve"> </w:t>
      </w:r>
      <w:r w:rsidRPr="00F80F27">
        <w:rPr>
          <w:rFonts w:eastAsia="Calibri" w:cstheme="minorHAnsi"/>
          <w:vertAlign w:val="superscript"/>
          <w:lang w:bidi="ar-JO"/>
        </w:rPr>
        <w:footnoteReference w:id="14"/>
      </w:r>
      <w:r w:rsidRPr="00F80F27">
        <w:rPr>
          <w:rFonts w:eastAsia="Calibri" w:cstheme="minorHAnsi"/>
          <w:lang w:bidi="ar-JO"/>
        </w:rPr>
        <w:t xml:space="preserve"> but this did not save women from femicide. It highlight</w:t>
      </w:r>
      <w:r w:rsidR="00054C4B">
        <w:rPr>
          <w:rFonts w:eastAsia="Calibri" w:cstheme="minorHAnsi"/>
          <w:lang w:bidi="ar-JO"/>
        </w:rPr>
        <w:t>s</w:t>
      </w:r>
      <w:r w:rsidRPr="00F80F27">
        <w:rPr>
          <w:rFonts w:eastAsia="Calibri" w:cstheme="minorHAnsi"/>
          <w:lang w:bidi="ar-JO"/>
        </w:rPr>
        <w:t xml:space="preserve"> the failure of the police in offering protection.</w:t>
      </w:r>
    </w:p>
    <w:p w14:paraId="583F5BA0" w14:textId="77777777" w:rsidR="00742A5B" w:rsidRDefault="00E54FA9" w:rsidP="00742A5B">
      <w:pPr>
        <w:spacing w:after="160"/>
        <w:contextualSpacing/>
        <w:jc w:val="both"/>
        <w:rPr>
          <w:rFonts w:eastAsia="Calibri" w:cstheme="minorHAnsi"/>
          <w:b/>
          <w:bCs/>
          <w:lang w:bidi="ar-JO"/>
        </w:rPr>
      </w:pPr>
      <w:r w:rsidRPr="00F80F27">
        <w:rPr>
          <w:rFonts w:eastAsia="Calibri" w:cstheme="minorHAnsi"/>
          <w:b/>
          <w:bCs/>
          <w:lang w:bidi="ar-JO"/>
        </w:rPr>
        <w:t xml:space="preserve"> </w:t>
      </w:r>
    </w:p>
    <w:p w14:paraId="1AD83579" w14:textId="088B6407" w:rsidR="00E54FA9" w:rsidRPr="00767C9B" w:rsidRDefault="00E54FA9" w:rsidP="006A0EDA">
      <w:pPr>
        <w:spacing w:after="160"/>
        <w:contextualSpacing/>
        <w:jc w:val="both"/>
        <w:rPr>
          <w:rFonts w:eastAsia="Calibri" w:cstheme="minorHAnsi"/>
          <w:b/>
          <w:bCs/>
          <w:u w:val="single"/>
          <w:lang w:bidi="ar-JO"/>
        </w:rPr>
      </w:pPr>
      <w:r w:rsidRPr="00767C9B">
        <w:rPr>
          <w:rFonts w:eastAsia="Calibri" w:cstheme="minorHAnsi"/>
          <w:b/>
          <w:bCs/>
          <w:u w:val="single"/>
          <w:lang w:bidi="ar-JO"/>
        </w:rPr>
        <w:t xml:space="preserve">Absence of the legal role of </w:t>
      </w:r>
      <w:proofErr w:type="spellStart"/>
      <w:r w:rsidRPr="00767C9B">
        <w:rPr>
          <w:rFonts w:eastAsia="Calibri" w:cstheme="minorHAnsi"/>
          <w:b/>
          <w:bCs/>
          <w:u w:val="single"/>
          <w:lang w:bidi="ar-JO"/>
        </w:rPr>
        <w:t>victimis</w:t>
      </w:r>
      <w:r w:rsidR="006A0EDA" w:rsidRPr="00767C9B">
        <w:rPr>
          <w:rFonts w:eastAsia="Calibri" w:cstheme="minorHAnsi"/>
          <w:b/>
          <w:bCs/>
          <w:u w:val="single"/>
          <w:lang w:bidi="ar-JO"/>
        </w:rPr>
        <w:t>ed</w:t>
      </w:r>
      <w:proofErr w:type="spellEnd"/>
      <w:r w:rsidR="006A0EDA" w:rsidRPr="00767C9B">
        <w:rPr>
          <w:rFonts w:eastAsia="Calibri" w:cstheme="minorHAnsi"/>
          <w:b/>
          <w:bCs/>
          <w:u w:val="single"/>
          <w:lang w:bidi="ar-JO"/>
        </w:rPr>
        <w:t xml:space="preserve"> women</w:t>
      </w:r>
      <w:r w:rsidR="004F5F5B">
        <w:rPr>
          <w:rFonts w:eastAsia="Calibri" w:cstheme="minorHAnsi"/>
          <w:b/>
          <w:bCs/>
          <w:u w:val="single"/>
          <w:lang w:bidi="ar-JO"/>
        </w:rPr>
        <w:t>’s families</w:t>
      </w:r>
      <w:r w:rsidR="006A0EDA" w:rsidRPr="00767C9B">
        <w:rPr>
          <w:rFonts w:eastAsia="Calibri" w:cstheme="minorHAnsi"/>
          <w:b/>
          <w:bCs/>
          <w:u w:val="single"/>
          <w:lang w:bidi="ar-JO"/>
        </w:rPr>
        <w:t>:</w:t>
      </w:r>
    </w:p>
    <w:p w14:paraId="306C1200" w14:textId="0B105068" w:rsidR="00510D23" w:rsidRDefault="00E54FA9" w:rsidP="00A11B11">
      <w:pPr>
        <w:spacing w:after="160"/>
        <w:contextualSpacing/>
        <w:jc w:val="both"/>
        <w:rPr>
          <w:rFonts w:eastAsia="Calibri" w:cstheme="minorHAnsi"/>
          <w:lang w:bidi="ar-JO"/>
        </w:rPr>
      </w:pPr>
      <w:r w:rsidRPr="00F80F27">
        <w:rPr>
          <w:rFonts w:eastAsia="Calibri" w:cstheme="minorHAnsi"/>
          <w:lang w:bidi="ar-JO"/>
        </w:rPr>
        <w:t xml:space="preserve">Over the last two decades, and since the enactment of the Crime Victims’ Rights Law (2001), the </w:t>
      </w:r>
      <w:r w:rsidR="00054C4B">
        <w:rPr>
          <w:rFonts w:eastAsia="Calibri" w:cstheme="minorHAnsi"/>
          <w:lang w:bidi="ar-JO"/>
        </w:rPr>
        <w:t>“</w:t>
      </w:r>
      <w:r w:rsidRPr="00F80F27">
        <w:rPr>
          <w:rFonts w:eastAsia="Calibri" w:cstheme="minorHAnsi"/>
          <w:lang w:bidi="ar-JO"/>
        </w:rPr>
        <w:t>victim of the crime” also has a role in the proceedings</w:t>
      </w:r>
      <w:r w:rsidR="006A0EDA">
        <w:rPr>
          <w:rFonts w:eastAsia="Calibri" w:cstheme="minorHAnsi"/>
          <w:lang w:bidi="ar-JO"/>
        </w:rPr>
        <w:t xml:space="preserve"> (beside the </w:t>
      </w:r>
      <w:r w:rsidR="006A0EDA" w:rsidRPr="006A0EDA">
        <w:rPr>
          <w:rFonts w:eastAsia="Calibri" w:cstheme="minorHAnsi"/>
          <w:lang w:bidi="ar-JO"/>
        </w:rPr>
        <w:t>state, represented by the general prosecution, and the defendant, represented by an attorney</w:t>
      </w:r>
      <w:r w:rsidR="006A0EDA">
        <w:rPr>
          <w:rFonts w:eastAsia="Calibri" w:cstheme="minorHAnsi"/>
          <w:lang w:bidi="ar-JO"/>
        </w:rPr>
        <w:t xml:space="preserve">). </w:t>
      </w:r>
      <w:r w:rsidR="00054C4B">
        <w:rPr>
          <w:rFonts w:eastAsia="Calibri" w:cstheme="minorHAnsi"/>
          <w:lang w:bidi="ar-JO"/>
        </w:rPr>
        <w:t>I</w:t>
      </w:r>
      <w:r w:rsidRPr="00F80F27">
        <w:rPr>
          <w:rFonts w:eastAsia="Calibri" w:cstheme="minorHAnsi"/>
          <w:lang w:bidi="ar-JO"/>
        </w:rPr>
        <w:t xml:space="preserve">n the case the victim is dead, </w:t>
      </w:r>
      <w:r w:rsidR="00054C4B">
        <w:rPr>
          <w:rFonts w:eastAsia="Calibri" w:cstheme="minorHAnsi"/>
          <w:lang w:bidi="ar-JO"/>
        </w:rPr>
        <w:t xml:space="preserve">this law </w:t>
      </w:r>
      <w:r w:rsidR="00510D23">
        <w:rPr>
          <w:rFonts w:eastAsia="Calibri" w:cstheme="minorHAnsi"/>
          <w:lang w:bidi="ar-JO"/>
        </w:rPr>
        <w:t xml:space="preserve">theoretically </w:t>
      </w:r>
      <w:r w:rsidRPr="00F80F27">
        <w:rPr>
          <w:rFonts w:eastAsia="Calibri" w:cstheme="minorHAnsi"/>
          <w:lang w:bidi="ar-JO"/>
        </w:rPr>
        <w:t>gives the victim’s family the right to obtain information about the case and express their position on issues related to the case</w:t>
      </w:r>
      <w:r w:rsidR="00054C4B">
        <w:rPr>
          <w:rFonts w:eastAsia="Calibri" w:cstheme="minorHAnsi"/>
          <w:lang w:bidi="ar-JO"/>
        </w:rPr>
        <w:t>,</w:t>
      </w:r>
      <w:r w:rsidRPr="00F80F27">
        <w:rPr>
          <w:rFonts w:eastAsia="Calibri" w:cstheme="minorHAnsi"/>
          <w:lang w:bidi="ar-JO"/>
        </w:rPr>
        <w:t xml:space="preserve"> such as on any plea deals, early releases, or pardons. Despite this, no information is </w:t>
      </w:r>
      <w:r w:rsidR="00510D23">
        <w:rPr>
          <w:rFonts w:eastAsia="Calibri" w:cstheme="minorHAnsi"/>
          <w:lang w:bidi="ar-JO"/>
        </w:rPr>
        <w:t xml:space="preserve">made </w:t>
      </w:r>
      <w:r w:rsidRPr="00F80F27">
        <w:rPr>
          <w:rFonts w:eastAsia="Calibri" w:cstheme="minorHAnsi"/>
          <w:lang w:bidi="ar-JO"/>
        </w:rPr>
        <w:t>available about legal cases against perpetrators of femicides</w:t>
      </w:r>
      <w:r w:rsidR="00BB167A">
        <w:rPr>
          <w:rFonts w:eastAsia="Calibri" w:cstheme="minorHAnsi"/>
          <w:lang w:bidi="ar-JO"/>
        </w:rPr>
        <w:t xml:space="preserve">. </w:t>
      </w:r>
    </w:p>
    <w:p w14:paraId="160C13B1" w14:textId="77777777" w:rsidR="00510D23" w:rsidRDefault="00510D23" w:rsidP="00A11B11">
      <w:pPr>
        <w:spacing w:after="160"/>
        <w:contextualSpacing/>
        <w:jc w:val="both"/>
        <w:rPr>
          <w:rFonts w:eastAsia="Calibri" w:cstheme="minorHAnsi"/>
          <w:lang w:bidi="ar-JO"/>
        </w:rPr>
      </w:pPr>
    </w:p>
    <w:p w14:paraId="676F85C2" w14:textId="686B0117" w:rsidR="00742A5B" w:rsidRDefault="00E54FA9" w:rsidP="00054C4B">
      <w:pPr>
        <w:spacing w:after="160"/>
        <w:contextualSpacing/>
        <w:jc w:val="both"/>
        <w:rPr>
          <w:rFonts w:eastAsia="Calibri" w:cstheme="minorHAnsi"/>
          <w:lang w:bidi="ar-JO"/>
        </w:rPr>
      </w:pPr>
      <w:r w:rsidRPr="00F80F27">
        <w:rPr>
          <w:rFonts w:eastAsia="Calibri" w:cstheme="minorHAnsi"/>
          <w:lang w:bidi="ar-JO"/>
        </w:rPr>
        <w:t>Th</w:t>
      </w:r>
      <w:r w:rsidR="00054C4B">
        <w:rPr>
          <w:rFonts w:eastAsia="Calibri" w:cstheme="minorHAnsi"/>
          <w:lang w:bidi="ar-JO"/>
        </w:rPr>
        <w:t>is</w:t>
      </w:r>
      <w:r w:rsidRPr="00F80F27">
        <w:rPr>
          <w:rFonts w:eastAsia="Calibri" w:cstheme="minorHAnsi"/>
          <w:lang w:bidi="ar-JO"/>
        </w:rPr>
        <w:t xml:space="preserve"> lack of transparency led K</w:t>
      </w:r>
      <w:r w:rsidR="006A0EDA">
        <w:rPr>
          <w:rFonts w:eastAsia="Calibri" w:cstheme="minorHAnsi"/>
          <w:lang w:bidi="ar-JO"/>
        </w:rPr>
        <w:t>ayan</w:t>
      </w:r>
      <w:r w:rsidRPr="00F80F27">
        <w:rPr>
          <w:rFonts w:eastAsia="Calibri" w:cstheme="minorHAnsi"/>
          <w:lang w:bidi="ar-JO"/>
        </w:rPr>
        <w:t xml:space="preserve"> to use legal methods to demand the disclosure of information related to femicide cases in recent years. The police and the Public Prosecutor </w:t>
      </w:r>
      <w:r w:rsidR="00054C4B">
        <w:rPr>
          <w:rFonts w:eastAsia="Calibri" w:cstheme="minorHAnsi"/>
          <w:lang w:bidi="ar-JO"/>
        </w:rPr>
        <w:t>refused, based</w:t>
      </w:r>
      <w:r w:rsidRPr="00F80F27">
        <w:rPr>
          <w:rFonts w:eastAsia="Calibri" w:cstheme="minorHAnsi"/>
          <w:lang w:bidi="ar-JO"/>
        </w:rPr>
        <w:t xml:space="preserve"> on two central justifications: (1) the victim's right to privacy; and (2) the human resources and time needed to search for the required information. </w:t>
      </w:r>
      <w:r w:rsidR="00054C4B">
        <w:rPr>
          <w:rFonts w:eastAsia="Calibri" w:cstheme="minorHAnsi"/>
          <w:lang w:bidi="ar-JO"/>
        </w:rPr>
        <w:t>This response</w:t>
      </w:r>
      <w:r w:rsidRPr="00F80F27">
        <w:rPr>
          <w:rFonts w:eastAsia="Calibri" w:cstheme="minorHAnsi"/>
          <w:lang w:bidi="ar-JO"/>
        </w:rPr>
        <w:t xml:space="preserve"> proved that</w:t>
      </w:r>
      <w:proofErr w:type="gramStart"/>
      <w:r w:rsidRPr="00F80F27">
        <w:rPr>
          <w:rFonts w:eastAsia="Calibri" w:cstheme="minorHAnsi"/>
          <w:lang w:bidi="ar-JO"/>
        </w:rPr>
        <w:t>, in reality, the</w:t>
      </w:r>
      <w:proofErr w:type="gramEnd"/>
      <w:r w:rsidRPr="00F80F27">
        <w:rPr>
          <w:rFonts w:eastAsia="Calibri" w:cstheme="minorHAnsi"/>
          <w:lang w:bidi="ar-JO"/>
        </w:rPr>
        <w:t xml:space="preserve"> claim of combating violence against Palestinian women has not translated into any serious practical steps, not even collecting information related to murder cases, let alone drawing the necessary lessons to improve responses.</w:t>
      </w:r>
      <w:r w:rsidR="00054C4B">
        <w:rPr>
          <w:rFonts w:eastAsia="Calibri" w:cstheme="minorHAnsi"/>
          <w:lang w:bidi="ar-JO"/>
        </w:rPr>
        <w:t xml:space="preserve"> </w:t>
      </w:r>
      <w:r w:rsidRPr="006A0EDA">
        <w:rPr>
          <w:rFonts w:eastAsia="Calibri" w:cstheme="minorHAnsi"/>
          <w:lang w:bidi="ar-JO"/>
        </w:rPr>
        <w:t>Th</w:t>
      </w:r>
      <w:r w:rsidR="00054C4B">
        <w:rPr>
          <w:rFonts w:eastAsia="Calibri" w:cstheme="minorHAnsi"/>
          <w:lang w:bidi="ar-JO"/>
        </w:rPr>
        <w:t>is</w:t>
      </w:r>
      <w:r w:rsidRPr="006A0EDA">
        <w:rPr>
          <w:rFonts w:eastAsia="Calibri" w:cstheme="minorHAnsi"/>
          <w:lang w:bidi="ar-JO"/>
        </w:rPr>
        <w:t xml:space="preserve"> lack of transparency prevents civil society </w:t>
      </w:r>
      <w:r w:rsidR="006A0EDA" w:rsidRPr="006A0EDA">
        <w:rPr>
          <w:rFonts w:eastAsia="Calibri" w:cstheme="minorHAnsi"/>
          <w:lang w:bidi="ar-JO"/>
        </w:rPr>
        <w:t xml:space="preserve">institutions from investigating </w:t>
      </w:r>
      <w:r w:rsidRPr="006A0EDA">
        <w:rPr>
          <w:rFonts w:eastAsia="Calibri" w:cstheme="minorHAnsi"/>
          <w:lang w:bidi="ar-JO"/>
        </w:rPr>
        <w:t>the exacerbation of the phenomenon of femicide and from analyzing the underlying causes of law enforcement’s failure to deter crime.</w:t>
      </w:r>
    </w:p>
    <w:p w14:paraId="31A1CE5F" w14:textId="77777777" w:rsidR="00767C9B" w:rsidRPr="006A0EDA" w:rsidRDefault="00767C9B" w:rsidP="006A0EDA">
      <w:pPr>
        <w:spacing w:after="160"/>
        <w:contextualSpacing/>
        <w:jc w:val="both"/>
        <w:rPr>
          <w:rFonts w:eastAsia="Calibri" w:cstheme="minorHAnsi"/>
          <w:lang w:bidi="ar-JO"/>
        </w:rPr>
      </w:pPr>
    </w:p>
    <w:p w14:paraId="4C477E6B" w14:textId="77777777" w:rsidR="006A0EDA" w:rsidRPr="00767C9B" w:rsidRDefault="00E54FA9" w:rsidP="006A0EDA">
      <w:pPr>
        <w:spacing w:after="160"/>
        <w:contextualSpacing/>
        <w:jc w:val="both"/>
        <w:rPr>
          <w:rFonts w:eastAsia="Calibri" w:cstheme="minorHAnsi"/>
          <w:b/>
          <w:bCs/>
          <w:u w:val="single"/>
          <w:lang w:bidi="ar-JO"/>
        </w:rPr>
      </w:pPr>
      <w:r w:rsidRPr="00767C9B">
        <w:rPr>
          <w:rFonts w:eastAsia="Calibri" w:cstheme="minorHAnsi"/>
          <w:b/>
          <w:bCs/>
          <w:u w:val="single"/>
          <w:lang w:bidi="ar-JO"/>
        </w:rPr>
        <w:t>Lack of confidence in Israeli police</w:t>
      </w:r>
    </w:p>
    <w:p w14:paraId="56670E8E" w14:textId="15234C65" w:rsidR="00E54FA9" w:rsidRPr="00F80F27" w:rsidRDefault="00054C4B" w:rsidP="00A11B11">
      <w:pPr>
        <w:spacing w:after="160"/>
        <w:contextualSpacing/>
        <w:jc w:val="both"/>
        <w:rPr>
          <w:rFonts w:eastAsia="Calibri" w:cstheme="minorHAnsi"/>
          <w:lang w:bidi="ar-JO"/>
        </w:rPr>
      </w:pPr>
      <w:r>
        <w:rPr>
          <w:rFonts w:eastAsia="Calibri" w:cstheme="minorHAnsi"/>
          <w:lang w:bidi="ar-JO"/>
        </w:rPr>
        <w:t>In Kayan’s research,</w:t>
      </w:r>
      <w:r w:rsidRPr="00F80F27">
        <w:rPr>
          <w:rFonts w:eastAsia="Calibri" w:cstheme="minorHAnsi"/>
          <w:lang w:bidi="ar-JO"/>
        </w:rPr>
        <w:t xml:space="preserve"> </w:t>
      </w:r>
      <w:r w:rsidR="00E54FA9" w:rsidRPr="00F80F27">
        <w:rPr>
          <w:rFonts w:eastAsia="Calibri" w:cstheme="minorHAnsi"/>
          <w:lang w:bidi="ar-JO"/>
        </w:rPr>
        <w:t xml:space="preserve">families </w:t>
      </w:r>
      <w:r w:rsidR="00510D23">
        <w:rPr>
          <w:rFonts w:eastAsia="Calibri" w:cstheme="minorHAnsi"/>
          <w:lang w:bidi="ar-JO"/>
        </w:rPr>
        <w:t>highlighted</w:t>
      </w:r>
      <w:r w:rsidR="00E54FA9" w:rsidRPr="00F80F27">
        <w:rPr>
          <w:rFonts w:eastAsia="Calibri" w:cstheme="minorHAnsi"/>
          <w:lang w:bidi="ar-JO"/>
        </w:rPr>
        <w:t xml:space="preserve"> the political context, especially when it comes to the lack of confidence that </w:t>
      </w:r>
      <w:r>
        <w:rPr>
          <w:rFonts w:eastAsia="Calibri" w:cstheme="minorHAnsi"/>
          <w:lang w:bidi="ar-JO"/>
        </w:rPr>
        <w:t>Palestinians</w:t>
      </w:r>
      <w:r w:rsidR="00E54FA9" w:rsidRPr="00F80F27">
        <w:rPr>
          <w:rFonts w:eastAsia="Calibri" w:cstheme="minorHAnsi"/>
          <w:lang w:bidi="ar-JO"/>
        </w:rPr>
        <w:t xml:space="preserve"> have in Israeli police</w:t>
      </w:r>
      <w:r w:rsidR="00510D23">
        <w:rPr>
          <w:rFonts w:eastAsia="Calibri" w:cstheme="minorHAnsi"/>
          <w:lang w:bidi="ar-JO"/>
        </w:rPr>
        <w:t xml:space="preserve">, when explaining their </w:t>
      </w:r>
      <w:r w:rsidR="00510D23" w:rsidRPr="00F80F27">
        <w:rPr>
          <w:rFonts w:eastAsia="Calibri" w:cstheme="minorHAnsi"/>
          <w:lang w:bidi="ar-JO"/>
        </w:rPr>
        <w:t>fear of confronting violent m</w:t>
      </w:r>
      <w:r w:rsidR="00510D23">
        <w:rPr>
          <w:rFonts w:eastAsia="Calibri" w:cstheme="minorHAnsi"/>
          <w:lang w:bidi="ar-JO"/>
        </w:rPr>
        <w:t>e</w:t>
      </w:r>
      <w:r w:rsidR="00510D23" w:rsidRPr="00F80F27">
        <w:rPr>
          <w:rFonts w:eastAsia="Calibri" w:cstheme="minorHAnsi"/>
          <w:lang w:bidi="ar-JO"/>
        </w:rPr>
        <w:t>n</w:t>
      </w:r>
      <w:r w:rsidR="00E54FA9" w:rsidRPr="00F80F27">
        <w:rPr>
          <w:rFonts w:eastAsia="Calibri" w:cstheme="minorHAnsi"/>
          <w:lang w:bidi="ar-JO"/>
        </w:rPr>
        <w:t xml:space="preserve">. This fear is based on the reality that </w:t>
      </w:r>
      <w:r>
        <w:rPr>
          <w:rFonts w:eastAsia="Calibri" w:cstheme="minorHAnsi"/>
          <w:lang w:bidi="ar-JO"/>
        </w:rPr>
        <w:t>the police often fail to investigate leads and leave criminal</w:t>
      </w:r>
      <w:r w:rsidRPr="00F80F27">
        <w:rPr>
          <w:rFonts w:eastAsia="Calibri" w:cstheme="minorHAnsi"/>
          <w:lang w:bidi="ar-JO"/>
        </w:rPr>
        <w:t xml:space="preserve"> </w:t>
      </w:r>
      <w:r w:rsidR="00E54FA9" w:rsidRPr="00F80F27">
        <w:rPr>
          <w:rFonts w:eastAsia="Calibri" w:cstheme="minorHAnsi"/>
          <w:lang w:bidi="ar-JO"/>
        </w:rPr>
        <w:t>offender</w:t>
      </w:r>
      <w:r>
        <w:rPr>
          <w:rFonts w:eastAsia="Calibri" w:cstheme="minorHAnsi"/>
          <w:lang w:bidi="ar-JO"/>
        </w:rPr>
        <w:t>s</w:t>
      </w:r>
      <w:r w:rsidR="00E54FA9" w:rsidRPr="00F80F27">
        <w:rPr>
          <w:rFonts w:eastAsia="Calibri" w:cstheme="minorHAnsi"/>
          <w:lang w:bidi="ar-JO"/>
        </w:rPr>
        <w:t xml:space="preserve"> at large. Between</w:t>
      </w:r>
      <w:r w:rsidR="008F2734">
        <w:rPr>
          <w:rFonts w:eastAsia="Calibri" w:cstheme="minorHAnsi"/>
          <w:lang w:bidi="ar-JO"/>
        </w:rPr>
        <w:t xml:space="preserve"> </w:t>
      </w:r>
      <w:r w:rsidR="00E54FA9" w:rsidRPr="00F80F27">
        <w:rPr>
          <w:rFonts w:eastAsia="Calibri" w:cstheme="minorHAnsi"/>
          <w:lang w:bidi="ar-JO"/>
        </w:rPr>
        <w:t>2015-2020, only 34 indictments were made in 73 cases of femicide in Palestinian society</w:t>
      </w:r>
      <w:r w:rsidR="00E54FA9" w:rsidRPr="00F80F27">
        <w:rPr>
          <w:rFonts w:eastAsia="Calibri" w:cstheme="minorHAnsi"/>
          <w:vertAlign w:val="superscript"/>
          <w:lang w:bidi="ar-JO"/>
        </w:rPr>
        <w:footnoteReference w:id="15"/>
      </w:r>
      <w:r w:rsidR="00E54FA9" w:rsidRPr="00F80F27">
        <w:rPr>
          <w:rFonts w:eastAsia="Calibri" w:cstheme="minorHAnsi"/>
          <w:lang w:bidi="ar-JO"/>
        </w:rPr>
        <w:t>. A survey conducted in 2021 indicated that only 13% of Arab</w:t>
      </w:r>
      <w:r w:rsidR="00A11B11">
        <w:rPr>
          <w:rFonts w:eastAsia="Calibri" w:cstheme="minorHAnsi"/>
          <w:lang w:bidi="ar-JO"/>
        </w:rPr>
        <w:t>s</w:t>
      </w:r>
      <w:r w:rsidR="00E54FA9" w:rsidRPr="00F80F27">
        <w:rPr>
          <w:rFonts w:eastAsia="Calibri" w:cstheme="minorHAnsi"/>
          <w:lang w:bidi="ar-JO"/>
        </w:rPr>
        <w:t xml:space="preserve"> surveyed trust police institutions as opposed to 42% of </w:t>
      </w:r>
      <w:r w:rsidR="00E54FA9" w:rsidRPr="00F80F27">
        <w:rPr>
          <w:rFonts w:eastAsia="Calibri" w:cstheme="minorHAnsi"/>
          <w:lang w:bidi="ar-JO"/>
        </w:rPr>
        <w:lastRenderedPageBreak/>
        <w:t>the Jewish</w:t>
      </w:r>
      <w:r w:rsidR="00A11B11">
        <w:rPr>
          <w:rFonts w:eastAsia="Calibri" w:cstheme="minorHAnsi"/>
          <w:lang w:bidi="ar-JO"/>
        </w:rPr>
        <w:t xml:space="preserve"> people</w:t>
      </w:r>
      <w:r w:rsidR="00E54FA9" w:rsidRPr="00F80F27">
        <w:rPr>
          <w:rFonts w:eastAsia="Calibri" w:cstheme="minorHAnsi"/>
          <w:lang w:bidi="ar-JO"/>
        </w:rPr>
        <w:t xml:space="preserve"> surveyed</w:t>
      </w:r>
      <w:r w:rsidR="00E54FA9" w:rsidRPr="00F80F27">
        <w:rPr>
          <w:rFonts w:eastAsia="Calibri" w:cstheme="minorHAnsi"/>
          <w:vertAlign w:val="superscript"/>
          <w:lang w:bidi="ar-JO"/>
        </w:rPr>
        <w:footnoteReference w:id="16"/>
      </w:r>
      <w:r w:rsidR="00E54FA9" w:rsidRPr="00F80F27">
        <w:rPr>
          <w:rFonts w:eastAsia="Calibri" w:cstheme="minorHAnsi"/>
          <w:lang w:bidi="ar-JO"/>
        </w:rPr>
        <w:t>.</w:t>
      </w:r>
      <w:r w:rsidR="00A11B11">
        <w:rPr>
          <w:rFonts w:eastAsia="Calibri" w:cstheme="minorHAnsi"/>
          <w:lang w:bidi="ar-JO"/>
        </w:rPr>
        <w:t xml:space="preserve"> </w:t>
      </w:r>
      <w:r w:rsidR="00E54FA9" w:rsidRPr="00F80F27">
        <w:rPr>
          <w:rFonts w:eastAsia="Calibri" w:cstheme="minorHAnsi"/>
          <w:lang w:bidi="ar-JO"/>
        </w:rPr>
        <w:t xml:space="preserve">These results are consistent with </w:t>
      </w:r>
      <w:r w:rsidR="00A11B11">
        <w:rPr>
          <w:rFonts w:eastAsia="Calibri" w:cstheme="minorHAnsi"/>
          <w:lang w:bidi="ar-JO"/>
        </w:rPr>
        <w:t>Kayan’s</w:t>
      </w:r>
      <w:r w:rsidR="00A11B11" w:rsidRPr="00F80F27">
        <w:rPr>
          <w:rFonts w:eastAsia="Calibri" w:cstheme="minorHAnsi"/>
          <w:lang w:bidi="ar-JO"/>
        </w:rPr>
        <w:t xml:space="preserve"> </w:t>
      </w:r>
      <w:r w:rsidR="00E54FA9" w:rsidRPr="00F80F27">
        <w:rPr>
          <w:rFonts w:eastAsia="Calibri" w:cstheme="minorHAnsi"/>
          <w:lang w:bidi="ar-JO"/>
        </w:rPr>
        <w:t>conclusions, based on correspondence with the Israeli police</w:t>
      </w:r>
      <w:r w:rsidR="00A11B11">
        <w:rPr>
          <w:rFonts w:eastAsia="Calibri" w:cstheme="minorHAnsi"/>
          <w:lang w:bidi="ar-JO"/>
        </w:rPr>
        <w:t>,</w:t>
      </w:r>
      <w:r w:rsidR="00E54FA9" w:rsidRPr="00F80F27">
        <w:rPr>
          <w:rFonts w:eastAsia="Calibri" w:cstheme="minorHAnsi"/>
          <w:lang w:bidi="ar-JO"/>
        </w:rPr>
        <w:t xml:space="preserve"> </w:t>
      </w:r>
      <w:r w:rsidR="00A11B11">
        <w:rPr>
          <w:rFonts w:eastAsia="Calibri" w:cstheme="minorHAnsi"/>
          <w:lang w:bidi="ar-JO"/>
        </w:rPr>
        <w:t>that</w:t>
      </w:r>
      <w:r w:rsidR="00A11B11" w:rsidRPr="00F80F27">
        <w:rPr>
          <w:rFonts w:eastAsia="Calibri" w:cstheme="minorHAnsi"/>
          <w:lang w:bidi="ar-JO"/>
        </w:rPr>
        <w:t xml:space="preserve"> </w:t>
      </w:r>
      <w:r w:rsidR="00E54FA9" w:rsidRPr="00F80F27">
        <w:rPr>
          <w:rFonts w:eastAsia="Calibri" w:cstheme="minorHAnsi"/>
          <w:lang w:bidi="ar-JO"/>
        </w:rPr>
        <w:t>the police do not have information about protection orders</w:t>
      </w:r>
      <w:r w:rsidR="00A11B11">
        <w:rPr>
          <w:rFonts w:eastAsia="Calibri" w:cstheme="minorHAnsi"/>
          <w:lang w:bidi="ar-JO"/>
        </w:rPr>
        <w:t xml:space="preserve"> and therefore</w:t>
      </w:r>
      <w:r w:rsidR="00E54FA9" w:rsidRPr="00F80F27">
        <w:rPr>
          <w:rFonts w:eastAsia="Calibri" w:cstheme="minorHAnsi"/>
          <w:lang w:bidi="ar-JO"/>
        </w:rPr>
        <w:t xml:space="preserve"> are not able to protect women for whom protection orders have been issued. </w:t>
      </w:r>
      <w:r w:rsidR="00A11B11">
        <w:rPr>
          <w:rFonts w:eastAsia="Calibri" w:cstheme="minorHAnsi"/>
          <w:lang w:bidi="ar-JO"/>
        </w:rPr>
        <w:t xml:space="preserve">The police only react when </w:t>
      </w:r>
      <w:r w:rsidR="009D41F5">
        <w:rPr>
          <w:rFonts w:eastAsia="Calibri" w:cstheme="minorHAnsi"/>
          <w:lang w:bidi="ar-JO"/>
        </w:rPr>
        <w:t>after a</w:t>
      </w:r>
      <w:r w:rsidR="00E54FA9" w:rsidRPr="00F80F27">
        <w:rPr>
          <w:rFonts w:eastAsia="Calibri" w:cstheme="minorHAnsi"/>
          <w:lang w:bidi="ar-JO"/>
        </w:rPr>
        <w:t xml:space="preserve"> murder has occurred. </w:t>
      </w:r>
      <w:r w:rsidR="00C80FF7">
        <w:rPr>
          <w:rFonts w:eastAsia="Calibri" w:cstheme="minorHAnsi"/>
          <w:lang w:bidi="ar-JO"/>
        </w:rPr>
        <w:t>As stated above,</w:t>
      </w:r>
      <w:r w:rsidR="00E54FA9" w:rsidRPr="00F80F27">
        <w:rPr>
          <w:rFonts w:eastAsia="Calibri" w:cstheme="minorHAnsi"/>
          <w:lang w:bidi="ar-JO"/>
        </w:rPr>
        <w:t xml:space="preserve"> </w:t>
      </w:r>
      <w:r w:rsidR="00C80FF7">
        <w:rPr>
          <w:rFonts w:eastAsia="Calibri" w:cstheme="minorHAnsi"/>
          <w:lang w:bidi="ar-JO"/>
        </w:rPr>
        <w:t>over</w:t>
      </w:r>
      <w:r w:rsidR="00C80FF7" w:rsidRPr="00F80F27">
        <w:rPr>
          <w:rFonts w:eastAsia="Calibri" w:cstheme="minorHAnsi"/>
          <w:lang w:bidi="ar-JO"/>
        </w:rPr>
        <w:t xml:space="preserve"> </w:t>
      </w:r>
      <w:r w:rsidR="00E54FA9" w:rsidRPr="00F80F27">
        <w:rPr>
          <w:rFonts w:eastAsia="Calibri" w:cstheme="minorHAnsi"/>
          <w:lang w:bidi="ar-JO"/>
        </w:rPr>
        <w:t xml:space="preserve">the </w:t>
      </w:r>
      <w:r w:rsidR="00C80FF7">
        <w:rPr>
          <w:rFonts w:eastAsia="Calibri" w:cstheme="minorHAnsi"/>
          <w:lang w:bidi="ar-JO"/>
        </w:rPr>
        <w:t>past</w:t>
      </w:r>
      <w:r w:rsidR="00C80FF7" w:rsidRPr="00F80F27">
        <w:rPr>
          <w:rFonts w:eastAsia="Calibri" w:cstheme="minorHAnsi"/>
          <w:lang w:bidi="ar-JO"/>
        </w:rPr>
        <w:t xml:space="preserve"> </w:t>
      </w:r>
      <w:r w:rsidR="00E54FA9" w:rsidRPr="00F80F27">
        <w:rPr>
          <w:rFonts w:eastAsia="Calibri" w:cstheme="minorHAnsi"/>
          <w:lang w:bidi="ar-JO"/>
        </w:rPr>
        <w:t xml:space="preserve">three years around 50%-60% of the victims </w:t>
      </w:r>
      <w:r w:rsidR="00C80FF7">
        <w:rPr>
          <w:rFonts w:eastAsia="Calibri" w:cstheme="minorHAnsi"/>
          <w:lang w:bidi="ar-JO"/>
        </w:rPr>
        <w:t xml:space="preserve">had </w:t>
      </w:r>
      <w:r w:rsidR="00E54FA9" w:rsidRPr="00F80F27">
        <w:rPr>
          <w:rFonts w:eastAsia="Calibri" w:cstheme="minorHAnsi"/>
          <w:lang w:bidi="ar-JO"/>
        </w:rPr>
        <w:t>filed a complaint with the police before they were killed</w:t>
      </w:r>
      <w:r w:rsidR="00C80FF7">
        <w:rPr>
          <w:rFonts w:eastAsia="Calibri" w:cstheme="minorHAnsi"/>
          <w:lang w:bidi="ar-JO"/>
        </w:rPr>
        <w:t>.</w:t>
      </w:r>
    </w:p>
    <w:p w14:paraId="4AA643F0" w14:textId="77777777" w:rsidR="00E54FA9" w:rsidRPr="00F80F27" w:rsidRDefault="00E54FA9" w:rsidP="00742A5B">
      <w:pPr>
        <w:spacing w:after="160"/>
        <w:contextualSpacing/>
        <w:jc w:val="both"/>
        <w:rPr>
          <w:rFonts w:eastAsia="Calibri" w:cstheme="minorHAnsi"/>
          <w:rtl/>
          <w:lang w:val="en-GB" w:bidi="he-IL"/>
        </w:rPr>
      </w:pPr>
    </w:p>
    <w:p w14:paraId="61AE2DDB" w14:textId="77777777" w:rsidR="00BB167A" w:rsidRPr="00BB167A" w:rsidRDefault="00BB167A" w:rsidP="00BB167A">
      <w:pPr>
        <w:spacing w:after="160"/>
        <w:contextualSpacing/>
        <w:jc w:val="both"/>
        <w:rPr>
          <w:rFonts w:eastAsia="Calibri" w:cstheme="minorHAnsi"/>
          <w:u w:val="single"/>
          <w:lang w:val="en-GB" w:bidi="he-IL"/>
        </w:rPr>
      </w:pPr>
      <w:r w:rsidRPr="00BB167A">
        <w:rPr>
          <w:rFonts w:eastAsia="Calibri" w:cstheme="minorHAnsi"/>
          <w:b/>
          <w:bCs/>
          <w:u w:val="single"/>
          <w:lang w:val="en-GB" w:bidi="he-IL"/>
        </w:rPr>
        <w:t>Recommendations:</w:t>
      </w:r>
    </w:p>
    <w:p w14:paraId="72220E49" w14:textId="46FFB590" w:rsidR="00BB167A" w:rsidRPr="00BB167A" w:rsidRDefault="00BB167A" w:rsidP="00BB167A">
      <w:pPr>
        <w:spacing w:after="160"/>
        <w:contextualSpacing/>
        <w:jc w:val="both"/>
        <w:rPr>
          <w:rFonts w:eastAsia="Calibri" w:cstheme="minorHAnsi"/>
          <w:u w:val="single"/>
          <w:lang w:val="en-GB" w:bidi="he-IL"/>
        </w:rPr>
      </w:pPr>
      <w:r w:rsidRPr="00BB167A">
        <w:rPr>
          <w:rFonts w:eastAsia="Calibri" w:cstheme="minorHAnsi"/>
          <w:lang w:val="en-GB" w:bidi="he-IL"/>
        </w:rPr>
        <w:t>Kayan respectfully call</w:t>
      </w:r>
      <w:r w:rsidR="00A11B11">
        <w:rPr>
          <w:rFonts w:eastAsia="Calibri" w:cstheme="minorHAnsi"/>
          <w:lang w:val="en-GB" w:bidi="he-IL"/>
        </w:rPr>
        <w:t>s on</w:t>
      </w:r>
      <w:r w:rsidRPr="00BB167A">
        <w:rPr>
          <w:rFonts w:eastAsia="Calibri" w:cstheme="minorHAnsi"/>
          <w:lang w:val="en-GB" w:bidi="he-IL"/>
        </w:rPr>
        <w:t xml:space="preserve"> the UN Human Rights </w:t>
      </w:r>
      <w:r w:rsidRPr="00BB167A">
        <w:rPr>
          <w:rFonts w:eastAsia="Calibri" w:cstheme="minorHAnsi"/>
          <w:lang w:bidi="he-IL"/>
        </w:rPr>
        <w:t>Council to urge Israel to:</w:t>
      </w:r>
    </w:p>
    <w:p w14:paraId="1F8AFDA8" w14:textId="56F6A9F1" w:rsidR="00BB167A" w:rsidRPr="00BB167A" w:rsidRDefault="00A11B11" w:rsidP="009D5BFD">
      <w:pPr>
        <w:numPr>
          <w:ilvl w:val="0"/>
          <w:numId w:val="3"/>
        </w:numPr>
        <w:spacing w:after="160"/>
        <w:ind w:left="270" w:hanging="270"/>
        <w:contextualSpacing/>
        <w:jc w:val="both"/>
        <w:rPr>
          <w:rFonts w:eastAsia="Calibri" w:cstheme="minorHAnsi"/>
          <w:lang w:val="en-GB" w:bidi="he-IL"/>
        </w:rPr>
      </w:pPr>
      <w:r>
        <w:rPr>
          <w:rFonts w:eastAsia="Calibri" w:cstheme="minorHAnsi"/>
          <w:lang w:val="en-GB" w:bidi="he-IL"/>
        </w:rPr>
        <w:t>Withdraw</w:t>
      </w:r>
      <w:r w:rsidR="00BB167A" w:rsidRPr="00BB167A">
        <w:rPr>
          <w:rFonts w:eastAsia="Calibri" w:cstheme="minorHAnsi"/>
          <w:lang w:val="en-GB" w:bidi="he-IL"/>
        </w:rPr>
        <w:t xml:space="preserve"> the reservation</w:t>
      </w:r>
      <w:r w:rsidR="009D5BFD">
        <w:rPr>
          <w:rFonts w:eastAsia="Calibri" w:cstheme="minorHAnsi"/>
          <w:lang w:val="en-GB" w:bidi="he-IL"/>
        </w:rPr>
        <w:t>s</w:t>
      </w:r>
      <w:r w:rsidR="00BB167A" w:rsidRPr="00BB167A">
        <w:rPr>
          <w:rFonts w:eastAsia="Calibri" w:cstheme="minorHAnsi"/>
          <w:lang w:val="en-GB" w:bidi="he-IL"/>
        </w:rPr>
        <w:t xml:space="preserve"> made upon the ratification</w:t>
      </w:r>
      <w:r w:rsidR="009D5BFD">
        <w:rPr>
          <w:rFonts w:eastAsia="Calibri" w:cstheme="minorHAnsi"/>
          <w:lang w:val="en-GB" w:bidi="he-IL"/>
        </w:rPr>
        <w:t xml:space="preserve"> of </w:t>
      </w:r>
      <w:r w:rsidR="009D5BFD" w:rsidRPr="006E5D5F">
        <w:rPr>
          <w:rFonts w:eastAsia="Calibri" w:cstheme="minorHAnsi"/>
          <w:b/>
          <w:bCs/>
          <w:lang w:val="en-GB" w:bidi="he-IL"/>
        </w:rPr>
        <w:t>ICCPR and CEDAW</w:t>
      </w:r>
      <w:r w:rsidR="00BB167A" w:rsidRPr="00BB167A">
        <w:rPr>
          <w:rFonts w:eastAsia="Calibri" w:cstheme="minorHAnsi"/>
          <w:lang w:val="en-GB" w:bidi="he-IL"/>
        </w:rPr>
        <w:t xml:space="preserve">, with reference to Article 19 of “Vienna Convention on the Law of Treaties-1969”, (Formulation of reservations). </w:t>
      </w:r>
    </w:p>
    <w:p w14:paraId="141E686F" w14:textId="6B52A733" w:rsidR="00767C9B" w:rsidRDefault="00BB167A" w:rsidP="00767C9B">
      <w:pPr>
        <w:numPr>
          <w:ilvl w:val="0"/>
          <w:numId w:val="3"/>
        </w:numPr>
        <w:spacing w:after="160"/>
        <w:ind w:left="270" w:hanging="270"/>
        <w:contextualSpacing/>
        <w:jc w:val="both"/>
        <w:rPr>
          <w:rFonts w:eastAsia="Calibri" w:cstheme="minorHAnsi"/>
          <w:lang w:val="en-GB" w:bidi="he-IL"/>
        </w:rPr>
      </w:pPr>
      <w:r w:rsidRPr="00BB167A">
        <w:rPr>
          <w:rFonts w:eastAsia="Calibri" w:cstheme="minorHAnsi"/>
          <w:lang w:val="en-GB" w:bidi="he-IL"/>
        </w:rPr>
        <w:t>Take steps towards harmonizing its religious laws governing marriage and divorce with the provisions of C</w:t>
      </w:r>
      <w:r w:rsidR="00767C9B">
        <w:rPr>
          <w:rFonts w:eastAsia="Calibri" w:cstheme="minorHAnsi"/>
          <w:lang w:val="en-GB" w:bidi="he-IL"/>
        </w:rPr>
        <w:t>EDAW</w:t>
      </w:r>
      <w:r w:rsidR="00A11B11">
        <w:rPr>
          <w:rFonts w:eastAsia="Calibri" w:cstheme="minorHAnsi"/>
          <w:lang w:val="en-GB" w:bidi="he-IL"/>
        </w:rPr>
        <w:t>.</w:t>
      </w:r>
    </w:p>
    <w:p w14:paraId="151AD077" w14:textId="25DA7A68" w:rsidR="00BB167A" w:rsidRPr="00BB167A" w:rsidRDefault="00A11B11" w:rsidP="00767C9B">
      <w:pPr>
        <w:numPr>
          <w:ilvl w:val="0"/>
          <w:numId w:val="3"/>
        </w:numPr>
        <w:spacing w:after="160"/>
        <w:ind w:left="270" w:hanging="270"/>
        <w:contextualSpacing/>
        <w:jc w:val="both"/>
        <w:rPr>
          <w:rFonts w:eastAsia="Calibri" w:cstheme="minorHAnsi"/>
          <w:lang w:val="en-GB" w:bidi="he-IL"/>
        </w:rPr>
      </w:pPr>
      <w:r>
        <w:rPr>
          <w:rFonts w:eastAsia="Calibri" w:cstheme="minorHAnsi"/>
          <w:lang w:val="en-GB" w:bidi="he-IL"/>
        </w:rPr>
        <w:t>P</w:t>
      </w:r>
      <w:r w:rsidR="00BB167A" w:rsidRPr="00BB167A">
        <w:rPr>
          <w:rFonts w:eastAsia="Calibri" w:cstheme="minorHAnsi"/>
          <w:lang w:val="en-GB" w:bidi="he-IL"/>
        </w:rPr>
        <w:t xml:space="preserve">rovide statistics on cases in religious courts, including number of </w:t>
      </w:r>
      <w:r w:rsidR="00AF3FFE">
        <w:rPr>
          <w:rFonts w:eastAsia="Calibri" w:cstheme="minorHAnsi"/>
          <w:lang w:val="en-GB" w:bidi="he-IL"/>
        </w:rPr>
        <w:t>o</w:t>
      </w:r>
      <w:r w:rsidR="00BB167A" w:rsidRPr="00BB167A">
        <w:rPr>
          <w:rFonts w:eastAsia="Calibri" w:cstheme="minorHAnsi"/>
          <w:lang w:val="en-GB" w:bidi="he-IL"/>
        </w:rPr>
        <w:t xml:space="preserve">bedience cases </w:t>
      </w:r>
      <w:r w:rsidR="003B301F">
        <w:rPr>
          <w:rFonts w:eastAsia="Calibri" w:cstheme="minorHAnsi"/>
          <w:lang w:val="en-GB" w:bidi="he-IL"/>
        </w:rPr>
        <w:t xml:space="preserve">that women have lost, </w:t>
      </w:r>
      <w:r w:rsidR="00A02078">
        <w:rPr>
          <w:rFonts w:eastAsia="Calibri" w:cstheme="minorHAnsi"/>
          <w:lang w:val="en-GB" w:bidi="he-IL"/>
        </w:rPr>
        <w:t>and cases</w:t>
      </w:r>
      <w:r w:rsidR="00BB167A" w:rsidRPr="00BB167A">
        <w:rPr>
          <w:rFonts w:eastAsia="Calibri" w:cstheme="minorHAnsi"/>
          <w:lang w:val="en-GB" w:bidi="he-IL"/>
        </w:rPr>
        <w:t xml:space="preserve"> where women </w:t>
      </w:r>
      <w:r w:rsidR="00AF3FFE">
        <w:rPr>
          <w:rFonts w:eastAsia="Calibri" w:cstheme="minorHAnsi"/>
          <w:lang w:val="en-GB" w:bidi="he-IL"/>
        </w:rPr>
        <w:t xml:space="preserve">have </w:t>
      </w:r>
      <w:r w:rsidR="00BB167A" w:rsidRPr="00BB167A">
        <w:rPr>
          <w:rFonts w:eastAsia="Calibri" w:cstheme="minorHAnsi"/>
          <w:lang w:val="en-GB" w:bidi="he-IL"/>
        </w:rPr>
        <w:t xml:space="preserve">lost child custody because of </w:t>
      </w:r>
      <w:r w:rsidR="00AF3FFE">
        <w:rPr>
          <w:rFonts w:eastAsia="Calibri" w:cstheme="minorHAnsi"/>
          <w:lang w:val="en-GB" w:bidi="he-IL"/>
        </w:rPr>
        <w:t>re</w:t>
      </w:r>
      <w:r w:rsidR="00BB167A" w:rsidRPr="00BB167A">
        <w:rPr>
          <w:rFonts w:eastAsia="Calibri" w:cstheme="minorHAnsi"/>
          <w:lang w:val="en-GB" w:bidi="he-IL"/>
        </w:rPr>
        <w:t>marriage.</w:t>
      </w:r>
    </w:p>
    <w:p w14:paraId="729D77AD" w14:textId="77777777" w:rsidR="00AF3FFE" w:rsidRDefault="00AF3FFE" w:rsidP="00BB167A">
      <w:pPr>
        <w:spacing w:after="160"/>
        <w:contextualSpacing/>
        <w:jc w:val="both"/>
        <w:rPr>
          <w:rFonts w:eastAsia="Calibri" w:cstheme="minorHAnsi"/>
          <w:lang w:val="en-GB" w:bidi="he-IL"/>
        </w:rPr>
      </w:pPr>
    </w:p>
    <w:p w14:paraId="40BC0F7E" w14:textId="4D1880F4" w:rsidR="00BB167A" w:rsidRPr="00BB167A" w:rsidRDefault="00BB167A" w:rsidP="00BB167A">
      <w:pPr>
        <w:spacing w:after="160"/>
        <w:contextualSpacing/>
        <w:jc w:val="both"/>
        <w:rPr>
          <w:rFonts w:eastAsia="Calibri" w:cstheme="minorHAnsi"/>
          <w:lang w:val="en-GB" w:bidi="he-IL"/>
        </w:rPr>
      </w:pPr>
      <w:r w:rsidRPr="00BB167A">
        <w:rPr>
          <w:rFonts w:eastAsia="Calibri" w:cstheme="minorHAnsi"/>
          <w:lang w:val="en-GB" w:bidi="he-IL"/>
        </w:rPr>
        <w:t>Israeli law does</w:t>
      </w:r>
      <w:r w:rsidR="00E242AC">
        <w:rPr>
          <w:rFonts w:eastAsia="Calibri" w:cstheme="minorHAnsi"/>
          <w:lang w:val="en-GB" w:bidi="he-IL"/>
        </w:rPr>
        <w:t>n’t</w:t>
      </w:r>
      <w:r w:rsidRPr="00BB167A">
        <w:rPr>
          <w:rFonts w:eastAsia="Calibri" w:cstheme="minorHAnsi"/>
          <w:lang w:val="en-GB" w:bidi="he-IL"/>
        </w:rPr>
        <w:t xml:space="preserve"> provide for civil marriages, and even spouses who contract civil marriage outside the State are still subject to the jurisdiction of religious courts in divorce cases</w:t>
      </w:r>
      <w:r w:rsidR="00AF3FFE">
        <w:rPr>
          <w:rFonts w:eastAsia="Calibri" w:cstheme="minorHAnsi"/>
          <w:lang w:val="en-GB" w:bidi="he-IL"/>
        </w:rPr>
        <w:t>. We strongly feel the State of Israel should be required to:</w:t>
      </w:r>
    </w:p>
    <w:p w14:paraId="2885C189" w14:textId="214316DD" w:rsidR="00E54FA9" w:rsidRDefault="00AF3FFE" w:rsidP="006F4B6E">
      <w:pPr>
        <w:numPr>
          <w:ilvl w:val="0"/>
          <w:numId w:val="3"/>
        </w:numPr>
        <w:spacing w:after="160"/>
        <w:contextualSpacing/>
        <w:jc w:val="both"/>
        <w:rPr>
          <w:rFonts w:eastAsia="Calibri" w:cstheme="minorHAnsi"/>
          <w:lang w:val="en-GB" w:bidi="he-IL"/>
        </w:rPr>
      </w:pPr>
      <w:r>
        <w:rPr>
          <w:rFonts w:eastAsia="Calibri" w:cstheme="minorHAnsi"/>
          <w:lang w:val="en-GB" w:bidi="he-IL"/>
        </w:rPr>
        <w:t>A</w:t>
      </w:r>
      <w:r w:rsidR="00BB167A" w:rsidRPr="00BB167A">
        <w:rPr>
          <w:rFonts w:eastAsia="Calibri" w:cstheme="minorHAnsi"/>
          <w:lang w:val="en-GB" w:bidi="he-IL"/>
        </w:rPr>
        <w:t>mend its legislation to allow for civil marriages without discrimination on the ground of religion or belief</w:t>
      </w:r>
      <w:r w:rsidR="006F4B6E">
        <w:rPr>
          <w:rFonts w:eastAsia="Calibri" w:cstheme="minorHAnsi"/>
          <w:lang w:val="en-GB" w:bidi="he-IL"/>
        </w:rPr>
        <w:t>.</w:t>
      </w:r>
    </w:p>
    <w:p w14:paraId="2D1FD56E" w14:textId="1803B329" w:rsidR="006E5D5F" w:rsidRDefault="00AF3FFE" w:rsidP="006E5D5F">
      <w:pPr>
        <w:numPr>
          <w:ilvl w:val="0"/>
          <w:numId w:val="3"/>
        </w:numPr>
        <w:spacing w:after="160"/>
        <w:contextualSpacing/>
        <w:jc w:val="both"/>
        <w:rPr>
          <w:rFonts w:eastAsia="Calibri" w:cstheme="minorHAnsi"/>
          <w:lang w:val="en-GB" w:bidi="he-IL"/>
        </w:rPr>
      </w:pPr>
      <w:r>
        <w:rPr>
          <w:rFonts w:eastAsia="Calibri" w:cstheme="minorHAnsi"/>
          <w:lang w:val="en-GB" w:bidi="he-IL"/>
        </w:rPr>
        <w:t>D</w:t>
      </w:r>
      <w:r w:rsidR="006E5D5F">
        <w:rPr>
          <w:rFonts w:eastAsia="Calibri" w:cstheme="minorHAnsi"/>
          <w:lang w:val="en-GB" w:bidi="he-IL"/>
        </w:rPr>
        <w:t xml:space="preserve">ocument all cases of violence and provide </w:t>
      </w:r>
      <w:r w:rsidR="005F061A">
        <w:rPr>
          <w:rFonts w:eastAsia="Calibri" w:cstheme="minorHAnsi"/>
          <w:lang w:val="en-GB" w:bidi="he-IL"/>
        </w:rPr>
        <w:t xml:space="preserve">proper </w:t>
      </w:r>
      <w:r w:rsidR="006E5D5F">
        <w:rPr>
          <w:rFonts w:eastAsia="Calibri" w:cstheme="minorHAnsi"/>
          <w:lang w:val="en-GB" w:bidi="he-IL"/>
        </w:rPr>
        <w:t>information to civil society</w:t>
      </w:r>
      <w:r>
        <w:rPr>
          <w:rFonts w:eastAsia="Calibri" w:cstheme="minorHAnsi"/>
          <w:lang w:val="en-GB" w:bidi="he-IL"/>
        </w:rPr>
        <w:t xml:space="preserve">, including regularly </w:t>
      </w:r>
      <w:r w:rsidR="006E5D5F">
        <w:rPr>
          <w:rFonts w:eastAsia="Calibri" w:cstheme="minorHAnsi"/>
          <w:lang w:val="en-GB" w:bidi="he-IL"/>
        </w:rPr>
        <w:t>publish</w:t>
      </w:r>
      <w:r>
        <w:rPr>
          <w:rFonts w:eastAsia="Calibri" w:cstheme="minorHAnsi"/>
          <w:lang w:val="en-GB" w:bidi="he-IL"/>
        </w:rPr>
        <w:t>ing</w:t>
      </w:r>
      <w:r w:rsidR="006E5D5F">
        <w:rPr>
          <w:rFonts w:eastAsia="Calibri" w:cstheme="minorHAnsi"/>
          <w:lang w:val="en-GB" w:bidi="he-IL"/>
        </w:rPr>
        <w:t xml:space="preserve"> statistics</w:t>
      </w:r>
      <w:r>
        <w:rPr>
          <w:rFonts w:eastAsia="Calibri" w:cstheme="minorHAnsi"/>
          <w:lang w:val="en-GB" w:bidi="he-IL"/>
        </w:rPr>
        <w:t>.</w:t>
      </w:r>
    </w:p>
    <w:p w14:paraId="33BBC900" w14:textId="642B41FA" w:rsidR="006E5D5F" w:rsidRDefault="00AF3FFE" w:rsidP="006E5D5F">
      <w:pPr>
        <w:numPr>
          <w:ilvl w:val="0"/>
          <w:numId w:val="3"/>
        </w:numPr>
        <w:spacing w:after="160"/>
        <w:contextualSpacing/>
        <w:jc w:val="both"/>
        <w:rPr>
          <w:rFonts w:eastAsia="Calibri" w:cstheme="minorHAnsi"/>
          <w:lang w:val="en-GB" w:bidi="he-IL"/>
        </w:rPr>
      </w:pPr>
      <w:r>
        <w:rPr>
          <w:rFonts w:eastAsia="Calibri" w:cstheme="minorHAnsi"/>
          <w:lang w:val="en-GB" w:bidi="he-IL"/>
        </w:rPr>
        <w:t>D</w:t>
      </w:r>
      <w:r w:rsidR="005F061A">
        <w:rPr>
          <w:rFonts w:eastAsia="Calibri" w:cstheme="minorHAnsi"/>
          <w:lang w:val="en-GB" w:bidi="he-IL"/>
        </w:rPr>
        <w:t xml:space="preserve">evelop a </w:t>
      </w:r>
      <w:r>
        <w:rPr>
          <w:rFonts w:eastAsia="Calibri" w:cstheme="minorHAnsi"/>
          <w:lang w:val="en-GB" w:bidi="he-IL"/>
        </w:rPr>
        <w:t xml:space="preserve">properly financed </w:t>
      </w:r>
      <w:r w:rsidR="005F061A">
        <w:rPr>
          <w:rFonts w:eastAsia="Calibri" w:cstheme="minorHAnsi"/>
          <w:lang w:val="en-GB" w:bidi="he-IL"/>
        </w:rPr>
        <w:t>national plan to increase shelters and support services for battered women</w:t>
      </w:r>
      <w:r>
        <w:rPr>
          <w:rFonts w:eastAsia="Calibri" w:cstheme="minorHAnsi"/>
          <w:lang w:val="en-GB" w:bidi="he-IL"/>
        </w:rPr>
        <w:t>.</w:t>
      </w:r>
    </w:p>
    <w:p w14:paraId="59BE4E09" w14:textId="21D9DAA4" w:rsidR="00EB3055" w:rsidRPr="005F061A" w:rsidRDefault="00AF3FFE" w:rsidP="005F061A">
      <w:pPr>
        <w:numPr>
          <w:ilvl w:val="0"/>
          <w:numId w:val="3"/>
        </w:numPr>
        <w:spacing w:after="160"/>
        <w:contextualSpacing/>
        <w:jc w:val="both"/>
        <w:rPr>
          <w:rFonts w:eastAsia="Calibri" w:cstheme="minorHAnsi"/>
          <w:lang w:val="en-GB" w:bidi="he-IL"/>
        </w:rPr>
      </w:pPr>
      <w:r>
        <w:rPr>
          <w:rFonts w:eastAsia="Calibri" w:cstheme="minorHAnsi"/>
          <w:lang w:val="en-GB" w:bidi="he-IL"/>
        </w:rPr>
        <w:t>D</w:t>
      </w:r>
      <w:r w:rsidR="005F061A">
        <w:rPr>
          <w:rFonts w:eastAsia="Calibri" w:cstheme="minorHAnsi"/>
          <w:lang w:val="en-GB" w:bidi="he-IL"/>
        </w:rPr>
        <w:t>evelop</w:t>
      </w:r>
      <w:r w:rsidR="009C73FD">
        <w:rPr>
          <w:rFonts w:eastAsia="Calibri" w:cstheme="minorHAnsi"/>
          <w:lang w:val="en-GB" w:bidi="he-IL"/>
        </w:rPr>
        <w:t xml:space="preserve"> a</w:t>
      </w:r>
      <w:r w:rsidR="005F061A">
        <w:rPr>
          <w:rFonts w:eastAsia="Calibri" w:cstheme="minorHAnsi"/>
          <w:lang w:val="en-GB" w:bidi="he-IL"/>
        </w:rPr>
        <w:t xml:space="preserve"> proper structure to organise coordination between all </w:t>
      </w:r>
      <w:r>
        <w:rPr>
          <w:rFonts w:eastAsia="Calibri" w:cstheme="minorHAnsi"/>
          <w:lang w:val="en-GB" w:bidi="he-IL"/>
        </w:rPr>
        <w:t xml:space="preserve">service-providing </w:t>
      </w:r>
      <w:r w:rsidR="005F061A">
        <w:rPr>
          <w:rFonts w:eastAsia="Calibri" w:cstheme="minorHAnsi"/>
          <w:lang w:val="en-GB" w:bidi="he-IL"/>
        </w:rPr>
        <w:t xml:space="preserve">bodies </w:t>
      </w:r>
      <w:proofErr w:type="gramStart"/>
      <w:r w:rsidR="005F061A">
        <w:rPr>
          <w:rFonts w:eastAsia="Calibri" w:cstheme="minorHAnsi"/>
          <w:lang w:val="en-GB" w:bidi="he-IL"/>
        </w:rPr>
        <w:t>in order to</w:t>
      </w:r>
      <w:proofErr w:type="gramEnd"/>
      <w:r w:rsidR="005F061A">
        <w:rPr>
          <w:rFonts w:eastAsia="Calibri" w:cstheme="minorHAnsi"/>
          <w:lang w:val="en-GB" w:bidi="he-IL"/>
        </w:rPr>
        <w:t xml:space="preserve"> increase and develop better services to batter</w:t>
      </w:r>
      <w:r>
        <w:rPr>
          <w:rFonts w:eastAsia="Calibri" w:cstheme="minorHAnsi"/>
          <w:lang w:val="en-GB" w:bidi="he-IL"/>
        </w:rPr>
        <w:t>ed</w:t>
      </w:r>
      <w:r w:rsidR="005F061A">
        <w:rPr>
          <w:rFonts w:eastAsia="Calibri" w:cstheme="minorHAnsi"/>
          <w:lang w:val="en-GB" w:bidi="he-IL"/>
        </w:rPr>
        <w:t xml:space="preserve"> women</w:t>
      </w:r>
      <w:r>
        <w:rPr>
          <w:rFonts w:eastAsia="Calibri" w:cstheme="minorHAnsi"/>
          <w:lang w:val="en-GB" w:bidi="he-IL"/>
        </w:rPr>
        <w:t>.</w:t>
      </w:r>
      <w:r w:rsidR="005F061A">
        <w:rPr>
          <w:rFonts w:eastAsia="Calibri" w:cstheme="minorHAnsi"/>
          <w:lang w:val="en-GB" w:bidi="he-IL"/>
        </w:rPr>
        <w:t xml:space="preserve"> </w:t>
      </w:r>
    </w:p>
    <w:p w14:paraId="1D6B99E7" w14:textId="77777777" w:rsidR="00767C9B" w:rsidRPr="006F4B6E" w:rsidRDefault="00767C9B" w:rsidP="005F061A">
      <w:pPr>
        <w:spacing w:after="160"/>
        <w:contextualSpacing/>
        <w:rPr>
          <w:rFonts w:eastAsia="Calibri" w:cstheme="minorHAnsi"/>
          <w:lang w:val="en-GB" w:bidi="ar-JO"/>
        </w:rPr>
      </w:pPr>
    </w:p>
    <w:sectPr w:rsidR="00767C9B" w:rsidRPr="006F4B6E" w:rsidSect="0055433B">
      <w:headerReference w:type="default" r:id="rId9"/>
      <w:headerReference w:type="first" r:id="rId10"/>
      <w:pgSz w:w="11900" w:h="16840"/>
      <w:pgMar w:top="162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4185" w14:textId="77777777" w:rsidR="009032DF" w:rsidRDefault="009032DF" w:rsidP="00E771DF">
      <w:r>
        <w:separator/>
      </w:r>
    </w:p>
  </w:endnote>
  <w:endnote w:type="continuationSeparator" w:id="0">
    <w:p w14:paraId="35EED234" w14:textId="77777777" w:rsidR="009032DF" w:rsidRDefault="009032DF" w:rsidP="00E7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6D4A" w14:textId="77777777" w:rsidR="009032DF" w:rsidRDefault="009032DF" w:rsidP="00E771DF">
      <w:r>
        <w:separator/>
      </w:r>
    </w:p>
  </w:footnote>
  <w:footnote w:type="continuationSeparator" w:id="0">
    <w:p w14:paraId="523348B1" w14:textId="77777777" w:rsidR="009032DF" w:rsidRDefault="009032DF" w:rsidP="00E771DF">
      <w:r>
        <w:continuationSeparator/>
      </w:r>
    </w:p>
  </w:footnote>
  <w:footnote w:id="1">
    <w:p w14:paraId="7E7AF911" w14:textId="2EEBC6FC" w:rsidR="00167FCA" w:rsidRPr="001571CA" w:rsidRDefault="00167FCA" w:rsidP="00167FCA">
      <w:pPr>
        <w:pStyle w:val="FootnoteText"/>
        <w:rPr>
          <w:rFonts w:cstheme="minorHAnsi"/>
        </w:rPr>
      </w:pPr>
      <w:r w:rsidRPr="001571CA">
        <w:rPr>
          <w:rStyle w:val="FootnoteReference"/>
          <w:rFonts w:cstheme="minorHAnsi"/>
        </w:rPr>
        <w:footnoteRef/>
      </w:r>
      <w:r w:rsidRPr="001571CA">
        <w:rPr>
          <w:rFonts w:cstheme="minorHAnsi"/>
        </w:rPr>
        <w:t xml:space="preserve"> Rabbinical Courts Jurisdiction Act (Marriage and Divorce) (1953); The Druze Religious Courts act (1962); The King’s Order-in-Council of 1922-1947, Article 54(1) and (2)</w:t>
      </w:r>
      <w:r w:rsidR="00F21EB5" w:rsidRPr="001571CA">
        <w:rPr>
          <w:rFonts w:cstheme="minorHAnsi"/>
        </w:rPr>
        <w:t>.</w:t>
      </w:r>
    </w:p>
  </w:footnote>
  <w:footnote w:id="2">
    <w:p w14:paraId="0BD099F4" w14:textId="1FE4FF4A" w:rsidR="00C97576" w:rsidRPr="001571CA" w:rsidRDefault="00C97576" w:rsidP="00C97576">
      <w:pPr>
        <w:pStyle w:val="FootnoteText"/>
        <w:rPr>
          <w:rFonts w:cstheme="minorHAnsi"/>
        </w:rPr>
      </w:pPr>
      <w:r w:rsidRPr="001571CA">
        <w:rPr>
          <w:rFonts w:cstheme="minorHAnsi"/>
        </w:rPr>
        <w:footnoteRef/>
      </w:r>
      <w:r w:rsidRPr="001571CA">
        <w:rPr>
          <w:rFonts w:cstheme="minorHAnsi"/>
        </w:rPr>
        <w:t xml:space="preserve"> Submission by Kayan to the Human Rights Committee, 134 Session Israel’s fifth periodic review Under ICCPR</w:t>
      </w:r>
      <w:r w:rsidR="00F21EB5" w:rsidRPr="001571CA">
        <w:rPr>
          <w:rFonts w:cstheme="minorHAnsi"/>
        </w:rPr>
        <w:t xml:space="preserve">: </w:t>
      </w:r>
      <w:hyperlink r:id="rId1" w:history="1">
        <w:r w:rsidR="005C524A" w:rsidRPr="001571CA">
          <w:rPr>
            <w:rStyle w:val="Hyperlink"/>
            <w:rFonts w:cstheme="minorHAnsi"/>
          </w:rPr>
          <w:t>https://www.kayanfeminist.org/sites/default/files/publications/Submission%20by%20Kayan%20to%20the%20ICCPR%20134%20Session-Fainal.pdf</w:t>
        </w:r>
      </w:hyperlink>
    </w:p>
  </w:footnote>
  <w:footnote w:id="3">
    <w:p w14:paraId="6B7071F4" w14:textId="77777777" w:rsidR="00C97576" w:rsidRPr="001571CA" w:rsidRDefault="00C97576" w:rsidP="00C97576">
      <w:pPr>
        <w:pStyle w:val="FootnoteText"/>
        <w:rPr>
          <w:rFonts w:cstheme="minorHAnsi"/>
        </w:rPr>
      </w:pPr>
      <w:r w:rsidRPr="001571CA">
        <w:rPr>
          <w:rFonts w:cstheme="minorHAnsi"/>
        </w:rPr>
        <w:footnoteRef/>
      </w:r>
      <w:r w:rsidRPr="001571CA">
        <w:rPr>
          <w:rFonts w:cstheme="minorHAnsi"/>
        </w:rPr>
        <w:t xml:space="preserve"> Kayan Possession Paper: CHILD CUSTODY AND SECOND MARRIAGE LAWS:</w:t>
      </w:r>
    </w:p>
    <w:p w14:paraId="7CA1D119" w14:textId="53D08A5C" w:rsidR="00C97576" w:rsidRPr="001571CA" w:rsidRDefault="002E663C" w:rsidP="00C97576">
      <w:pPr>
        <w:pStyle w:val="FootnoteText"/>
        <w:rPr>
          <w:rFonts w:cstheme="minorHAnsi"/>
        </w:rPr>
      </w:pPr>
      <w:hyperlink r:id="rId2" w:history="1">
        <w:r w:rsidR="00C97576" w:rsidRPr="001571CA">
          <w:rPr>
            <w:rFonts w:cstheme="minorHAnsi"/>
          </w:rPr>
          <w:t>https://www.kayanfeminist.org/category/personal-status?page=2</w:t>
        </w:r>
      </w:hyperlink>
    </w:p>
  </w:footnote>
  <w:footnote w:id="4">
    <w:p w14:paraId="1AD81B6C" w14:textId="77777777" w:rsidR="00167FCA" w:rsidRPr="001571CA" w:rsidRDefault="00167FCA" w:rsidP="00167FCA">
      <w:pPr>
        <w:pStyle w:val="FootnoteText"/>
        <w:rPr>
          <w:rFonts w:cstheme="minorHAnsi"/>
          <w:lang w:val="en-GB"/>
        </w:rPr>
      </w:pPr>
      <w:r w:rsidRPr="001571CA">
        <w:rPr>
          <w:rStyle w:val="FootnoteReference"/>
          <w:rFonts w:cstheme="minorHAnsi"/>
        </w:rPr>
        <w:footnoteRef/>
      </w:r>
      <w:r w:rsidRPr="001571CA">
        <w:rPr>
          <w:rFonts w:cstheme="minorHAnsi"/>
        </w:rPr>
        <w:t xml:space="preserve"> The International Covenant on Civil and Political Rights, art 26 [</w:t>
      </w:r>
      <w:r w:rsidRPr="001571CA">
        <w:rPr>
          <w:rFonts w:cstheme="minorHAnsi"/>
          <w:b/>
          <w:bCs/>
        </w:rPr>
        <w:t>ICCPR</w:t>
      </w:r>
      <w:r w:rsidRPr="001571CA">
        <w:rPr>
          <w:rFonts w:cstheme="minorHAnsi"/>
        </w:rPr>
        <w:t xml:space="preserve">]. </w:t>
      </w:r>
    </w:p>
  </w:footnote>
  <w:footnote w:id="5">
    <w:p w14:paraId="0FEC2C38" w14:textId="3213E0E6" w:rsidR="004613C3" w:rsidRPr="001571CA" w:rsidRDefault="004613C3" w:rsidP="004613C3">
      <w:pPr>
        <w:pStyle w:val="FootnoteText"/>
        <w:rPr>
          <w:rFonts w:cstheme="minorHAnsi"/>
        </w:rPr>
      </w:pPr>
      <w:r w:rsidRPr="001571CA">
        <w:rPr>
          <w:rStyle w:val="FootnoteReference"/>
          <w:rFonts w:cstheme="minorHAnsi"/>
        </w:rPr>
        <w:footnoteRef/>
      </w:r>
      <w:r w:rsidRPr="001571CA">
        <w:rPr>
          <w:rFonts w:cstheme="minorHAnsi"/>
        </w:rPr>
        <w:t xml:space="preserve"> It should be noted that the Sharia and Druze courts form part of the Ministry of Justice and both publish the cost of litigation fees on the Ministry of Justice’s website: (</w:t>
      </w:r>
      <w:proofErr w:type="gramStart"/>
      <w:r w:rsidRPr="001571CA">
        <w:rPr>
          <w:rFonts w:cstheme="minorHAnsi"/>
        </w:rPr>
        <w:t>http://www.justice.gov.il/Units/BetDinDroziLerorim/Pages/Hipush-Piski-Din.aspx )</w:t>
      </w:r>
      <w:proofErr w:type="gramEnd"/>
      <w:r w:rsidRPr="001571CA">
        <w:rPr>
          <w:rFonts w:cstheme="minorHAnsi"/>
        </w:rPr>
        <w:t>, (http://www.justice.gov.il/UNITS/BATIDINHASHREIM/Pages/Hipush-Piski-Din.aspx</w:t>
      </w:r>
    </w:p>
  </w:footnote>
  <w:footnote w:id="6">
    <w:p w14:paraId="0B4892AF" w14:textId="77777777" w:rsidR="00167FCA" w:rsidRPr="001571CA" w:rsidRDefault="00167FCA" w:rsidP="00167FCA">
      <w:pPr>
        <w:pStyle w:val="FootnoteText"/>
        <w:rPr>
          <w:rFonts w:cstheme="minorHAnsi"/>
        </w:rPr>
      </w:pPr>
      <w:r w:rsidRPr="001571CA">
        <w:rPr>
          <w:rStyle w:val="FootnoteReference"/>
          <w:rFonts w:cstheme="minorHAnsi"/>
        </w:rPr>
        <w:footnoteRef/>
      </w:r>
      <w:r w:rsidRPr="001571CA">
        <w:rPr>
          <w:rFonts w:cstheme="minorHAnsi"/>
        </w:rPr>
        <w:t xml:space="preserve"> The International Covenant on Civil and Political Rights, article 14 of [ICCPR].</w:t>
      </w:r>
    </w:p>
  </w:footnote>
  <w:footnote w:id="7">
    <w:p w14:paraId="1DC8A672" w14:textId="1FA19CA6" w:rsidR="00167FCA" w:rsidRPr="001571CA" w:rsidRDefault="00167FCA" w:rsidP="00167FCA">
      <w:pPr>
        <w:pStyle w:val="FootnoteText"/>
        <w:rPr>
          <w:rFonts w:cstheme="minorHAnsi"/>
          <w:lang w:val="en-GB"/>
        </w:rPr>
      </w:pPr>
      <w:r w:rsidRPr="001571CA">
        <w:rPr>
          <w:rStyle w:val="FootnoteReference"/>
          <w:rFonts w:cstheme="minorHAnsi"/>
        </w:rPr>
        <w:footnoteRef/>
      </w:r>
      <w:r w:rsidRPr="001571CA">
        <w:rPr>
          <w:rFonts w:cstheme="minorHAnsi"/>
          <w:rtl/>
        </w:rPr>
        <w:t xml:space="preserve"> </w:t>
      </w:r>
      <w:r w:rsidRPr="001571CA">
        <w:rPr>
          <w:rFonts w:cstheme="minorHAnsi"/>
          <w:lang w:val="en-GB"/>
        </w:rPr>
        <w:t>Israel, courts act 5744-1984 art. 68(a)</w:t>
      </w:r>
      <w:r w:rsidR="005C524A" w:rsidRPr="001571CA">
        <w:rPr>
          <w:rFonts w:cstheme="minorHAnsi"/>
          <w:lang w:val="en-GB"/>
        </w:rPr>
        <w:t>.</w:t>
      </w:r>
    </w:p>
  </w:footnote>
  <w:footnote w:id="8">
    <w:p w14:paraId="35A62521" w14:textId="77777777" w:rsidR="00167FCA" w:rsidRPr="001571CA" w:rsidRDefault="00167FCA" w:rsidP="00167FCA">
      <w:pPr>
        <w:pStyle w:val="FootnoteText"/>
        <w:rPr>
          <w:rFonts w:cstheme="minorHAnsi"/>
          <w:rtl/>
        </w:rPr>
      </w:pPr>
      <w:r w:rsidRPr="001571CA">
        <w:rPr>
          <w:rStyle w:val="FootnoteReference"/>
          <w:rFonts w:cstheme="minorHAnsi"/>
        </w:rPr>
        <w:footnoteRef/>
      </w:r>
      <w:r w:rsidRPr="001571CA">
        <w:rPr>
          <w:rFonts w:cstheme="minorHAnsi"/>
        </w:rPr>
        <w:t xml:space="preserve"> </w:t>
      </w:r>
      <w:r w:rsidRPr="001571CA">
        <w:rPr>
          <w:rFonts w:cstheme="minorHAnsi"/>
          <w:color w:val="212121"/>
        </w:rPr>
        <w:t xml:space="preserve">Family matters court act, </w:t>
      </w:r>
      <w:proofErr w:type="gramStart"/>
      <w:r w:rsidRPr="001571CA">
        <w:rPr>
          <w:rFonts w:cstheme="minorHAnsi"/>
          <w:i/>
          <w:iCs/>
        </w:rPr>
        <w:t>supra</w:t>
      </w:r>
      <w:r w:rsidRPr="001571CA">
        <w:rPr>
          <w:rFonts w:cstheme="minorHAnsi"/>
        </w:rPr>
        <w:t xml:space="preserve"> art</w:t>
      </w:r>
      <w:proofErr w:type="gramEnd"/>
      <w:r w:rsidRPr="001571CA">
        <w:rPr>
          <w:rFonts w:cstheme="minorHAnsi"/>
        </w:rPr>
        <w:t xml:space="preserve"> 6.</w:t>
      </w:r>
    </w:p>
  </w:footnote>
  <w:footnote w:id="9">
    <w:p w14:paraId="14839E33" w14:textId="23E545E3" w:rsidR="00E54FA9" w:rsidRPr="001571CA" w:rsidRDefault="00E54FA9" w:rsidP="00E54FA9">
      <w:pPr>
        <w:pStyle w:val="FootnoteText"/>
        <w:rPr>
          <w:rFonts w:cstheme="minorHAnsi"/>
          <w:highlight w:val="yellow"/>
        </w:rPr>
      </w:pPr>
      <w:r w:rsidRPr="001571CA">
        <w:rPr>
          <w:rStyle w:val="FootnoteReference"/>
          <w:rFonts w:cstheme="minorHAnsi"/>
        </w:rPr>
        <w:footnoteRef/>
      </w:r>
      <w:r w:rsidRPr="001571CA">
        <w:rPr>
          <w:rFonts w:cstheme="minorHAnsi"/>
          <w:rtl/>
        </w:rPr>
        <w:t xml:space="preserve"> </w:t>
      </w:r>
      <w:r w:rsidRPr="001571CA">
        <w:rPr>
          <w:rFonts w:cstheme="minorHAnsi"/>
        </w:rPr>
        <w:t xml:space="preserve">According to police data that was provided to Kayan. </w:t>
      </w:r>
    </w:p>
  </w:footnote>
  <w:footnote w:id="10">
    <w:p w14:paraId="1858CA98" w14:textId="6AC34AB2" w:rsidR="00E54FA9" w:rsidRPr="001571CA" w:rsidRDefault="00E54FA9" w:rsidP="003D7718">
      <w:pPr>
        <w:pStyle w:val="FootnoteText"/>
        <w:rPr>
          <w:rFonts w:cstheme="minorHAnsi"/>
          <w:lang w:bidi="ar-JO"/>
        </w:rPr>
      </w:pPr>
      <w:r w:rsidRPr="001571CA">
        <w:rPr>
          <w:rStyle w:val="FootnoteReference"/>
          <w:rFonts w:cstheme="minorHAnsi"/>
        </w:rPr>
        <w:footnoteRef/>
      </w:r>
      <w:r w:rsidR="004B43E1" w:rsidRPr="001571CA">
        <w:rPr>
          <w:rFonts w:cstheme="minorHAnsi"/>
        </w:rPr>
        <w:t xml:space="preserve"> The study, published in April 2021, was titled “Femicide: A Grim Reality and Possibilities for Resistance”. A summary in English starts on page 86 and is available here: </w:t>
      </w:r>
      <w:hyperlink r:id="rId3" w:history="1">
        <w:r w:rsidR="004B43E1" w:rsidRPr="001571CA">
          <w:rPr>
            <w:rStyle w:val="Hyperlink"/>
            <w:rFonts w:cstheme="minorHAnsi"/>
          </w:rPr>
          <w:t>https://bit.ly/3vu41T3</w:t>
        </w:r>
      </w:hyperlink>
      <w:r w:rsidRPr="001571CA">
        <w:rPr>
          <w:rFonts w:cstheme="minorHAnsi"/>
          <w:rtl/>
        </w:rPr>
        <w:t xml:space="preserve"> </w:t>
      </w:r>
    </w:p>
  </w:footnote>
  <w:footnote w:id="11">
    <w:p w14:paraId="249C5A93" w14:textId="1BDE2C16" w:rsidR="00826D62" w:rsidRPr="001571CA" w:rsidRDefault="00826D62" w:rsidP="00826D62">
      <w:pPr>
        <w:pStyle w:val="FootnoteText"/>
        <w:rPr>
          <w:rFonts w:cstheme="minorHAnsi"/>
        </w:rPr>
      </w:pPr>
      <w:r w:rsidRPr="001571CA">
        <w:rPr>
          <w:rStyle w:val="FootnoteReference"/>
          <w:rFonts w:cstheme="minorHAnsi"/>
        </w:rPr>
        <w:footnoteRef/>
      </w:r>
      <w:r w:rsidRPr="001571CA">
        <w:rPr>
          <w:rFonts w:cstheme="minorHAnsi"/>
        </w:rPr>
        <w:t xml:space="preserve"> </w:t>
      </w:r>
      <w:r w:rsidR="004B43E1" w:rsidRPr="001571CA">
        <w:rPr>
          <w:rFonts w:cstheme="minorHAnsi"/>
        </w:rPr>
        <w:t>According to the study linked above (</w:t>
      </w:r>
      <w:hyperlink r:id="rId4" w:history="1">
        <w:r w:rsidR="00E35B4B" w:rsidRPr="001571CA">
          <w:rPr>
            <w:rStyle w:val="Hyperlink"/>
            <w:rFonts w:cstheme="minorHAnsi"/>
          </w:rPr>
          <w:t>https://bit.ly/3vu41T3</w:t>
        </w:r>
      </w:hyperlink>
      <w:r w:rsidR="004B43E1" w:rsidRPr="001571CA">
        <w:rPr>
          <w:rStyle w:val="Hyperlink"/>
          <w:rFonts w:cstheme="minorHAnsi"/>
        </w:rPr>
        <w:t>)</w:t>
      </w:r>
    </w:p>
  </w:footnote>
  <w:footnote w:id="12">
    <w:p w14:paraId="6F046029" w14:textId="354E0EF3" w:rsidR="00E54FA9" w:rsidRPr="001571CA" w:rsidRDefault="00E54FA9" w:rsidP="002A3B3B">
      <w:pPr>
        <w:pStyle w:val="FootnoteText"/>
        <w:rPr>
          <w:rFonts w:cstheme="minorHAnsi"/>
          <w:sz w:val="22"/>
          <w:szCs w:val="22"/>
          <w:lang w:bidi="ar-LB"/>
        </w:rPr>
      </w:pPr>
      <w:r w:rsidRPr="001571CA">
        <w:rPr>
          <w:rStyle w:val="FootnoteReference"/>
          <w:rFonts w:cstheme="minorHAnsi"/>
        </w:rPr>
        <w:footnoteRef/>
      </w:r>
      <w:r w:rsidRPr="001571CA">
        <w:rPr>
          <w:rFonts w:cstheme="minorHAnsi"/>
          <w:rtl/>
        </w:rPr>
        <w:t xml:space="preserve"> </w:t>
      </w:r>
      <w:r w:rsidRPr="001571CA">
        <w:rPr>
          <w:rFonts w:cstheme="minorHAnsi"/>
        </w:rPr>
        <w:t>Police data that were provided to K</w:t>
      </w:r>
      <w:r w:rsidR="00E35B4B" w:rsidRPr="001571CA">
        <w:rPr>
          <w:rFonts w:cstheme="minorHAnsi"/>
        </w:rPr>
        <w:t>ayan</w:t>
      </w:r>
      <w:r w:rsidRPr="001571CA">
        <w:rPr>
          <w:rFonts w:cstheme="minorHAnsi"/>
        </w:rPr>
        <w:t xml:space="preserve">. For further information see the link: </w:t>
      </w:r>
      <w:hyperlink r:id="rId5" w:history="1">
        <w:r w:rsidRPr="001571CA">
          <w:rPr>
            <w:rStyle w:val="Hyperlink"/>
            <w:rFonts w:cstheme="minorHAnsi"/>
            <w:lang w:bidi="ar-LB"/>
          </w:rPr>
          <w:t>https://bit.ly/3OMqktI</w:t>
        </w:r>
      </w:hyperlink>
    </w:p>
  </w:footnote>
  <w:footnote w:id="13">
    <w:p w14:paraId="247D9650" w14:textId="3CFE8C21" w:rsidR="00E35B4B" w:rsidRPr="001571CA" w:rsidRDefault="00E35B4B">
      <w:pPr>
        <w:pStyle w:val="FootnoteText"/>
        <w:rPr>
          <w:rFonts w:cstheme="minorHAnsi"/>
        </w:rPr>
      </w:pPr>
      <w:r w:rsidRPr="001571CA">
        <w:rPr>
          <w:rStyle w:val="FootnoteReference"/>
          <w:rFonts w:cstheme="minorHAnsi"/>
        </w:rPr>
        <w:footnoteRef/>
      </w:r>
      <w:r w:rsidRPr="001571CA">
        <w:rPr>
          <w:rFonts w:cstheme="minorHAnsi"/>
        </w:rPr>
        <w:t xml:space="preserve"> Abu Al-Halawa, L. (2017). Al-</w:t>
      </w:r>
      <w:proofErr w:type="spellStart"/>
      <w:r w:rsidRPr="001571CA">
        <w:rPr>
          <w:rFonts w:cstheme="minorHAnsi"/>
        </w:rPr>
        <w:t>O’nf</w:t>
      </w:r>
      <w:proofErr w:type="spellEnd"/>
      <w:r w:rsidRPr="001571CA">
        <w:rPr>
          <w:rFonts w:cstheme="minorHAnsi"/>
        </w:rPr>
        <w:t xml:space="preserve"> fi al-</w:t>
      </w:r>
      <w:proofErr w:type="spellStart"/>
      <w:r w:rsidRPr="001571CA">
        <w:rPr>
          <w:rFonts w:cstheme="minorHAnsi"/>
        </w:rPr>
        <w:t>mojtama</w:t>
      </w:r>
      <w:proofErr w:type="spellEnd"/>
      <w:r w:rsidRPr="001571CA">
        <w:rPr>
          <w:rFonts w:cstheme="minorHAnsi"/>
        </w:rPr>
        <w:t>’ Al-</w:t>
      </w:r>
      <w:proofErr w:type="spellStart"/>
      <w:r w:rsidRPr="001571CA">
        <w:rPr>
          <w:rFonts w:cstheme="minorHAnsi"/>
        </w:rPr>
        <w:t>Falastini</w:t>
      </w:r>
      <w:proofErr w:type="spellEnd"/>
      <w:r w:rsidRPr="001571CA">
        <w:rPr>
          <w:rFonts w:cstheme="minorHAnsi"/>
        </w:rPr>
        <w:t xml:space="preserve"> fi ad-</w:t>
      </w:r>
      <w:proofErr w:type="spellStart"/>
      <w:r w:rsidRPr="001571CA">
        <w:rPr>
          <w:rFonts w:cstheme="minorHAnsi"/>
        </w:rPr>
        <w:t>dakhel</w:t>
      </w:r>
      <w:proofErr w:type="spellEnd"/>
      <w:r w:rsidRPr="001571CA">
        <w:rPr>
          <w:rFonts w:cstheme="minorHAnsi"/>
        </w:rPr>
        <w:t xml:space="preserve">: fi </w:t>
      </w:r>
      <w:proofErr w:type="spellStart"/>
      <w:r w:rsidRPr="001571CA">
        <w:rPr>
          <w:rFonts w:cstheme="minorHAnsi"/>
        </w:rPr>
        <w:t>darourat</w:t>
      </w:r>
      <w:proofErr w:type="spellEnd"/>
      <w:r w:rsidRPr="001571CA">
        <w:rPr>
          <w:rFonts w:cstheme="minorHAnsi"/>
        </w:rPr>
        <w:t xml:space="preserve"> </w:t>
      </w:r>
      <w:proofErr w:type="spellStart"/>
      <w:r w:rsidRPr="001571CA">
        <w:rPr>
          <w:rFonts w:cstheme="minorHAnsi"/>
        </w:rPr>
        <w:t>a’n</w:t>
      </w:r>
      <w:proofErr w:type="spellEnd"/>
      <w:r w:rsidRPr="001571CA">
        <w:rPr>
          <w:rFonts w:cstheme="minorHAnsi"/>
        </w:rPr>
        <w:t xml:space="preserve"> </w:t>
      </w:r>
      <w:proofErr w:type="spellStart"/>
      <w:r w:rsidRPr="001571CA">
        <w:rPr>
          <w:rFonts w:cstheme="minorHAnsi"/>
        </w:rPr>
        <w:t>yahmi</w:t>
      </w:r>
      <w:proofErr w:type="spellEnd"/>
      <w:r w:rsidRPr="001571CA">
        <w:rPr>
          <w:rFonts w:cstheme="minorHAnsi"/>
        </w:rPr>
        <w:t xml:space="preserve"> al-</w:t>
      </w:r>
      <w:proofErr w:type="spellStart"/>
      <w:r w:rsidRPr="001571CA">
        <w:rPr>
          <w:rFonts w:cstheme="minorHAnsi"/>
        </w:rPr>
        <w:t>mojtama</w:t>
      </w:r>
      <w:proofErr w:type="spellEnd"/>
      <w:r w:rsidRPr="001571CA">
        <w:rPr>
          <w:rFonts w:cstheme="minorHAnsi"/>
        </w:rPr>
        <w:t xml:space="preserve">’ </w:t>
      </w:r>
      <w:proofErr w:type="spellStart"/>
      <w:r w:rsidRPr="001571CA">
        <w:rPr>
          <w:rFonts w:cstheme="minorHAnsi"/>
        </w:rPr>
        <w:t>nafsahu</w:t>
      </w:r>
      <w:proofErr w:type="spellEnd"/>
      <w:r w:rsidRPr="001571CA">
        <w:rPr>
          <w:rFonts w:cstheme="minorHAnsi"/>
        </w:rPr>
        <w:t xml:space="preserve"> men al-</w:t>
      </w:r>
      <w:proofErr w:type="spellStart"/>
      <w:r w:rsidRPr="001571CA">
        <w:rPr>
          <w:rFonts w:cstheme="minorHAnsi"/>
        </w:rPr>
        <w:t>qanoun</w:t>
      </w:r>
      <w:proofErr w:type="spellEnd"/>
      <w:r w:rsidRPr="001571CA">
        <w:rPr>
          <w:rFonts w:cstheme="minorHAnsi"/>
        </w:rPr>
        <w:t xml:space="preserve"> la bel-</w:t>
      </w:r>
      <w:proofErr w:type="spellStart"/>
      <w:r w:rsidRPr="001571CA">
        <w:rPr>
          <w:rFonts w:cstheme="minorHAnsi"/>
        </w:rPr>
        <w:t>qanoun</w:t>
      </w:r>
      <w:proofErr w:type="spellEnd"/>
      <w:r w:rsidRPr="001571CA">
        <w:rPr>
          <w:rFonts w:cstheme="minorHAnsi"/>
        </w:rPr>
        <w:t xml:space="preserve">. [Violence in Palestinian society inside the green line: the need for society to protect itself from the law, not by the law]. </w:t>
      </w:r>
      <w:proofErr w:type="spellStart"/>
      <w:r w:rsidRPr="001571CA">
        <w:rPr>
          <w:rFonts w:cstheme="minorHAnsi"/>
        </w:rPr>
        <w:t>Mada</w:t>
      </w:r>
      <w:proofErr w:type="spellEnd"/>
      <w:r w:rsidRPr="001571CA">
        <w:rPr>
          <w:rFonts w:cstheme="minorHAnsi"/>
        </w:rPr>
        <w:t xml:space="preserve"> al-Carmel, Haifa. </w:t>
      </w:r>
      <w:hyperlink r:id="rId6" w:history="1">
        <w:r w:rsidRPr="001571CA">
          <w:rPr>
            <w:rStyle w:val="Hyperlink"/>
            <w:rFonts w:cstheme="minorHAnsi"/>
          </w:rPr>
          <w:t>https://bit.ly/3MyCEho</w:t>
        </w:r>
      </w:hyperlink>
      <w:r w:rsidRPr="001571CA">
        <w:rPr>
          <w:rFonts w:cstheme="minorHAnsi"/>
        </w:rPr>
        <w:t xml:space="preserve"> </w:t>
      </w:r>
    </w:p>
  </w:footnote>
  <w:footnote w:id="14">
    <w:p w14:paraId="117D6E0F" w14:textId="4A8A5C4C" w:rsidR="00E54FA9" w:rsidRPr="001571CA" w:rsidRDefault="00E54FA9" w:rsidP="00767C9B">
      <w:pPr>
        <w:pStyle w:val="FootnoteText"/>
        <w:rPr>
          <w:rFonts w:cstheme="minorHAnsi"/>
          <w:lang w:bidi="ar-LB"/>
        </w:rPr>
      </w:pPr>
      <w:r w:rsidRPr="001571CA">
        <w:rPr>
          <w:rStyle w:val="FootnoteReference"/>
          <w:rFonts w:cstheme="minorHAnsi"/>
        </w:rPr>
        <w:footnoteRef/>
      </w:r>
      <w:r w:rsidRPr="001571CA">
        <w:rPr>
          <w:rFonts w:cstheme="minorHAnsi"/>
          <w:rtl/>
        </w:rPr>
        <w:t xml:space="preserve"> </w:t>
      </w:r>
      <w:r w:rsidRPr="001571CA">
        <w:rPr>
          <w:rFonts w:cstheme="minorHAnsi"/>
        </w:rPr>
        <w:t xml:space="preserve"> </w:t>
      </w:r>
      <w:r w:rsidRPr="001571CA">
        <w:rPr>
          <w:rFonts w:cstheme="minorHAnsi"/>
          <w:lang w:bidi="ar-LB"/>
        </w:rPr>
        <w:t xml:space="preserve">The information is derived from the Public Prosecution’s response to the petition of </w:t>
      </w:r>
      <w:r w:rsidR="00DA041D" w:rsidRPr="001571CA">
        <w:rPr>
          <w:rFonts w:cstheme="minorHAnsi"/>
          <w:lang w:bidi="ar-LB"/>
        </w:rPr>
        <w:t>Kayan against</w:t>
      </w:r>
      <w:r w:rsidRPr="001571CA">
        <w:rPr>
          <w:rFonts w:cstheme="minorHAnsi"/>
          <w:lang w:bidi="ar-LB"/>
        </w:rPr>
        <w:t xml:space="preserve"> the Police (administrative petition 20-12-56305), which was submitted to the court on April 20, 2021</w:t>
      </w:r>
      <w:r w:rsidRPr="001571CA">
        <w:rPr>
          <w:rFonts w:cstheme="minorHAnsi"/>
          <w:rtl/>
          <w:lang w:bidi="ar-LB"/>
        </w:rPr>
        <w:t>.</w:t>
      </w:r>
      <w:r w:rsidRPr="001571CA">
        <w:rPr>
          <w:rFonts w:cstheme="minorHAnsi"/>
          <w:lang w:bidi="ar-LB"/>
        </w:rPr>
        <w:t xml:space="preserve">  </w:t>
      </w:r>
    </w:p>
  </w:footnote>
  <w:footnote w:id="15">
    <w:p w14:paraId="13F3E27C" w14:textId="38C221AA" w:rsidR="00E54FA9" w:rsidRPr="001571CA" w:rsidRDefault="00E54FA9" w:rsidP="00E54FA9">
      <w:pPr>
        <w:pStyle w:val="FootnoteText"/>
        <w:rPr>
          <w:rFonts w:cstheme="minorHAnsi"/>
        </w:rPr>
      </w:pPr>
      <w:r w:rsidRPr="001571CA">
        <w:rPr>
          <w:rStyle w:val="FootnoteReference"/>
          <w:rFonts w:cstheme="minorHAnsi"/>
        </w:rPr>
        <w:footnoteRef/>
      </w:r>
      <w:r w:rsidRPr="001571CA">
        <w:rPr>
          <w:rFonts w:cstheme="minorHAnsi"/>
        </w:rPr>
        <w:t xml:space="preserve"> According to data that K</w:t>
      </w:r>
      <w:r w:rsidR="00A11B11" w:rsidRPr="001571CA">
        <w:rPr>
          <w:rFonts w:cstheme="minorHAnsi"/>
        </w:rPr>
        <w:t>ayan</w:t>
      </w:r>
      <w:r w:rsidRPr="001571CA">
        <w:rPr>
          <w:rFonts w:cstheme="minorHAnsi"/>
        </w:rPr>
        <w:t xml:space="preserve"> received from the police. More information is available in the press release: </w:t>
      </w:r>
      <w:hyperlink r:id="rId7" w:history="1">
        <w:r w:rsidRPr="001571CA">
          <w:rPr>
            <w:rStyle w:val="Hyperlink"/>
            <w:rFonts w:cstheme="minorHAnsi"/>
          </w:rPr>
          <w:t>https://bit.ly/3zkSVAL</w:t>
        </w:r>
      </w:hyperlink>
    </w:p>
  </w:footnote>
  <w:footnote w:id="16">
    <w:p w14:paraId="0E4468E5" w14:textId="5ABD4B5E" w:rsidR="00E54FA9" w:rsidRPr="001571CA" w:rsidRDefault="00E54FA9" w:rsidP="00E54FA9">
      <w:pPr>
        <w:pStyle w:val="FootnoteText"/>
        <w:rPr>
          <w:rFonts w:cstheme="minorHAnsi"/>
        </w:rPr>
      </w:pPr>
      <w:r w:rsidRPr="001571CA">
        <w:rPr>
          <w:rStyle w:val="FootnoteReference"/>
          <w:rFonts w:cstheme="minorHAnsi"/>
        </w:rPr>
        <w:footnoteRef/>
      </w:r>
      <w:r w:rsidRPr="001571CA">
        <w:rPr>
          <w:rFonts w:cstheme="minorHAnsi"/>
          <w:rtl/>
        </w:rPr>
        <w:t xml:space="preserve"> </w:t>
      </w:r>
      <w:proofErr w:type="gramStart"/>
      <w:r w:rsidR="00623CB9" w:rsidRPr="001571CA">
        <w:rPr>
          <w:rFonts w:cstheme="minorHAnsi"/>
        </w:rPr>
        <w:t>A research</w:t>
      </w:r>
      <w:proofErr w:type="gramEnd"/>
      <w:r w:rsidR="00623CB9" w:rsidRPr="001571CA">
        <w:rPr>
          <w:rFonts w:cstheme="minorHAnsi"/>
        </w:rPr>
        <w:t xml:space="preserve"> conducted by</w:t>
      </w:r>
      <w:r w:rsidRPr="001571CA">
        <w:rPr>
          <w:rFonts w:cstheme="minorHAnsi"/>
        </w:rPr>
        <w:t xml:space="preserve"> </w:t>
      </w:r>
      <w:r w:rsidR="00623CB9" w:rsidRPr="001571CA">
        <w:rPr>
          <w:rFonts w:cstheme="minorHAnsi"/>
        </w:rPr>
        <w:t xml:space="preserve">the </w:t>
      </w:r>
      <w:r w:rsidRPr="001571CA">
        <w:rPr>
          <w:rFonts w:cstheme="minorHAnsi"/>
        </w:rPr>
        <w:t xml:space="preserve">Institute for Zionist Strategies shows that between 2003-2017, public trust in police institution among Palestinian citizens has been declining, and in 2017, 61% of them were not satisfied with the police activity in their towns as opposed to 54% of Jewish citizens. The research reviewed surveys about public trust in Israeli police among Palestinians over 15 years. A summary in English available in the link: </w:t>
      </w:r>
      <w:hyperlink r:id="rId8" w:history="1">
        <w:r w:rsidRPr="001571CA">
          <w:rPr>
            <w:rStyle w:val="Hyperlink"/>
            <w:rFonts w:cstheme="minorHAnsi"/>
          </w:rPr>
          <w:t>https://www.izs.org.il/2019/01/law-enforcement-in-the-arab-sector/</w:t>
        </w:r>
      </w:hyperlink>
      <w:r w:rsidRPr="001571CA">
        <w:rPr>
          <w:rFonts w:cstheme="minorHAnsi"/>
        </w:rPr>
        <w:t xml:space="preserve">. For the full report (Hebrew) see the link: </w:t>
      </w:r>
      <w:hyperlink r:id="rId9" w:history="1">
        <w:r w:rsidRPr="001571CA">
          <w:rPr>
            <w:rStyle w:val="Hyperlink"/>
            <w:rFonts w:cstheme="minorHAnsi"/>
          </w:rPr>
          <w:t>https://bit.ly/3SbMubT</w:t>
        </w:r>
      </w:hyperlink>
      <w:r w:rsidRPr="001571CA">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57B0" w14:textId="65C3A55D" w:rsidR="00E771DF" w:rsidRDefault="002E663C" w:rsidP="00FE651F">
    <w:pPr>
      <w:pStyle w:val="Header"/>
      <w:jc w:val="center"/>
    </w:pPr>
    <w:sdt>
      <w:sdtPr>
        <w:id w:val="1691255808"/>
        <w:docPartObj>
          <w:docPartGallery w:val="Page Numbers (Margins)"/>
          <w:docPartUnique/>
        </w:docPartObj>
      </w:sdtPr>
      <w:sdtEndPr/>
      <w:sdtContent>
        <w:r w:rsidR="006D13E5">
          <w:rPr>
            <w:noProof/>
          </w:rPr>
          <mc:AlternateContent>
            <mc:Choice Requires="wps">
              <w:drawing>
                <wp:anchor distT="0" distB="0" distL="114300" distR="114300" simplePos="0" relativeHeight="251659264" behindDoc="0" locked="0" layoutInCell="0" allowOverlap="1" wp14:anchorId="4B18993C" wp14:editId="061A7185">
                  <wp:simplePos x="0" y="0"/>
                  <wp:positionH relativeFrom="rightMargin">
                    <wp:align>center</wp:align>
                  </wp:positionH>
                  <wp:positionV relativeFrom="margin">
                    <wp:align>bottom</wp:align>
                  </wp:positionV>
                  <wp:extent cx="510540" cy="218313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B6E96" w14:textId="77777777" w:rsidR="006D13E5" w:rsidRDefault="006D13E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sidR="005F061A" w:rsidRPr="005F061A">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B18993C" id="Rectangle 6"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9BB6E96" w14:textId="77777777" w:rsidR="006D13E5" w:rsidRDefault="006D13E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sidR="005F061A" w:rsidRPr="005F061A">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CA09" w14:textId="546519A2" w:rsidR="005A2F45" w:rsidRDefault="005A2F45" w:rsidP="00C658EF">
    <w:pPr>
      <w:pStyle w:val="Header"/>
      <w:jc w:val="center"/>
    </w:pPr>
    <w:r>
      <w:rPr>
        <w:noProof/>
      </w:rPr>
      <w:drawing>
        <wp:inline distT="0" distB="0" distL="0" distR="0" wp14:anchorId="45953624" wp14:editId="084AD833">
          <wp:extent cx="1333500" cy="1346200"/>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1dpi.png"/>
                  <pic:cNvPicPr/>
                </pic:nvPicPr>
                <pic:blipFill>
                  <a:blip r:embed="rId1">
                    <a:extLst>
                      <a:ext uri="{28A0092B-C50C-407E-A947-70E740481C1C}">
                        <a14:useLocalDpi xmlns:a14="http://schemas.microsoft.com/office/drawing/2010/main" val="0"/>
                      </a:ext>
                    </a:extLst>
                  </a:blip>
                  <a:stretch>
                    <a:fillRect/>
                  </a:stretch>
                </pic:blipFill>
                <pic:spPr>
                  <a:xfrm>
                    <a:off x="0" y="0"/>
                    <a:ext cx="1333500" cy="1346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142"/>
    <w:multiLevelType w:val="hybridMultilevel"/>
    <w:tmpl w:val="22043FD0"/>
    <w:lvl w:ilvl="0" w:tplc="231EACF8">
      <w:start w:val="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63D"/>
    <w:multiLevelType w:val="hybridMultilevel"/>
    <w:tmpl w:val="AD807BB6"/>
    <w:lvl w:ilvl="0" w:tplc="81F056F2">
      <w:start w:val="1"/>
      <w:numFmt w:val="upperRoman"/>
      <w:lvlText w:val="(%1)"/>
      <w:lvlJc w:val="left"/>
      <w:pPr>
        <w:ind w:left="1080" w:hanging="72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05E34"/>
    <w:multiLevelType w:val="hybridMultilevel"/>
    <w:tmpl w:val="68C48F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B18A1"/>
    <w:multiLevelType w:val="hybridMultilevel"/>
    <w:tmpl w:val="69C42186"/>
    <w:lvl w:ilvl="0" w:tplc="7D246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87829"/>
    <w:multiLevelType w:val="hybridMultilevel"/>
    <w:tmpl w:val="E020F088"/>
    <w:lvl w:ilvl="0" w:tplc="12DE408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A3B61"/>
    <w:multiLevelType w:val="hybridMultilevel"/>
    <w:tmpl w:val="28EA0EAC"/>
    <w:lvl w:ilvl="0" w:tplc="06763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557CDD"/>
    <w:multiLevelType w:val="hybridMultilevel"/>
    <w:tmpl w:val="69C42186"/>
    <w:lvl w:ilvl="0" w:tplc="7D246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7964EB"/>
    <w:multiLevelType w:val="hybridMultilevel"/>
    <w:tmpl w:val="EED272D8"/>
    <w:lvl w:ilvl="0" w:tplc="E384F812">
      <w:start w:val="1"/>
      <w:numFmt w:val="upperLetter"/>
      <w:lvlText w:val="%1-"/>
      <w:lvlJc w:val="left"/>
      <w:pPr>
        <w:ind w:left="420" w:hanging="360"/>
      </w:pPr>
      <w:rPr>
        <w:rFonts w:hint="default"/>
      </w:rPr>
    </w:lvl>
    <w:lvl w:ilvl="1" w:tplc="6D5E1916">
      <w:start w:val="1"/>
      <w:numFmt w:val="upperLetter"/>
      <w:lvlText w:val="%2."/>
      <w:lvlJc w:val="left"/>
      <w:pPr>
        <w:ind w:left="1650" w:hanging="87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799F09CA"/>
    <w:multiLevelType w:val="hybridMultilevel"/>
    <w:tmpl w:val="7EB6B1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30CD0"/>
    <w:multiLevelType w:val="hybridMultilevel"/>
    <w:tmpl w:val="B1CEB746"/>
    <w:lvl w:ilvl="0" w:tplc="06763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674350">
    <w:abstractNumId w:val="2"/>
  </w:num>
  <w:num w:numId="2" w16cid:durableId="244800482">
    <w:abstractNumId w:val="7"/>
  </w:num>
  <w:num w:numId="3" w16cid:durableId="461583630">
    <w:abstractNumId w:val="0"/>
  </w:num>
  <w:num w:numId="4" w16cid:durableId="912279880">
    <w:abstractNumId w:val="4"/>
  </w:num>
  <w:num w:numId="5" w16cid:durableId="870919366">
    <w:abstractNumId w:val="8"/>
  </w:num>
  <w:num w:numId="6" w16cid:durableId="1583219926">
    <w:abstractNumId w:val="1"/>
  </w:num>
  <w:num w:numId="7" w16cid:durableId="657617027">
    <w:abstractNumId w:val="6"/>
  </w:num>
  <w:num w:numId="8" w16cid:durableId="1087265957">
    <w:abstractNumId w:val="3"/>
  </w:num>
  <w:num w:numId="9" w16cid:durableId="657347147">
    <w:abstractNumId w:val="9"/>
  </w:num>
  <w:num w:numId="10" w16cid:durableId="954991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JO"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6" w:nlCheck="1" w:checkStyle="0"/>
  <w:activeWritingStyle w:appName="MSWord" w:lang="en-GB" w:vendorID="64" w:dllVersion="0" w:nlCheck="1" w:checkStyle="0"/>
  <w:activeWritingStyle w:appName="MSWord" w:lang="en-US" w:vendorID="64" w:dllVersion="0" w:nlCheck="1" w:checkStyle="0"/>
  <w:activeWritingStyle w:appName="MSWord" w:lang="ar-SY" w:vendorID="64" w:dllVersion="6" w:nlCheck="1" w:checkStyle="0"/>
  <w:proofState w:spelling="clean" w:grammar="clean"/>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wNzUwsrA0MbYwMTRR0lEKTi0uzszPAykwrQUAoKoM6SwAAAA="/>
  </w:docVars>
  <w:rsids>
    <w:rsidRoot w:val="007279DA"/>
    <w:rsid w:val="00005DA9"/>
    <w:rsid w:val="000062CA"/>
    <w:rsid w:val="0001630C"/>
    <w:rsid w:val="00017A8C"/>
    <w:rsid w:val="0002304E"/>
    <w:rsid w:val="000251C7"/>
    <w:rsid w:val="00045434"/>
    <w:rsid w:val="00054C4B"/>
    <w:rsid w:val="000668E0"/>
    <w:rsid w:val="000B37BA"/>
    <w:rsid w:val="000C373F"/>
    <w:rsid w:val="000D6B0A"/>
    <w:rsid w:val="000E481C"/>
    <w:rsid w:val="00130526"/>
    <w:rsid w:val="0013400E"/>
    <w:rsid w:val="00154833"/>
    <w:rsid w:val="001571CA"/>
    <w:rsid w:val="00165268"/>
    <w:rsid w:val="00166102"/>
    <w:rsid w:val="00167FCA"/>
    <w:rsid w:val="00173239"/>
    <w:rsid w:val="00174386"/>
    <w:rsid w:val="001A57BC"/>
    <w:rsid w:val="001B6EE1"/>
    <w:rsid w:val="001B7997"/>
    <w:rsid w:val="001F1D6F"/>
    <w:rsid w:val="002577F5"/>
    <w:rsid w:val="00274634"/>
    <w:rsid w:val="002A3B3B"/>
    <w:rsid w:val="002D40A9"/>
    <w:rsid w:val="002E1842"/>
    <w:rsid w:val="002E663C"/>
    <w:rsid w:val="003031BC"/>
    <w:rsid w:val="0031060E"/>
    <w:rsid w:val="00311F1B"/>
    <w:rsid w:val="0031688E"/>
    <w:rsid w:val="00316D55"/>
    <w:rsid w:val="00324C45"/>
    <w:rsid w:val="00341CDC"/>
    <w:rsid w:val="0034262E"/>
    <w:rsid w:val="00353775"/>
    <w:rsid w:val="00371457"/>
    <w:rsid w:val="003B301F"/>
    <w:rsid w:val="003B7AF7"/>
    <w:rsid w:val="003D7718"/>
    <w:rsid w:val="003F345B"/>
    <w:rsid w:val="004007DA"/>
    <w:rsid w:val="00421B2F"/>
    <w:rsid w:val="0045132B"/>
    <w:rsid w:val="0045412B"/>
    <w:rsid w:val="004613C3"/>
    <w:rsid w:val="00485E58"/>
    <w:rsid w:val="004926B2"/>
    <w:rsid w:val="00496E46"/>
    <w:rsid w:val="004A67A3"/>
    <w:rsid w:val="004A6CDB"/>
    <w:rsid w:val="004B43E1"/>
    <w:rsid w:val="004C645E"/>
    <w:rsid w:val="004C6C98"/>
    <w:rsid w:val="004D2BD7"/>
    <w:rsid w:val="004D785D"/>
    <w:rsid w:val="004E3710"/>
    <w:rsid w:val="004F5F5B"/>
    <w:rsid w:val="00510D23"/>
    <w:rsid w:val="0052053E"/>
    <w:rsid w:val="00522E74"/>
    <w:rsid w:val="00525041"/>
    <w:rsid w:val="005318DB"/>
    <w:rsid w:val="0055433B"/>
    <w:rsid w:val="00557B5B"/>
    <w:rsid w:val="00572D88"/>
    <w:rsid w:val="00574F91"/>
    <w:rsid w:val="005A2F45"/>
    <w:rsid w:val="005C3DDD"/>
    <w:rsid w:val="005C524A"/>
    <w:rsid w:val="005E13D9"/>
    <w:rsid w:val="005E5B14"/>
    <w:rsid w:val="005E6D3F"/>
    <w:rsid w:val="005F0126"/>
    <w:rsid w:val="005F061A"/>
    <w:rsid w:val="005F338C"/>
    <w:rsid w:val="00623CB9"/>
    <w:rsid w:val="0063066B"/>
    <w:rsid w:val="006477E8"/>
    <w:rsid w:val="00661443"/>
    <w:rsid w:val="00666162"/>
    <w:rsid w:val="006718BB"/>
    <w:rsid w:val="006A0EDA"/>
    <w:rsid w:val="006A752D"/>
    <w:rsid w:val="006D13E5"/>
    <w:rsid w:val="006D4732"/>
    <w:rsid w:val="006E5D5F"/>
    <w:rsid w:val="006F4B6E"/>
    <w:rsid w:val="007279DA"/>
    <w:rsid w:val="00737C05"/>
    <w:rsid w:val="00742A5B"/>
    <w:rsid w:val="00743EAC"/>
    <w:rsid w:val="0074653A"/>
    <w:rsid w:val="00750AEC"/>
    <w:rsid w:val="00761673"/>
    <w:rsid w:val="00767C9B"/>
    <w:rsid w:val="007971D4"/>
    <w:rsid w:val="007C77F0"/>
    <w:rsid w:val="007D6DC6"/>
    <w:rsid w:val="0081375E"/>
    <w:rsid w:val="00826D62"/>
    <w:rsid w:val="008344F7"/>
    <w:rsid w:val="00836EDE"/>
    <w:rsid w:val="00842A36"/>
    <w:rsid w:val="00864A39"/>
    <w:rsid w:val="008777F2"/>
    <w:rsid w:val="008B7B62"/>
    <w:rsid w:val="008C01EF"/>
    <w:rsid w:val="008C5749"/>
    <w:rsid w:val="008E10C6"/>
    <w:rsid w:val="008F2734"/>
    <w:rsid w:val="008F2ACA"/>
    <w:rsid w:val="008F5C9C"/>
    <w:rsid w:val="009032DF"/>
    <w:rsid w:val="009132F6"/>
    <w:rsid w:val="009537EC"/>
    <w:rsid w:val="009628F5"/>
    <w:rsid w:val="00986216"/>
    <w:rsid w:val="009A3C0E"/>
    <w:rsid w:val="009C73FD"/>
    <w:rsid w:val="009D41F5"/>
    <w:rsid w:val="009D5BFD"/>
    <w:rsid w:val="009E220D"/>
    <w:rsid w:val="009E79DC"/>
    <w:rsid w:val="009F4E10"/>
    <w:rsid w:val="00A02078"/>
    <w:rsid w:val="00A02461"/>
    <w:rsid w:val="00A11B11"/>
    <w:rsid w:val="00A16B2A"/>
    <w:rsid w:val="00A22CD1"/>
    <w:rsid w:val="00A30844"/>
    <w:rsid w:val="00A3088E"/>
    <w:rsid w:val="00A36386"/>
    <w:rsid w:val="00A45003"/>
    <w:rsid w:val="00A46DA6"/>
    <w:rsid w:val="00A54632"/>
    <w:rsid w:val="00A551FF"/>
    <w:rsid w:val="00A63965"/>
    <w:rsid w:val="00AC4003"/>
    <w:rsid w:val="00AC696D"/>
    <w:rsid w:val="00AF3FFE"/>
    <w:rsid w:val="00B337FE"/>
    <w:rsid w:val="00B831F1"/>
    <w:rsid w:val="00BB167A"/>
    <w:rsid w:val="00BB7CA4"/>
    <w:rsid w:val="00BC57C3"/>
    <w:rsid w:val="00C117AC"/>
    <w:rsid w:val="00C2591E"/>
    <w:rsid w:val="00C25E41"/>
    <w:rsid w:val="00C35AA0"/>
    <w:rsid w:val="00C420C9"/>
    <w:rsid w:val="00C4542A"/>
    <w:rsid w:val="00C619A6"/>
    <w:rsid w:val="00C658EF"/>
    <w:rsid w:val="00C67D32"/>
    <w:rsid w:val="00C80FF7"/>
    <w:rsid w:val="00C947EE"/>
    <w:rsid w:val="00C97576"/>
    <w:rsid w:val="00CC0CC9"/>
    <w:rsid w:val="00CD0235"/>
    <w:rsid w:val="00CD637A"/>
    <w:rsid w:val="00CF05FC"/>
    <w:rsid w:val="00D025CC"/>
    <w:rsid w:val="00D35F78"/>
    <w:rsid w:val="00D42630"/>
    <w:rsid w:val="00D85F60"/>
    <w:rsid w:val="00D952EE"/>
    <w:rsid w:val="00DA041D"/>
    <w:rsid w:val="00DC403D"/>
    <w:rsid w:val="00DD55DA"/>
    <w:rsid w:val="00E242AC"/>
    <w:rsid w:val="00E35B4B"/>
    <w:rsid w:val="00E37D45"/>
    <w:rsid w:val="00E54FA9"/>
    <w:rsid w:val="00E63177"/>
    <w:rsid w:val="00E771DF"/>
    <w:rsid w:val="00EA2B66"/>
    <w:rsid w:val="00EB3055"/>
    <w:rsid w:val="00EB7EFA"/>
    <w:rsid w:val="00EE1C7F"/>
    <w:rsid w:val="00EE4E22"/>
    <w:rsid w:val="00F21EB5"/>
    <w:rsid w:val="00F314F3"/>
    <w:rsid w:val="00F40AAF"/>
    <w:rsid w:val="00F41568"/>
    <w:rsid w:val="00F4396D"/>
    <w:rsid w:val="00F511A1"/>
    <w:rsid w:val="00F63ECA"/>
    <w:rsid w:val="00F80F27"/>
    <w:rsid w:val="00F84298"/>
    <w:rsid w:val="00F93D2A"/>
    <w:rsid w:val="00FB7C1E"/>
    <w:rsid w:val="00FE3740"/>
    <w:rsid w:val="00FE6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962CD"/>
  <w15:docId w15:val="{08094739-3402-43DD-B20A-94B476EF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1DF"/>
    <w:pPr>
      <w:tabs>
        <w:tab w:val="center" w:pos="4680"/>
        <w:tab w:val="right" w:pos="9360"/>
      </w:tabs>
    </w:pPr>
  </w:style>
  <w:style w:type="character" w:customStyle="1" w:styleId="HeaderChar">
    <w:name w:val="Header Char"/>
    <w:basedOn w:val="DefaultParagraphFont"/>
    <w:link w:val="Header"/>
    <w:uiPriority w:val="99"/>
    <w:rsid w:val="00E771DF"/>
  </w:style>
  <w:style w:type="paragraph" w:styleId="Footer">
    <w:name w:val="footer"/>
    <w:basedOn w:val="Normal"/>
    <w:link w:val="FooterChar"/>
    <w:uiPriority w:val="99"/>
    <w:unhideWhenUsed/>
    <w:rsid w:val="00E771DF"/>
    <w:pPr>
      <w:tabs>
        <w:tab w:val="center" w:pos="4680"/>
        <w:tab w:val="right" w:pos="9360"/>
      </w:tabs>
    </w:pPr>
  </w:style>
  <w:style w:type="character" w:customStyle="1" w:styleId="FooterChar">
    <w:name w:val="Footer Char"/>
    <w:basedOn w:val="DefaultParagraphFont"/>
    <w:link w:val="Footer"/>
    <w:uiPriority w:val="99"/>
    <w:rsid w:val="00E771DF"/>
  </w:style>
  <w:style w:type="paragraph" w:styleId="FootnoteText">
    <w:name w:val="footnote text"/>
    <w:basedOn w:val="Normal"/>
    <w:link w:val="FootnoteTextChar"/>
    <w:uiPriority w:val="99"/>
    <w:semiHidden/>
    <w:unhideWhenUsed/>
    <w:rsid w:val="006477E8"/>
    <w:rPr>
      <w:sz w:val="20"/>
      <w:szCs w:val="20"/>
    </w:rPr>
  </w:style>
  <w:style w:type="character" w:customStyle="1" w:styleId="FootnoteTextChar">
    <w:name w:val="Footnote Text Char"/>
    <w:basedOn w:val="DefaultParagraphFont"/>
    <w:link w:val="FootnoteText"/>
    <w:uiPriority w:val="99"/>
    <w:semiHidden/>
    <w:rsid w:val="006477E8"/>
    <w:rPr>
      <w:sz w:val="20"/>
      <w:szCs w:val="20"/>
    </w:rPr>
  </w:style>
  <w:style w:type="paragraph" w:styleId="CommentText">
    <w:name w:val="annotation text"/>
    <w:basedOn w:val="Normal"/>
    <w:link w:val="CommentTextChar"/>
    <w:uiPriority w:val="99"/>
    <w:unhideWhenUsed/>
    <w:rsid w:val="006477E8"/>
    <w:rPr>
      <w:sz w:val="20"/>
      <w:szCs w:val="20"/>
    </w:rPr>
  </w:style>
  <w:style w:type="character" w:customStyle="1" w:styleId="CommentTextChar">
    <w:name w:val="Comment Text Char"/>
    <w:basedOn w:val="DefaultParagraphFont"/>
    <w:link w:val="CommentText"/>
    <w:uiPriority w:val="99"/>
    <w:rsid w:val="006477E8"/>
    <w:rPr>
      <w:sz w:val="20"/>
      <w:szCs w:val="20"/>
    </w:rPr>
  </w:style>
  <w:style w:type="character" w:customStyle="1" w:styleId="Hyperlink1">
    <w:name w:val="Hyperlink1"/>
    <w:basedOn w:val="DefaultParagraphFont"/>
    <w:uiPriority w:val="99"/>
    <w:unhideWhenUsed/>
    <w:rsid w:val="006477E8"/>
    <w:rPr>
      <w:color w:val="0563C1"/>
      <w:u w:val="single"/>
    </w:rPr>
  </w:style>
  <w:style w:type="character" w:styleId="FootnoteReference">
    <w:name w:val="footnote reference"/>
    <w:basedOn w:val="DefaultParagraphFont"/>
    <w:uiPriority w:val="99"/>
    <w:semiHidden/>
    <w:unhideWhenUsed/>
    <w:rsid w:val="006477E8"/>
    <w:rPr>
      <w:vertAlign w:val="superscript"/>
    </w:rPr>
  </w:style>
  <w:style w:type="character" w:customStyle="1" w:styleId="Hyperlink2">
    <w:name w:val="Hyperlink2"/>
    <w:basedOn w:val="DefaultParagraphFont"/>
    <w:uiPriority w:val="99"/>
    <w:unhideWhenUsed/>
    <w:rsid w:val="006477E8"/>
    <w:rPr>
      <w:color w:val="0000FF"/>
      <w:u w:val="single"/>
    </w:rPr>
  </w:style>
  <w:style w:type="character" w:styleId="Hyperlink">
    <w:name w:val="Hyperlink"/>
    <w:basedOn w:val="DefaultParagraphFont"/>
    <w:uiPriority w:val="99"/>
    <w:unhideWhenUsed/>
    <w:rsid w:val="006477E8"/>
    <w:rPr>
      <w:color w:val="0563C1" w:themeColor="hyperlink"/>
      <w:u w:val="single"/>
    </w:rPr>
  </w:style>
  <w:style w:type="paragraph" w:styleId="Revision">
    <w:name w:val="Revision"/>
    <w:hidden/>
    <w:uiPriority w:val="99"/>
    <w:semiHidden/>
    <w:rsid w:val="00CD637A"/>
  </w:style>
  <w:style w:type="paragraph" w:styleId="BalloonText">
    <w:name w:val="Balloon Text"/>
    <w:basedOn w:val="Normal"/>
    <w:link w:val="BalloonTextChar"/>
    <w:uiPriority w:val="99"/>
    <w:semiHidden/>
    <w:unhideWhenUsed/>
    <w:rsid w:val="001F1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6F"/>
    <w:rPr>
      <w:rFonts w:ascii="Segoe UI" w:hAnsi="Segoe UI" w:cs="Segoe UI"/>
      <w:sz w:val="18"/>
      <w:szCs w:val="18"/>
    </w:rPr>
  </w:style>
  <w:style w:type="paragraph" w:styleId="ListParagraph">
    <w:name w:val="List Paragraph"/>
    <w:basedOn w:val="Normal"/>
    <w:uiPriority w:val="34"/>
    <w:qFormat/>
    <w:rsid w:val="00316D55"/>
    <w:pPr>
      <w:ind w:left="720"/>
      <w:contextualSpacing/>
    </w:pPr>
  </w:style>
  <w:style w:type="paragraph" w:styleId="EndnoteText">
    <w:name w:val="endnote text"/>
    <w:basedOn w:val="Normal"/>
    <w:link w:val="EndnoteTextChar"/>
    <w:uiPriority w:val="99"/>
    <w:semiHidden/>
    <w:unhideWhenUsed/>
    <w:rsid w:val="002A3B3B"/>
    <w:rPr>
      <w:sz w:val="20"/>
      <w:szCs w:val="20"/>
    </w:rPr>
  </w:style>
  <w:style w:type="character" w:customStyle="1" w:styleId="EndnoteTextChar">
    <w:name w:val="Endnote Text Char"/>
    <w:basedOn w:val="DefaultParagraphFont"/>
    <w:link w:val="EndnoteText"/>
    <w:uiPriority w:val="99"/>
    <w:semiHidden/>
    <w:rsid w:val="002A3B3B"/>
    <w:rPr>
      <w:sz w:val="20"/>
      <w:szCs w:val="20"/>
    </w:rPr>
  </w:style>
  <w:style w:type="character" w:styleId="EndnoteReference">
    <w:name w:val="endnote reference"/>
    <w:basedOn w:val="DefaultParagraphFont"/>
    <w:uiPriority w:val="99"/>
    <w:semiHidden/>
    <w:unhideWhenUsed/>
    <w:rsid w:val="002A3B3B"/>
    <w:rPr>
      <w:vertAlign w:val="superscript"/>
    </w:rPr>
  </w:style>
  <w:style w:type="character" w:styleId="CommentReference">
    <w:name w:val="annotation reference"/>
    <w:basedOn w:val="DefaultParagraphFont"/>
    <w:uiPriority w:val="99"/>
    <w:semiHidden/>
    <w:unhideWhenUsed/>
    <w:rsid w:val="002D40A9"/>
    <w:rPr>
      <w:sz w:val="16"/>
      <w:szCs w:val="16"/>
    </w:rPr>
  </w:style>
  <w:style w:type="paragraph" w:styleId="CommentSubject">
    <w:name w:val="annotation subject"/>
    <w:basedOn w:val="CommentText"/>
    <w:next w:val="CommentText"/>
    <w:link w:val="CommentSubjectChar"/>
    <w:uiPriority w:val="99"/>
    <w:semiHidden/>
    <w:unhideWhenUsed/>
    <w:rsid w:val="002D40A9"/>
    <w:rPr>
      <w:b/>
      <w:bCs/>
    </w:rPr>
  </w:style>
  <w:style w:type="character" w:customStyle="1" w:styleId="CommentSubjectChar">
    <w:name w:val="Comment Subject Char"/>
    <w:basedOn w:val="CommentTextChar"/>
    <w:link w:val="CommentSubject"/>
    <w:uiPriority w:val="99"/>
    <w:semiHidden/>
    <w:rsid w:val="002D40A9"/>
    <w:rPr>
      <w:b/>
      <w:bCs/>
      <w:sz w:val="20"/>
      <w:szCs w:val="20"/>
    </w:rPr>
  </w:style>
  <w:style w:type="character" w:customStyle="1" w:styleId="UnresolvedMention1">
    <w:name w:val="Unresolved Mention1"/>
    <w:basedOn w:val="DefaultParagraphFont"/>
    <w:uiPriority w:val="99"/>
    <w:semiHidden/>
    <w:unhideWhenUsed/>
    <w:rsid w:val="00C25E41"/>
    <w:rPr>
      <w:color w:val="605E5C"/>
      <w:shd w:val="clear" w:color="auto" w:fill="E1DFDD"/>
    </w:rPr>
  </w:style>
  <w:style w:type="character" w:styleId="FollowedHyperlink">
    <w:name w:val="FollowedHyperlink"/>
    <w:basedOn w:val="DefaultParagraphFont"/>
    <w:uiPriority w:val="99"/>
    <w:semiHidden/>
    <w:unhideWhenUsed/>
    <w:rsid w:val="006E5D5F"/>
    <w:rPr>
      <w:color w:val="954F72" w:themeColor="followedHyperlink"/>
      <w:u w:val="single"/>
    </w:rPr>
  </w:style>
  <w:style w:type="character" w:styleId="UnresolvedMention">
    <w:name w:val="Unresolved Mention"/>
    <w:basedOn w:val="DefaultParagraphFont"/>
    <w:uiPriority w:val="99"/>
    <w:semiHidden/>
    <w:unhideWhenUsed/>
    <w:rsid w:val="00E3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zs.org.il/2019/01/law-enforcement-in-the-arab-sector/" TargetMode="External"/><Relationship Id="rId3" Type="http://schemas.openxmlformats.org/officeDocument/2006/relationships/hyperlink" Target="https://bit.ly/3vu41T3" TargetMode="External"/><Relationship Id="rId7" Type="http://schemas.openxmlformats.org/officeDocument/2006/relationships/hyperlink" Target="https://bit.ly/3zkSVAL" TargetMode="External"/><Relationship Id="rId2" Type="http://schemas.openxmlformats.org/officeDocument/2006/relationships/hyperlink" Target="https://www.kayanfeminist.org/category/personal-status?page=2" TargetMode="External"/><Relationship Id="rId1" Type="http://schemas.openxmlformats.org/officeDocument/2006/relationships/hyperlink" Target="https://www.kayanfeminist.org/sites/default/files/publications/Submission%20by%20Kayan%20to%20the%20ICCPR%20134%20Session-Fainal.pdf" TargetMode="External"/><Relationship Id="rId6" Type="http://schemas.openxmlformats.org/officeDocument/2006/relationships/hyperlink" Target="https://bit.ly/3MyCEho" TargetMode="External"/><Relationship Id="rId5" Type="http://schemas.openxmlformats.org/officeDocument/2006/relationships/hyperlink" Target="https://bit.ly/3OMqktI" TargetMode="External"/><Relationship Id="rId4" Type="http://schemas.openxmlformats.org/officeDocument/2006/relationships/hyperlink" Target="https://bit.ly/3vu41T3" TargetMode="External"/><Relationship Id="rId9" Type="http://schemas.openxmlformats.org/officeDocument/2006/relationships/hyperlink" Target="https://bit.ly/3SbMub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kayan%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EB916-3E76-4424-9B7B-39E998C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kayan (6).dotx</Template>
  <TotalTime>76</TotalTime>
  <Pages>7</Pages>
  <Words>2360</Words>
  <Characters>13456</Characters>
  <Application>Microsoft Office Word</Application>
  <DocSecurity>0</DocSecurity>
  <Lines>112</Lines>
  <Paragraphs>31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Leandra Hettenbach</cp:lastModifiedBy>
  <cp:revision>39</cp:revision>
  <cp:lastPrinted>2022-10-07T16:05:00Z</cp:lastPrinted>
  <dcterms:created xsi:type="dcterms:W3CDTF">2022-10-10T11:30:00Z</dcterms:created>
  <dcterms:modified xsi:type="dcterms:W3CDTF">2022-10-10T13:09:00Z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2d845debe0362ac9ca6db7e79e4c1fcbfc08566ce6d136491e6445d5a54909cd</vt:lpwstr>
  </property>
</Properties>
</file>