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0" w:type="auto"/>
        <w:jc w:val="center"/>
        <w:tblLayout w:type="fixed"/>
        <w:tblCellMar>
          <w:top w:w="0" w:type="dxa"/>
          <w:left w:w="108" w:type="dxa"/>
          <w:bottom w:w="0" w:type="dxa"/>
          <w:right w:w="108" w:type="dxa"/>
        </w:tblCellMar>
      </w:tblPr>
      <w:tblGrid>
        <w:gridCol w:w="9866"/>
      </w:tblGrid>
      <w:tr w14:paraId="2BED3FBD">
        <w:tblPrEx>
          <w:tblCellMar>
            <w:top w:w="0" w:type="dxa"/>
            <w:left w:w="108" w:type="dxa"/>
            <w:bottom w:w="0" w:type="dxa"/>
            <w:right w:w="108" w:type="dxa"/>
          </w:tblCellMar>
        </w:tblPrEx>
        <w:trPr>
          <w:jc w:val="center"/>
        </w:trPr>
        <w:tc>
          <w:tcPr>
            <w:tcW w:w="9865" w:type="dxa"/>
            <w:shd w:val="clear" w:color="auto" w:fill="315A2D"/>
            <w:tcMar>
              <w:top w:w="300" w:type="dxa"/>
              <w:left w:w="300" w:type="dxa"/>
              <w:bottom w:w="300" w:type="dxa"/>
              <w:right w:w="300" w:type="dxa"/>
            </w:tcMar>
          </w:tcPr>
          <w:p w14:paraId="551ED57C">
            <w:pPr>
              <w:spacing w:after="160"/>
              <w:jc w:val="center"/>
            </w:pPr>
            <w:r>
              <w:drawing>
                <wp:inline distT="0" distB="0" distL="114300" distR="114300">
                  <wp:extent cx="935990" cy="893445"/>
                  <wp:effectExtent l="0" t="0" r="381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0"/>
                          <a:stretch>
                            <a:fillRect/>
                          </a:stretch>
                        </pic:blipFill>
                        <pic:spPr>
                          <a:xfrm>
                            <a:off x="0" y="0"/>
                            <a:ext cx="936000" cy="893933"/>
                          </a:xfrm>
                          <a:prstGeom prst="rect">
                            <a:avLst/>
                          </a:prstGeom>
                        </pic:spPr>
                      </pic:pic>
                    </a:graphicData>
                  </a:graphic>
                </wp:inline>
              </w:drawing>
            </w:r>
          </w:p>
          <w:p w14:paraId="7B5C6047">
            <w:pPr>
              <w:pStyle w:val="36"/>
              <w:jc w:val="center"/>
            </w:pPr>
            <w:r>
              <w:t>GLOBALGIVING QUARTERLY PROJECT REPORT</w:t>
            </w:r>
          </w:p>
          <w:p w14:paraId="0CA5D0A3">
            <w:pPr>
              <w:pStyle w:val="36"/>
              <w:jc w:val="center"/>
            </w:pPr>
            <w:r>
              <w:rPr>
                <w:sz w:val="48"/>
              </w:rPr>
              <w:t>Fighting Malnutrition in 10 Villages of Nyanza</w:t>
            </w:r>
          </w:p>
          <w:p w14:paraId="5DBA061E">
            <w:pPr>
              <w:pStyle w:val="34"/>
              <w:spacing w:after="240"/>
              <w:jc w:val="center"/>
            </w:pPr>
            <w:r>
              <w:t>Strengthening child nutrition through ECD support, protein supplementation, kitchen gardens, caregiver training, hygiene promotion, and household coaching</w:t>
            </w:r>
          </w:p>
          <w:p w14:paraId="35C303CC">
            <w:pPr>
              <w:pStyle w:val="164"/>
            </w:pPr>
            <w:r>
              <w:rPr>
                <w:b/>
                <w:sz w:val="23"/>
              </w:rPr>
              <w:t>REPORTING PERIOD: 1 APRIL – 30 JUNE 2026</w:t>
            </w:r>
          </w:p>
          <w:p w14:paraId="25CA3026">
            <w:pPr>
              <w:pStyle w:val="164"/>
            </w:pPr>
            <w:r>
              <w:t>Prepared by Archimede Sekamana</w:t>
            </w:r>
            <w:r>
              <w:br w:type="textWrapping"/>
            </w:r>
            <w:r>
              <w:t>Head of Partnership, Strategy &amp; Impact</w:t>
            </w:r>
          </w:p>
          <w:p w14:paraId="4AA65366">
            <w:pPr>
              <w:pStyle w:val="164"/>
            </w:pPr>
            <w:r>
              <w:t>Dufatanye Organization</w:t>
            </w:r>
            <w:r>
              <w:br w:type="textWrapping"/>
            </w:r>
            <w:r>
              <w:t>Nyanza District, Southern Province, Rwanda</w:t>
            </w:r>
          </w:p>
        </w:tc>
      </w:tr>
    </w:tbl>
    <w:p w14:paraId="33F58E88">
      <w:pPr>
        <w:spacing w:after="40"/>
      </w:pPr>
    </w:p>
    <w:p w14:paraId="18B42EDC">
      <w:pPr>
        <w:jc w:val="center"/>
      </w:pPr>
      <w:r>
        <w:drawing>
          <wp:inline distT="0" distB="0" distL="114300" distR="114300">
            <wp:extent cx="5723890" cy="374269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1"/>
                    <a:stretch>
                      <a:fillRect/>
                    </a:stretch>
                  </pic:blipFill>
                  <pic:spPr>
                    <a:xfrm>
                      <a:off x="0" y="0"/>
                      <a:ext cx="5724000" cy="3743314"/>
                    </a:xfrm>
                    <a:prstGeom prst="rect">
                      <a:avLst/>
                    </a:prstGeom>
                  </pic:spPr>
                </pic:pic>
              </a:graphicData>
            </a:graphic>
          </wp:inline>
        </w:drawing>
      </w:r>
    </w:p>
    <w:p w14:paraId="05BAC48C">
      <w:pPr>
        <w:pStyle w:val="16"/>
      </w:pPr>
      <w:r>
        <w:t>Children and caregivers reached through Dufatanye Organization’s ECD and nutrition interventions in Nyanza District.</w:t>
      </w:r>
    </w:p>
    <w:p w14:paraId="5F521782">
      <w:pPr>
        <w:pStyle w:val="165"/>
        <w:jc w:val="center"/>
      </w:pPr>
      <w:r>
        <w:t>With appreciation to GlobalGiving donors, Nyanza District, NCDA, caregivers, community volunteers, and participating households.</w:t>
      </w:r>
    </w:p>
    <w:p w14:paraId="1D0303BC">
      <w:r>
        <w:br w:type="page"/>
      </w:r>
    </w:p>
    <w:p w14:paraId="4436D3D6">
      <w:pPr>
        <w:pStyle w:val="2"/>
        <w:pBdr>
          <w:bottom w:val="single" w:color="D8A23D" w:sz="8" w:space="2"/>
        </w:pBdr>
      </w:pPr>
      <w:r>
        <w:t>Report at a Glance</w:t>
      </w:r>
    </w:p>
    <w:tbl>
      <w:tblPr>
        <w:tblStyle w:val="12"/>
        <w:tblW w:w="0" w:type="auto"/>
        <w:jc w:val="center"/>
        <w:tblLayout w:type="fixed"/>
        <w:tblCellMar>
          <w:top w:w="0" w:type="dxa"/>
          <w:left w:w="108" w:type="dxa"/>
          <w:bottom w:w="0" w:type="dxa"/>
          <w:right w:w="108" w:type="dxa"/>
        </w:tblCellMar>
      </w:tblPr>
      <w:tblGrid>
        <w:gridCol w:w="1973"/>
        <w:gridCol w:w="1973"/>
        <w:gridCol w:w="1973"/>
        <w:gridCol w:w="1973"/>
        <w:gridCol w:w="1973"/>
      </w:tblGrid>
      <w:tr w14:paraId="3323492B">
        <w:tblPrEx>
          <w:tblCellMar>
            <w:top w:w="0" w:type="dxa"/>
            <w:left w:w="108" w:type="dxa"/>
            <w:bottom w:w="0" w:type="dxa"/>
            <w:right w:w="108" w:type="dxa"/>
          </w:tblCellMar>
        </w:tblPrEx>
        <w:trPr>
          <w:jc w:val="center"/>
        </w:trPr>
        <w:tc>
          <w:tcPr>
            <w:tcW w:w="1956" w:type="dxa"/>
            <w:shd w:val="clear" w:color="auto" w:fill="EAF2E7"/>
            <w:tcMar>
              <w:top w:w="130" w:type="dxa"/>
              <w:left w:w="80" w:type="dxa"/>
              <w:bottom w:w="40" w:type="dxa"/>
              <w:right w:w="80" w:type="dxa"/>
            </w:tcMar>
          </w:tcPr>
          <w:p w14:paraId="62122F9D">
            <w:pPr>
              <w:pStyle w:val="166"/>
              <w:jc w:val="center"/>
            </w:pPr>
            <w:r>
              <w:t>174</w:t>
            </w:r>
          </w:p>
        </w:tc>
        <w:tc>
          <w:tcPr>
            <w:tcW w:w="1956" w:type="dxa"/>
            <w:shd w:val="clear" w:color="auto" w:fill="EAF2E7"/>
            <w:tcMar>
              <w:top w:w="130" w:type="dxa"/>
              <w:left w:w="80" w:type="dxa"/>
              <w:bottom w:w="40" w:type="dxa"/>
              <w:right w:w="80" w:type="dxa"/>
            </w:tcMar>
          </w:tcPr>
          <w:p w14:paraId="7C604E0D">
            <w:pPr>
              <w:pStyle w:val="166"/>
              <w:jc w:val="center"/>
            </w:pPr>
            <w:r>
              <w:t>1,599</w:t>
            </w:r>
          </w:p>
        </w:tc>
        <w:tc>
          <w:tcPr>
            <w:tcW w:w="1956" w:type="dxa"/>
            <w:shd w:val="clear" w:color="auto" w:fill="EAF2E7"/>
            <w:tcMar>
              <w:top w:w="130" w:type="dxa"/>
              <w:left w:w="80" w:type="dxa"/>
              <w:bottom w:w="40" w:type="dxa"/>
              <w:right w:w="80" w:type="dxa"/>
            </w:tcMar>
          </w:tcPr>
          <w:p w14:paraId="50FFA477">
            <w:pPr>
              <w:pStyle w:val="166"/>
              <w:jc w:val="center"/>
            </w:pPr>
            <w:r>
              <w:t>195</w:t>
            </w:r>
          </w:p>
        </w:tc>
        <w:tc>
          <w:tcPr>
            <w:tcW w:w="1956" w:type="dxa"/>
            <w:shd w:val="clear" w:color="auto" w:fill="EAF2E7"/>
            <w:tcMar>
              <w:top w:w="130" w:type="dxa"/>
              <w:left w:w="80" w:type="dxa"/>
              <w:bottom w:w="40" w:type="dxa"/>
              <w:right w:w="80" w:type="dxa"/>
            </w:tcMar>
          </w:tcPr>
          <w:p w14:paraId="32E87D42">
            <w:pPr>
              <w:pStyle w:val="166"/>
              <w:jc w:val="center"/>
            </w:pPr>
            <w:r>
              <w:t>165</w:t>
            </w:r>
          </w:p>
        </w:tc>
        <w:tc>
          <w:tcPr>
            <w:tcW w:w="1956" w:type="dxa"/>
            <w:shd w:val="clear" w:color="auto" w:fill="EAF2E7"/>
            <w:tcMar>
              <w:top w:w="130" w:type="dxa"/>
              <w:left w:w="80" w:type="dxa"/>
              <w:bottom w:w="40" w:type="dxa"/>
              <w:right w:w="80" w:type="dxa"/>
            </w:tcMar>
          </w:tcPr>
          <w:p w14:paraId="24CAF552">
            <w:pPr>
              <w:pStyle w:val="166"/>
              <w:jc w:val="center"/>
            </w:pPr>
            <w:r>
              <w:t>217</w:t>
            </w:r>
          </w:p>
        </w:tc>
      </w:tr>
      <w:tr w14:paraId="42BF640A">
        <w:tblPrEx>
          <w:tblCellMar>
            <w:top w:w="0" w:type="dxa"/>
            <w:left w:w="108" w:type="dxa"/>
            <w:bottom w:w="0" w:type="dxa"/>
            <w:right w:w="108" w:type="dxa"/>
          </w:tblCellMar>
        </w:tblPrEx>
        <w:trPr>
          <w:jc w:val="center"/>
        </w:trPr>
        <w:tc>
          <w:tcPr>
            <w:tcW w:w="1956" w:type="dxa"/>
            <w:shd w:val="clear" w:color="auto" w:fill="EAF2E7"/>
            <w:tcMar>
              <w:top w:w="30" w:type="dxa"/>
              <w:left w:w="70" w:type="dxa"/>
              <w:bottom w:w="110" w:type="dxa"/>
              <w:right w:w="70" w:type="dxa"/>
            </w:tcMar>
          </w:tcPr>
          <w:p w14:paraId="44C040A4">
            <w:pPr>
              <w:pStyle w:val="167"/>
              <w:jc w:val="center"/>
            </w:pPr>
            <w:r>
              <w:t>ECD centres monitored</w:t>
            </w:r>
          </w:p>
        </w:tc>
        <w:tc>
          <w:tcPr>
            <w:tcW w:w="1956" w:type="dxa"/>
            <w:shd w:val="clear" w:color="auto" w:fill="EAF2E7"/>
            <w:tcMar>
              <w:top w:w="30" w:type="dxa"/>
              <w:left w:w="70" w:type="dxa"/>
              <w:bottom w:w="110" w:type="dxa"/>
              <w:right w:w="70" w:type="dxa"/>
            </w:tcMar>
          </w:tcPr>
          <w:p w14:paraId="0D5950F6">
            <w:pPr>
              <w:pStyle w:val="167"/>
              <w:jc w:val="center"/>
            </w:pPr>
            <w:r>
              <w:t>Children reached</w:t>
            </w:r>
          </w:p>
        </w:tc>
        <w:tc>
          <w:tcPr>
            <w:tcW w:w="1956" w:type="dxa"/>
            <w:shd w:val="clear" w:color="auto" w:fill="EAF2E7"/>
            <w:tcMar>
              <w:top w:w="30" w:type="dxa"/>
              <w:left w:w="70" w:type="dxa"/>
              <w:bottom w:w="110" w:type="dxa"/>
              <w:right w:w="70" w:type="dxa"/>
            </w:tcMar>
          </w:tcPr>
          <w:p w14:paraId="17BA015D">
            <w:pPr>
              <w:pStyle w:val="167"/>
              <w:jc w:val="center"/>
            </w:pPr>
            <w:r>
              <w:t>Eggs distributed</w:t>
            </w:r>
          </w:p>
        </w:tc>
        <w:tc>
          <w:tcPr>
            <w:tcW w:w="1956" w:type="dxa"/>
            <w:shd w:val="clear" w:color="auto" w:fill="EAF2E7"/>
            <w:tcMar>
              <w:top w:w="30" w:type="dxa"/>
              <w:left w:w="70" w:type="dxa"/>
              <w:bottom w:w="110" w:type="dxa"/>
              <w:right w:w="70" w:type="dxa"/>
            </w:tcMar>
          </w:tcPr>
          <w:p w14:paraId="79EEDDE0">
            <w:pPr>
              <w:pStyle w:val="167"/>
              <w:jc w:val="center"/>
            </w:pPr>
            <w:r>
              <w:t>Children receiving eggs</w:t>
            </w:r>
          </w:p>
        </w:tc>
        <w:tc>
          <w:tcPr>
            <w:tcW w:w="1956" w:type="dxa"/>
            <w:shd w:val="clear" w:color="auto" w:fill="EAF2E7"/>
            <w:tcMar>
              <w:top w:w="30" w:type="dxa"/>
              <w:left w:w="70" w:type="dxa"/>
              <w:bottom w:w="110" w:type="dxa"/>
              <w:right w:w="70" w:type="dxa"/>
            </w:tcMar>
          </w:tcPr>
          <w:p w14:paraId="2E5E7D8E">
            <w:pPr>
              <w:pStyle w:val="167"/>
              <w:jc w:val="center"/>
            </w:pPr>
            <w:r>
              <w:t>Households visited in Nyamagana B</w:t>
            </w:r>
          </w:p>
        </w:tc>
      </w:tr>
    </w:tbl>
    <w:p w14:paraId="44D51C11"/>
    <w:p w14:paraId="6A57D55A">
      <w:pPr>
        <w:pStyle w:val="2"/>
        <w:pBdr>
          <w:bottom w:val="single" w:color="D8A23D" w:sz="8" w:space="2"/>
        </w:pBdr>
      </w:pPr>
      <w:r>
        <w:t>1. Executive Summary</w:t>
      </w:r>
    </w:p>
    <w:p w14:paraId="77F78B4B">
      <w:pPr>
        <w:spacing w:after="100" w:line="269" w:lineRule="auto"/>
      </w:pPr>
      <w:r>
        <w:t>From April to June 2026, Dufatanye Organization continued an integrated response to malnutrition in Nyanza District by linking child nutrition support in Early Childhood Development (ECD) centres with household food production, caregiver training, growth monitoring, hygiene promotion, and regular household coaching.</w:t>
      </w:r>
    </w:p>
    <w:p w14:paraId="42DC4D05">
      <w:pPr>
        <w:spacing w:after="100" w:line="269" w:lineRule="auto"/>
      </w:pPr>
      <w:r>
        <w:t>During the quarter, 174 ECD centres across 10 sectors were monitored and 1,599 children were reached through ECD services and nutrition-related interventions. Protein supplementation included 195 eggs provided to 165 children, while 81 children received balanced meals in four targeted ECD centres located in Kibirizi, Mukingo, Ntyazo, and Cyabakamyi. Thirty-five caregivers—29 women and six men—received training covering nutrition and child development, hygiene and sanitation, early stimulation, school readiness, and their responsibilities in quality ECD service delivery.</w:t>
      </w:r>
    </w:p>
    <w:p w14:paraId="0DA50BEC">
      <w:pPr>
        <w:spacing w:after="100" w:line="269" w:lineRule="auto"/>
      </w:pPr>
      <w:r>
        <w:t>At household level, 217 households in Nyamagana B Village received visits and practical advice on vegetable production, kitchen-garden management, irrigation, banana plantation management, hygiene, and self-reliance. Field monitoring recorded 116 households with vegetables that required watering, 53 gardens reported as being in good condition or rehabilitated, and 48 gardens requiring further attention and technical follow-up.</w:t>
      </w:r>
    </w:p>
    <w:p w14:paraId="5D36B7BB">
      <w:pPr>
        <w:spacing w:after="100" w:line="269" w:lineRule="auto"/>
      </w:pPr>
      <w:r>
        <w:t>The quarter built on the January–March 2026 GlobalGiving update, when the project distributed 180 eggs, conducted MUAC screening for 160 children, supported 145 kitchen gardens, trained 295 participants, monitored 173 ECD centres, and visited 241 households. The April–June period placed greater emphasis on consolidating ECD quality, maintaining food-production assets, improving caregiver capacity, and strengthening nutrition monitoring.</w:t>
      </w:r>
    </w:p>
    <w:p w14:paraId="5ECE8DFC">
      <w:pPr>
        <w:pStyle w:val="2"/>
        <w:pBdr>
          <w:bottom w:val="single" w:color="D8A23D" w:sz="8" w:space="2"/>
        </w:pBdr>
      </w:pPr>
      <w:r>
        <w:t>2. Project Context and Reporting Basis</w:t>
      </w:r>
    </w:p>
    <w:p w14:paraId="5FDC6EA4">
      <w:pPr>
        <w:pStyle w:val="3"/>
      </w:pPr>
      <w:r>
        <w:t>2.1 Project purpose</w:t>
      </w:r>
    </w:p>
    <w:p w14:paraId="7E3BC98A">
      <w:pPr>
        <w:spacing w:after="100" w:line="269" w:lineRule="auto"/>
      </w:pPr>
      <w:r>
        <w:t>The GlobalGiving project seeks to support vulnerable families in ten villages of Nyanza District through nutrition-sensitive agriculture, kitchen gardens, fruit and banana production, poultry, caregiver education, and child-focused activities. The model addresses immediate nutrition needs while helping households improve their ability to produce, prepare, and access nutritious foods over time.</w:t>
      </w:r>
    </w:p>
    <w:p w14:paraId="7892B6F4">
      <w:pPr>
        <w:pStyle w:val="3"/>
      </w:pPr>
      <w:r>
        <w:t>2.2 Reporting period</w:t>
      </w:r>
    </w:p>
    <w:p w14:paraId="729F4C6E">
      <w:pPr>
        <w:spacing w:after="100" w:line="269" w:lineRule="auto"/>
      </w:pPr>
      <w:r>
        <w:t>This report covers implementation from 1 April to 30 June 2026. It follows the structure and narrative approach of the January–March 2026 GlobalGiving update while expanding the analysis, documenting data limitations, and focusing strictly on Nyanza District.</w:t>
      </w:r>
    </w:p>
    <w:p w14:paraId="5803A4EB">
      <w:pPr>
        <w:pStyle w:val="3"/>
      </w:pPr>
      <w:r>
        <w:t>2.3 Sources used</w:t>
      </w:r>
    </w:p>
    <w:p w14:paraId="79BF30D3">
      <w:pPr>
        <w:pStyle w:val="23"/>
        <w:spacing w:after="50"/>
        <w:ind w:left="312" w:hanging="142"/>
      </w:pPr>
      <w:r>
        <w:rPr>
          <w:rFonts w:ascii="Aptos" w:hAnsi="Aptos" w:eastAsia="Aptos"/>
          <w:sz w:val="20"/>
        </w:rPr>
        <w:t>Dufatanye Organization Quarterly Programme Report, April–June 2026—Nyanza-specific nutrition, agriculture, ECD, WASH, and capacity-building sections.</w:t>
      </w:r>
    </w:p>
    <w:p w14:paraId="54DC9ED6">
      <w:pPr>
        <w:pStyle w:val="23"/>
        <w:spacing w:after="50"/>
        <w:ind w:left="312" w:hanging="142"/>
      </w:pPr>
      <w:r>
        <w:rPr>
          <w:rFonts w:ascii="Aptos" w:hAnsi="Aptos" w:eastAsia="Aptos"/>
          <w:sz w:val="20"/>
        </w:rPr>
        <w:t>Village of Hope Nyamagana B Quarter 2 report—household monitoring, kitchen gardens, challenges, and the Uwimana Yosefa success story.</w:t>
      </w:r>
    </w:p>
    <w:p w14:paraId="14B6C53F">
      <w:pPr>
        <w:pStyle w:val="23"/>
        <w:spacing w:after="50"/>
        <w:ind w:left="312" w:hanging="142"/>
      </w:pPr>
      <w:r>
        <w:rPr>
          <w:rFonts w:ascii="Aptos" w:hAnsi="Aptos" w:eastAsia="Aptos"/>
          <w:sz w:val="20"/>
        </w:rPr>
        <w:t>Nyanza District ECD Quarterly Report—ECD monitoring, nutrition support, caregiver training, growth monitoring, hygiene, and consolidated indicators.</w:t>
      </w:r>
    </w:p>
    <w:p w14:paraId="46539D49">
      <w:pPr>
        <w:pStyle w:val="23"/>
        <w:spacing w:after="50"/>
        <w:ind w:left="312" w:hanging="142"/>
      </w:pPr>
      <w:r>
        <w:rPr>
          <w:rFonts w:ascii="Aptos" w:hAnsi="Aptos" w:eastAsia="Aptos"/>
          <w:sz w:val="20"/>
        </w:rPr>
        <w:t>The previously submitted GlobalGiving update for January–March 2026, provided as the continuity reference.</w:t>
      </w:r>
    </w:p>
    <w:p w14:paraId="1B7E3142">
      <w:pPr>
        <w:spacing w:after="100" w:line="269" w:lineRule="auto"/>
      </w:pPr>
      <w:r>
        <w:t>The Nyaruguru field report and Nyamagabe-focused report were reviewed but their results were excluded from the figures in this Nyanza report.</w:t>
      </w:r>
    </w:p>
    <w:p w14:paraId="4CD6F2A9">
      <w:pPr>
        <w:pStyle w:val="2"/>
        <w:pBdr>
          <w:bottom w:val="single" w:color="D8A23D" w:sz="8" w:space="2"/>
        </w:pBdr>
      </w:pPr>
      <w:r>
        <w:t>3. Key Results for April–June 2026</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7"/>
        <w:gridCol w:w="2381"/>
        <w:gridCol w:w="2098"/>
        <w:gridCol w:w="3402"/>
      </w:tblGrid>
      <w:tr w14:paraId="200C1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757" w:type="dxa"/>
            <w:shd w:val="clear" w:color="auto" w:fill="315A2D"/>
            <w:tcMar>
              <w:top w:w="90" w:type="dxa"/>
              <w:left w:w="100" w:type="dxa"/>
              <w:bottom w:w="90" w:type="dxa"/>
              <w:right w:w="100" w:type="dxa"/>
            </w:tcMar>
            <w:vAlign w:val="center"/>
          </w:tcPr>
          <w:p w14:paraId="787D8A06">
            <w:pPr>
              <w:spacing w:after="0"/>
              <w:jc w:val="center"/>
            </w:pPr>
            <w:r>
              <w:rPr>
                <w:rFonts w:ascii="Aptos" w:hAnsi="Aptos" w:eastAsia="Aptos"/>
                <w:b/>
                <w:color w:val="FFFFFF"/>
                <w:sz w:val="18"/>
              </w:rPr>
              <w:t>Result area</w:t>
            </w:r>
          </w:p>
        </w:tc>
        <w:tc>
          <w:tcPr>
            <w:tcW w:w="2381" w:type="dxa"/>
            <w:shd w:val="clear" w:color="auto" w:fill="315A2D"/>
            <w:tcMar>
              <w:top w:w="90" w:type="dxa"/>
              <w:left w:w="100" w:type="dxa"/>
              <w:bottom w:w="90" w:type="dxa"/>
              <w:right w:w="100" w:type="dxa"/>
            </w:tcMar>
            <w:vAlign w:val="center"/>
          </w:tcPr>
          <w:p w14:paraId="2851D86F">
            <w:pPr>
              <w:spacing w:after="0"/>
              <w:jc w:val="center"/>
            </w:pPr>
            <w:r>
              <w:rPr>
                <w:rFonts w:ascii="Aptos" w:hAnsi="Aptos" w:eastAsia="Aptos"/>
                <w:b/>
                <w:color w:val="FFFFFF"/>
                <w:sz w:val="18"/>
              </w:rPr>
              <w:t>Indicator</w:t>
            </w:r>
          </w:p>
        </w:tc>
        <w:tc>
          <w:tcPr>
            <w:tcW w:w="2098" w:type="dxa"/>
            <w:shd w:val="clear" w:color="auto" w:fill="315A2D"/>
            <w:tcMar>
              <w:top w:w="90" w:type="dxa"/>
              <w:left w:w="100" w:type="dxa"/>
              <w:bottom w:w="90" w:type="dxa"/>
              <w:right w:w="100" w:type="dxa"/>
            </w:tcMar>
            <w:vAlign w:val="center"/>
          </w:tcPr>
          <w:p w14:paraId="7DE77CF1">
            <w:pPr>
              <w:spacing w:after="0"/>
              <w:jc w:val="center"/>
            </w:pPr>
            <w:r>
              <w:rPr>
                <w:rFonts w:ascii="Aptos" w:hAnsi="Aptos" w:eastAsia="Aptos"/>
                <w:b/>
                <w:color w:val="FFFFFF"/>
                <w:sz w:val="18"/>
              </w:rPr>
              <w:t>Verified achievement</w:t>
            </w:r>
          </w:p>
        </w:tc>
        <w:tc>
          <w:tcPr>
            <w:tcW w:w="3402" w:type="dxa"/>
            <w:shd w:val="clear" w:color="auto" w:fill="315A2D"/>
            <w:tcMar>
              <w:top w:w="90" w:type="dxa"/>
              <w:left w:w="100" w:type="dxa"/>
              <w:bottom w:w="90" w:type="dxa"/>
              <w:right w:w="100" w:type="dxa"/>
            </w:tcMar>
            <w:vAlign w:val="center"/>
          </w:tcPr>
          <w:p w14:paraId="5FE20F3C">
            <w:pPr>
              <w:spacing w:after="0"/>
              <w:jc w:val="center"/>
            </w:pPr>
            <w:r>
              <w:rPr>
                <w:rFonts w:ascii="Aptos" w:hAnsi="Aptos" w:eastAsia="Aptos"/>
                <w:b/>
                <w:color w:val="FFFFFF"/>
                <w:sz w:val="18"/>
              </w:rPr>
              <w:t>Interpretation</w:t>
            </w:r>
          </w:p>
        </w:tc>
      </w:tr>
      <w:tr w14:paraId="329C6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7" w:type="dxa"/>
            <w:shd w:val="clear" w:color="auto" w:fill="FFFFFF"/>
            <w:tcMar>
              <w:top w:w="90" w:type="dxa"/>
              <w:left w:w="100" w:type="dxa"/>
              <w:bottom w:w="90" w:type="dxa"/>
              <w:right w:w="100" w:type="dxa"/>
            </w:tcMar>
            <w:vAlign w:val="center"/>
          </w:tcPr>
          <w:p w14:paraId="4F26992B">
            <w:pPr>
              <w:spacing w:after="0"/>
              <w:jc w:val="left"/>
            </w:pPr>
            <w:r>
              <w:rPr>
                <w:rFonts w:ascii="Aptos" w:hAnsi="Aptos" w:eastAsia="Aptos"/>
                <w:b w:val="0"/>
                <w:color w:val="25313B"/>
                <w:sz w:val="17"/>
              </w:rPr>
              <w:t>ECD coverage</w:t>
            </w:r>
          </w:p>
        </w:tc>
        <w:tc>
          <w:tcPr>
            <w:tcW w:w="2381" w:type="dxa"/>
            <w:shd w:val="clear" w:color="auto" w:fill="FFFFFF"/>
            <w:tcMar>
              <w:top w:w="90" w:type="dxa"/>
              <w:left w:w="100" w:type="dxa"/>
              <w:bottom w:w="90" w:type="dxa"/>
              <w:right w:w="100" w:type="dxa"/>
            </w:tcMar>
            <w:vAlign w:val="center"/>
          </w:tcPr>
          <w:p w14:paraId="170FE49F">
            <w:pPr>
              <w:spacing w:after="0"/>
              <w:jc w:val="left"/>
            </w:pPr>
            <w:r>
              <w:rPr>
                <w:rFonts w:ascii="Aptos" w:hAnsi="Aptos" w:eastAsia="Aptos"/>
                <w:b w:val="0"/>
                <w:color w:val="25313B"/>
                <w:sz w:val="17"/>
              </w:rPr>
              <w:t>Sectors reached</w:t>
            </w:r>
          </w:p>
        </w:tc>
        <w:tc>
          <w:tcPr>
            <w:tcW w:w="2098" w:type="dxa"/>
            <w:shd w:val="clear" w:color="auto" w:fill="FFFFFF"/>
            <w:tcMar>
              <w:top w:w="90" w:type="dxa"/>
              <w:left w:w="100" w:type="dxa"/>
              <w:bottom w:w="90" w:type="dxa"/>
              <w:right w:w="100" w:type="dxa"/>
            </w:tcMar>
            <w:vAlign w:val="center"/>
          </w:tcPr>
          <w:p w14:paraId="08C66777">
            <w:pPr>
              <w:spacing w:after="0"/>
              <w:jc w:val="left"/>
            </w:pPr>
            <w:r>
              <w:rPr>
                <w:rFonts w:ascii="Aptos" w:hAnsi="Aptos" w:eastAsia="Aptos"/>
                <w:b w:val="0"/>
                <w:color w:val="25313B"/>
                <w:sz w:val="17"/>
              </w:rPr>
              <w:t>10 sectors</w:t>
            </w:r>
          </w:p>
        </w:tc>
        <w:tc>
          <w:tcPr>
            <w:tcW w:w="3402" w:type="dxa"/>
            <w:shd w:val="clear" w:color="auto" w:fill="FFFFFF"/>
            <w:tcMar>
              <w:top w:w="90" w:type="dxa"/>
              <w:left w:w="100" w:type="dxa"/>
              <w:bottom w:w="90" w:type="dxa"/>
              <w:right w:w="100" w:type="dxa"/>
            </w:tcMar>
            <w:vAlign w:val="center"/>
          </w:tcPr>
          <w:p w14:paraId="522FC5F4">
            <w:pPr>
              <w:spacing w:after="0"/>
              <w:jc w:val="left"/>
            </w:pPr>
            <w:r>
              <w:rPr>
                <w:rFonts w:ascii="Aptos" w:hAnsi="Aptos" w:eastAsia="Aptos"/>
                <w:b w:val="0"/>
                <w:color w:val="25313B"/>
                <w:sz w:val="17"/>
              </w:rPr>
              <w:t>District-wide supportive supervision was maintained.</w:t>
            </w:r>
          </w:p>
        </w:tc>
      </w:tr>
      <w:tr w14:paraId="3A1C3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7" w:type="dxa"/>
            <w:shd w:val="clear" w:color="auto" w:fill="F2F4F5"/>
            <w:tcMar>
              <w:top w:w="90" w:type="dxa"/>
              <w:left w:w="100" w:type="dxa"/>
              <w:bottom w:w="90" w:type="dxa"/>
              <w:right w:w="100" w:type="dxa"/>
            </w:tcMar>
            <w:vAlign w:val="center"/>
          </w:tcPr>
          <w:p w14:paraId="3AFF45BC">
            <w:pPr>
              <w:spacing w:after="0"/>
              <w:jc w:val="left"/>
            </w:pPr>
            <w:r>
              <w:rPr>
                <w:rFonts w:ascii="Aptos" w:hAnsi="Aptos" w:eastAsia="Aptos"/>
                <w:b w:val="0"/>
                <w:color w:val="25313B"/>
                <w:sz w:val="17"/>
              </w:rPr>
              <w:t>ECD monitoring</w:t>
            </w:r>
          </w:p>
        </w:tc>
        <w:tc>
          <w:tcPr>
            <w:tcW w:w="2381" w:type="dxa"/>
            <w:shd w:val="clear" w:color="auto" w:fill="F2F4F5"/>
            <w:tcMar>
              <w:top w:w="90" w:type="dxa"/>
              <w:left w:w="100" w:type="dxa"/>
              <w:bottom w:w="90" w:type="dxa"/>
              <w:right w:w="100" w:type="dxa"/>
            </w:tcMar>
            <w:vAlign w:val="center"/>
          </w:tcPr>
          <w:p w14:paraId="296853C2">
            <w:pPr>
              <w:spacing w:after="0"/>
              <w:jc w:val="left"/>
            </w:pPr>
            <w:r>
              <w:rPr>
                <w:rFonts w:ascii="Aptos" w:hAnsi="Aptos" w:eastAsia="Aptos"/>
                <w:b w:val="0"/>
                <w:color w:val="25313B"/>
                <w:sz w:val="17"/>
              </w:rPr>
              <w:t>Centres monitored</w:t>
            </w:r>
          </w:p>
        </w:tc>
        <w:tc>
          <w:tcPr>
            <w:tcW w:w="2098" w:type="dxa"/>
            <w:shd w:val="clear" w:color="auto" w:fill="F2F4F5"/>
            <w:tcMar>
              <w:top w:w="90" w:type="dxa"/>
              <w:left w:w="100" w:type="dxa"/>
              <w:bottom w:w="90" w:type="dxa"/>
              <w:right w:w="100" w:type="dxa"/>
            </w:tcMar>
            <w:vAlign w:val="center"/>
          </w:tcPr>
          <w:p w14:paraId="7B9CA6C5">
            <w:pPr>
              <w:spacing w:after="0"/>
              <w:jc w:val="left"/>
            </w:pPr>
            <w:r>
              <w:rPr>
                <w:rFonts w:ascii="Aptos" w:hAnsi="Aptos" w:eastAsia="Aptos"/>
                <w:b w:val="0"/>
                <w:color w:val="25313B"/>
                <w:sz w:val="17"/>
              </w:rPr>
              <w:t>174 ECD centres</w:t>
            </w:r>
          </w:p>
        </w:tc>
        <w:tc>
          <w:tcPr>
            <w:tcW w:w="3402" w:type="dxa"/>
            <w:shd w:val="clear" w:color="auto" w:fill="F2F4F5"/>
            <w:tcMar>
              <w:top w:w="90" w:type="dxa"/>
              <w:left w:w="100" w:type="dxa"/>
              <w:bottom w:w="90" w:type="dxa"/>
              <w:right w:w="100" w:type="dxa"/>
            </w:tcMar>
            <w:vAlign w:val="center"/>
          </w:tcPr>
          <w:p w14:paraId="3A529940">
            <w:pPr>
              <w:spacing w:after="0"/>
              <w:jc w:val="left"/>
            </w:pPr>
            <w:r>
              <w:rPr>
                <w:rFonts w:ascii="Aptos" w:hAnsi="Aptos" w:eastAsia="Aptos"/>
                <w:b w:val="0"/>
                <w:color w:val="25313B"/>
                <w:sz w:val="17"/>
              </w:rPr>
              <w:t>Service quality, nutrition, hygiene, attendance, and child welfare were reviewed.</w:t>
            </w:r>
          </w:p>
        </w:tc>
      </w:tr>
      <w:tr w14:paraId="736A5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7" w:type="dxa"/>
            <w:shd w:val="clear" w:color="auto" w:fill="FFFFFF"/>
            <w:tcMar>
              <w:top w:w="90" w:type="dxa"/>
              <w:left w:w="100" w:type="dxa"/>
              <w:bottom w:w="90" w:type="dxa"/>
              <w:right w:w="100" w:type="dxa"/>
            </w:tcMar>
            <w:vAlign w:val="center"/>
          </w:tcPr>
          <w:p w14:paraId="7317C0D7">
            <w:pPr>
              <w:spacing w:after="0"/>
              <w:jc w:val="left"/>
            </w:pPr>
            <w:r>
              <w:rPr>
                <w:rFonts w:ascii="Aptos" w:hAnsi="Aptos" w:eastAsia="Aptos"/>
                <w:b w:val="0"/>
                <w:color w:val="25313B"/>
                <w:sz w:val="17"/>
              </w:rPr>
              <w:t>Child reach</w:t>
            </w:r>
          </w:p>
        </w:tc>
        <w:tc>
          <w:tcPr>
            <w:tcW w:w="2381" w:type="dxa"/>
            <w:shd w:val="clear" w:color="auto" w:fill="FFFFFF"/>
            <w:tcMar>
              <w:top w:w="90" w:type="dxa"/>
              <w:left w:w="100" w:type="dxa"/>
              <w:bottom w:w="90" w:type="dxa"/>
              <w:right w:w="100" w:type="dxa"/>
            </w:tcMar>
            <w:vAlign w:val="center"/>
          </w:tcPr>
          <w:p w14:paraId="41BBA647">
            <w:pPr>
              <w:spacing w:after="0"/>
              <w:jc w:val="left"/>
            </w:pPr>
            <w:r>
              <w:rPr>
                <w:rFonts w:ascii="Aptos" w:hAnsi="Aptos" w:eastAsia="Aptos"/>
                <w:b w:val="0"/>
                <w:color w:val="25313B"/>
                <w:sz w:val="17"/>
              </w:rPr>
              <w:t>Children reached through ECD services</w:t>
            </w:r>
          </w:p>
        </w:tc>
        <w:tc>
          <w:tcPr>
            <w:tcW w:w="2098" w:type="dxa"/>
            <w:shd w:val="clear" w:color="auto" w:fill="FFFFFF"/>
            <w:tcMar>
              <w:top w:w="90" w:type="dxa"/>
              <w:left w:w="100" w:type="dxa"/>
              <w:bottom w:w="90" w:type="dxa"/>
              <w:right w:w="100" w:type="dxa"/>
            </w:tcMar>
            <w:vAlign w:val="center"/>
          </w:tcPr>
          <w:p w14:paraId="3AB501DA">
            <w:pPr>
              <w:spacing w:after="0"/>
              <w:jc w:val="left"/>
            </w:pPr>
            <w:r>
              <w:rPr>
                <w:rFonts w:ascii="Aptos" w:hAnsi="Aptos" w:eastAsia="Aptos"/>
                <w:b w:val="0"/>
                <w:color w:val="25313B"/>
                <w:sz w:val="17"/>
              </w:rPr>
              <w:t>1,599 children</w:t>
            </w:r>
          </w:p>
        </w:tc>
        <w:tc>
          <w:tcPr>
            <w:tcW w:w="3402" w:type="dxa"/>
            <w:shd w:val="clear" w:color="auto" w:fill="FFFFFF"/>
            <w:tcMar>
              <w:top w:w="90" w:type="dxa"/>
              <w:left w:w="100" w:type="dxa"/>
              <w:bottom w:w="90" w:type="dxa"/>
              <w:right w:w="100" w:type="dxa"/>
            </w:tcMar>
            <w:vAlign w:val="center"/>
          </w:tcPr>
          <w:p w14:paraId="2A955612">
            <w:pPr>
              <w:spacing w:after="0"/>
              <w:jc w:val="left"/>
            </w:pPr>
            <w:r>
              <w:rPr>
                <w:rFonts w:ascii="Aptos" w:hAnsi="Aptos" w:eastAsia="Aptos"/>
                <w:b w:val="0"/>
                <w:color w:val="25313B"/>
                <w:sz w:val="17"/>
              </w:rPr>
              <w:t>The figure covers ECD services and nutrition-related interventions; it is not a count of malnourished children.</w:t>
            </w:r>
          </w:p>
        </w:tc>
      </w:tr>
      <w:tr w14:paraId="2C3BF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7" w:type="dxa"/>
            <w:shd w:val="clear" w:color="auto" w:fill="F2F4F5"/>
            <w:tcMar>
              <w:top w:w="90" w:type="dxa"/>
              <w:left w:w="100" w:type="dxa"/>
              <w:bottom w:w="90" w:type="dxa"/>
              <w:right w:w="100" w:type="dxa"/>
            </w:tcMar>
            <w:vAlign w:val="center"/>
          </w:tcPr>
          <w:p w14:paraId="06EE798D">
            <w:pPr>
              <w:spacing w:after="0"/>
              <w:jc w:val="left"/>
            </w:pPr>
            <w:r>
              <w:rPr>
                <w:rFonts w:ascii="Aptos" w:hAnsi="Aptos" w:eastAsia="Aptos"/>
                <w:b w:val="0"/>
                <w:color w:val="25313B"/>
                <w:sz w:val="17"/>
              </w:rPr>
              <w:t>Protein supplementation</w:t>
            </w:r>
          </w:p>
        </w:tc>
        <w:tc>
          <w:tcPr>
            <w:tcW w:w="2381" w:type="dxa"/>
            <w:shd w:val="clear" w:color="auto" w:fill="F2F4F5"/>
            <w:tcMar>
              <w:top w:w="90" w:type="dxa"/>
              <w:left w:w="100" w:type="dxa"/>
              <w:bottom w:w="90" w:type="dxa"/>
              <w:right w:w="100" w:type="dxa"/>
            </w:tcMar>
            <w:vAlign w:val="center"/>
          </w:tcPr>
          <w:p w14:paraId="59897C65">
            <w:pPr>
              <w:spacing w:after="0"/>
              <w:jc w:val="left"/>
            </w:pPr>
            <w:r>
              <w:rPr>
                <w:rFonts w:ascii="Aptos" w:hAnsi="Aptos" w:eastAsia="Aptos"/>
                <w:b w:val="0"/>
                <w:color w:val="25313B"/>
                <w:sz w:val="17"/>
              </w:rPr>
              <w:t>Eggs distributed</w:t>
            </w:r>
          </w:p>
        </w:tc>
        <w:tc>
          <w:tcPr>
            <w:tcW w:w="2098" w:type="dxa"/>
            <w:shd w:val="clear" w:color="auto" w:fill="F2F4F5"/>
            <w:tcMar>
              <w:top w:w="90" w:type="dxa"/>
              <w:left w:w="100" w:type="dxa"/>
              <w:bottom w:w="90" w:type="dxa"/>
              <w:right w:w="100" w:type="dxa"/>
            </w:tcMar>
            <w:vAlign w:val="center"/>
          </w:tcPr>
          <w:p w14:paraId="15E297BD">
            <w:pPr>
              <w:spacing w:after="0"/>
              <w:jc w:val="left"/>
            </w:pPr>
            <w:r>
              <w:rPr>
                <w:rFonts w:ascii="Aptos" w:hAnsi="Aptos" w:eastAsia="Aptos"/>
                <w:b w:val="0"/>
                <w:color w:val="25313B"/>
                <w:sz w:val="17"/>
              </w:rPr>
              <w:t>195 eggs</w:t>
            </w:r>
          </w:p>
        </w:tc>
        <w:tc>
          <w:tcPr>
            <w:tcW w:w="3402" w:type="dxa"/>
            <w:shd w:val="clear" w:color="auto" w:fill="F2F4F5"/>
            <w:tcMar>
              <w:top w:w="90" w:type="dxa"/>
              <w:left w:w="100" w:type="dxa"/>
              <w:bottom w:w="90" w:type="dxa"/>
              <w:right w:w="100" w:type="dxa"/>
            </w:tcMar>
            <w:vAlign w:val="center"/>
          </w:tcPr>
          <w:p w14:paraId="4BAA3BDE">
            <w:pPr>
              <w:spacing w:after="0"/>
              <w:jc w:val="left"/>
            </w:pPr>
            <w:r>
              <w:rPr>
                <w:rFonts w:ascii="Aptos" w:hAnsi="Aptos" w:eastAsia="Aptos"/>
                <w:b w:val="0"/>
                <w:color w:val="25313B"/>
                <w:sz w:val="17"/>
              </w:rPr>
              <w:t>The quarter exceeded the 180 eggs reported in January–March by 15 eggs.</w:t>
            </w:r>
          </w:p>
        </w:tc>
      </w:tr>
      <w:tr w14:paraId="12FE3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7" w:type="dxa"/>
            <w:shd w:val="clear" w:color="auto" w:fill="FFFFFF"/>
            <w:tcMar>
              <w:top w:w="90" w:type="dxa"/>
              <w:left w:w="100" w:type="dxa"/>
              <w:bottom w:w="90" w:type="dxa"/>
              <w:right w:w="100" w:type="dxa"/>
            </w:tcMar>
            <w:vAlign w:val="center"/>
          </w:tcPr>
          <w:p w14:paraId="671D292B">
            <w:pPr>
              <w:spacing w:after="0"/>
              <w:jc w:val="left"/>
            </w:pPr>
            <w:r>
              <w:rPr>
                <w:rFonts w:ascii="Aptos" w:hAnsi="Aptos" w:eastAsia="Aptos"/>
                <w:b w:val="0"/>
                <w:color w:val="25313B"/>
                <w:sz w:val="17"/>
              </w:rPr>
              <w:t>Protein supplementation</w:t>
            </w:r>
          </w:p>
        </w:tc>
        <w:tc>
          <w:tcPr>
            <w:tcW w:w="2381" w:type="dxa"/>
            <w:shd w:val="clear" w:color="auto" w:fill="FFFFFF"/>
            <w:tcMar>
              <w:top w:w="90" w:type="dxa"/>
              <w:left w:w="100" w:type="dxa"/>
              <w:bottom w:w="90" w:type="dxa"/>
              <w:right w:w="100" w:type="dxa"/>
            </w:tcMar>
            <w:vAlign w:val="center"/>
          </w:tcPr>
          <w:p w14:paraId="26C7F261">
            <w:pPr>
              <w:spacing w:after="0"/>
              <w:jc w:val="left"/>
            </w:pPr>
            <w:r>
              <w:rPr>
                <w:rFonts w:ascii="Aptos" w:hAnsi="Aptos" w:eastAsia="Aptos"/>
                <w:b w:val="0"/>
                <w:color w:val="25313B"/>
                <w:sz w:val="17"/>
              </w:rPr>
              <w:t>Children receiving eggs</w:t>
            </w:r>
          </w:p>
        </w:tc>
        <w:tc>
          <w:tcPr>
            <w:tcW w:w="2098" w:type="dxa"/>
            <w:shd w:val="clear" w:color="auto" w:fill="FFFFFF"/>
            <w:tcMar>
              <w:top w:w="90" w:type="dxa"/>
              <w:left w:w="100" w:type="dxa"/>
              <w:bottom w:w="90" w:type="dxa"/>
              <w:right w:w="100" w:type="dxa"/>
            </w:tcMar>
            <w:vAlign w:val="center"/>
          </w:tcPr>
          <w:p w14:paraId="3C74646A">
            <w:pPr>
              <w:spacing w:after="0"/>
              <w:jc w:val="left"/>
            </w:pPr>
            <w:r>
              <w:rPr>
                <w:rFonts w:ascii="Aptos" w:hAnsi="Aptos" w:eastAsia="Aptos"/>
                <w:b w:val="0"/>
                <w:color w:val="25313B"/>
                <w:sz w:val="17"/>
              </w:rPr>
              <w:t>165 children</w:t>
            </w:r>
          </w:p>
        </w:tc>
        <w:tc>
          <w:tcPr>
            <w:tcW w:w="3402" w:type="dxa"/>
            <w:shd w:val="clear" w:color="auto" w:fill="FFFFFF"/>
            <w:tcMar>
              <w:top w:w="90" w:type="dxa"/>
              <w:left w:w="100" w:type="dxa"/>
              <w:bottom w:w="90" w:type="dxa"/>
              <w:right w:w="100" w:type="dxa"/>
            </w:tcMar>
            <w:vAlign w:val="center"/>
          </w:tcPr>
          <w:p w14:paraId="03CEC150">
            <w:pPr>
              <w:spacing w:after="0"/>
              <w:jc w:val="left"/>
            </w:pPr>
            <w:r>
              <w:rPr>
                <w:rFonts w:ascii="Aptos" w:hAnsi="Aptos" w:eastAsia="Aptos"/>
                <w:b w:val="0"/>
                <w:color w:val="25313B"/>
                <w:sz w:val="17"/>
              </w:rPr>
              <w:t>Nutrition support was targeted through selected ECD centres.</w:t>
            </w:r>
          </w:p>
        </w:tc>
      </w:tr>
      <w:tr w14:paraId="08AF5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7" w:type="dxa"/>
            <w:shd w:val="clear" w:color="auto" w:fill="F2F4F5"/>
            <w:tcMar>
              <w:top w:w="90" w:type="dxa"/>
              <w:left w:w="100" w:type="dxa"/>
              <w:bottom w:w="90" w:type="dxa"/>
              <w:right w:w="100" w:type="dxa"/>
            </w:tcMar>
            <w:vAlign w:val="center"/>
          </w:tcPr>
          <w:p w14:paraId="29030C84">
            <w:pPr>
              <w:spacing w:after="0"/>
              <w:jc w:val="left"/>
            </w:pPr>
            <w:r>
              <w:rPr>
                <w:rFonts w:ascii="Aptos" w:hAnsi="Aptos" w:eastAsia="Aptos"/>
                <w:b w:val="0"/>
                <w:color w:val="25313B"/>
                <w:sz w:val="17"/>
              </w:rPr>
              <w:t>Balanced meals</w:t>
            </w:r>
          </w:p>
        </w:tc>
        <w:tc>
          <w:tcPr>
            <w:tcW w:w="2381" w:type="dxa"/>
            <w:shd w:val="clear" w:color="auto" w:fill="F2F4F5"/>
            <w:tcMar>
              <w:top w:w="90" w:type="dxa"/>
              <w:left w:w="100" w:type="dxa"/>
              <w:bottom w:w="90" w:type="dxa"/>
              <w:right w:w="100" w:type="dxa"/>
            </w:tcMar>
            <w:vAlign w:val="center"/>
          </w:tcPr>
          <w:p w14:paraId="7E61CF88">
            <w:pPr>
              <w:spacing w:after="0"/>
              <w:jc w:val="left"/>
            </w:pPr>
            <w:r>
              <w:rPr>
                <w:rFonts w:ascii="Aptos" w:hAnsi="Aptos" w:eastAsia="Aptos"/>
                <w:b w:val="0"/>
                <w:color w:val="25313B"/>
                <w:sz w:val="17"/>
              </w:rPr>
              <w:t>Children receiving balanced meals</w:t>
            </w:r>
          </w:p>
        </w:tc>
        <w:tc>
          <w:tcPr>
            <w:tcW w:w="2098" w:type="dxa"/>
            <w:shd w:val="clear" w:color="auto" w:fill="F2F4F5"/>
            <w:tcMar>
              <w:top w:w="90" w:type="dxa"/>
              <w:left w:w="100" w:type="dxa"/>
              <w:bottom w:w="90" w:type="dxa"/>
              <w:right w:w="100" w:type="dxa"/>
            </w:tcMar>
            <w:vAlign w:val="center"/>
          </w:tcPr>
          <w:p w14:paraId="071A75C1">
            <w:pPr>
              <w:spacing w:after="0"/>
              <w:jc w:val="left"/>
            </w:pPr>
            <w:r>
              <w:rPr>
                <w:rFonts w:ascii="Aptos" w:hAnsi="Aptos" w:eastAsia="Aptos"/>
                <w:b w:val="0"/>
                <w:color w:val="25313B"/>
                <w:sz w:val="17"/>
              </w:rPr>
              <w:t>81 children</w:t>
            </w:r>
          </w:p>
        </w:tc>
        <w:tc>
          <w:tcPr>
            <w:tcW w:w="3402" w:type="dxa"/>
            <w:shd w:val="clear" w:color="auto" w:fill="F2F4F5"/>
            <w:tcMar>
              <w:top w:w="90" w:type="dxa"/>
              <w:left w:w="100" w:type="dxa"/>
              <w:bottom w:w="90" w:type="dxa"/>
              <w:right w:w="100" w:type="dxa"/>
            </w:tcMar>
            <w:vAlign w:val="center"/>
          </w:tcPr>
          <w:p w14:paraId="54FCCAB9">
            <w:pPr>
              <w:spacing w:after="0"/>
              <w:jc w:val="left"/>
            </w:pPr>
            <w:r>
              <w:rPr>
                <w:rFonts w:ascii="Aptos" w:hAnsi="Aptos" w:eastAsia="Aptos"/>
                <w:b w:val="0"/>
                <w:color w:val="25313B"/>
                <w:sz w:val="17"/>
              </w:rPr>
              <w:t>The source chart identifies 81 children; a KPI table incorrectly labels the unit as ECD centres.</w:t>
            </w:r>
          </w:p>
        </w:tc>
      </w:tr>
      <w:tr w14:paraId="39C01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7" w:type="dxa"/>
            <w:shd w:val="clear" w:color="auto" w:fill="FFFFFF"/>
            <w:tcMar>
              <w:top w:w="90" w:type="dxa"/>
              <w:left w:w="100" w:type="dxa"/>
              <w:bottom w:w="90" w:type="dxa"/>
              <w:right w:w="100" w:type="dxa"/>
            </w:tcMar>
            <w:vAlign w:val="center"/>
          </w:tcPr>
          <w:p w14:paraId="1C772A57">
            <w:pPr>
              <w:spacing w:after="0"/>
              <w:jc w:val="left"/>
            </w:pPr>
            <w:r>
              <w:rPr>
                <w:rFonts w:ascii="Aptos" w:hAnsi="Aptos" w:eastAsia="Aptos"/>
                <w:b w:val="0"/>
                <w:color w:val="25313B"/>
                <w:sz w:val="17"/>
              </w:rPr>
              <w:t>Caregiver capacity</w:t>
            </w:r>
          </w:p>
        </w:tc>
        <w:tc>
          <w:tcPr>
            <w:tcW w:w="2381" w:type="dxa"/>
            <w:shd w:val="clear" w:color="auto" w:fill="FFFFFF"/>
            <w:tcMar>
              <w:top w:w="90" w:type="dxa"/>
              <w:left w:w="100" w:type="dxa"/>
              <w:bottom w:w="90" w:type="dxa"/>
              <w:right w:w="100" w:type="dxa"/>
            </w:tcMar>
            <w:vAlign w:val="center"/>
          </w:tcPr>
          <w:p w14:paraId="7E6306BA">
            <w:pPr>
              <w:spacing w:after="0"/>
              <w:jc w:val="left"/>
            </w:pPr>
            <w:r>
              <w:rPr>
                <w:rFonts w:ascii="Aptos" w:hAnsi="Aptos" w:eastAsia="Aptos"/>
                <w:b w:val="0"/>
                <w:color w:val="25313B"/>
                <w:sz w:val="17"/>
              </w:rPr>
              <w:t>Caregivers trained</w:t>
            </w:r>
          </w:p>
        </w:tc>
        <w:tc>
          <w:tcPr>
            <w:tcW w:w="2098" w:type="dxa"/>
            <w:shd w:val="clear" w:color="auto" w:fill="FFFFFF"/>
            <w:tcMar>
              <w:top w:w="90" w:type="dxa"/>
              <w:left w:w="100" w:type="dxa"/>
              <w:bottom w:w="90" w:type="dxa"/>
              <w:right w:w="100" w:type="dxa"/>
            </w:tcMar>
            <w:vAlign w:val="center"/>
          </w:tcPr>
          <w:p w14:paraId="305CF61C">
            <w:pPr>
              <w:spacing w:after="0"/>
              <w:jc w:val="left"/>
            </w:pPr>
            <w:r>
              <w:rPr>
                <w:rFonts w:ascii="Aptos" w:hAnsi="Aptos" w:eastAsia="Aptos"/>
                <w:b w:val="0"/>
                <w:color w:val="25313B"/>
                <w:sz w:val="17"/>
              </w:rPr>
              <w:t>35 caregivers: 29 women, 6 men</w:t>
            </w:r>
          </w:p>
        </w:tc>
        <w:tc>
          <w:tcPr>
            <w:tcW w:w="3402" w:type="dxa"/>
            <w:shd w:val="clear" w:color="auto" w:fill="FFFFFF"/>
            <w:tcMar>
              <w:top w:w="90" w:type="dxa"/>
              <w:left w:w="100" w:type="dxa"/>
              <w:bottom w:w="90" w:type="dxa"/>
              <w:right w:w="100" w:type="dxa"/>
            </w:tcMar>
            <w:vAlign w:val="center"/>
          </w:tcPr>
          <w:p w14:paraId="72A789B6">
            <w:pPr>
              <w:spacing w:after="0"/>
              <w:jc w:val="left"/>
            </w:pPr>
            <w:r>
              <w:rPr>
                <w:rFonts w:ascii="Aptos" w:hAnsi="Aptos" w:eastAsia="Aptos"/>
                <w:b w:val="0"/>
                <w:color w:val="25313B"/>
                <w:sz w:val="17"/>
              </w:rPr>
              <w:t>Training covered nutrition, child development, hygiene, sanitation, stimulation, and school readiness.</w:t>
            </w:r>
          </w:p>
        </w:tc>
      </w:tr>
      <w:tr w14:paraId="30668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7" w:type="dxa"/>
            <w:shd w:val="clear" w:color="auto" w:fill="F2F4F5"/>
            <w:tcMar>
              <w:top w:w="90" w:type="dxa"/>
              <w:left w:w="100" w:type="dxa"/>
              <w:bottom w:w="90" w:type="dxa"/>
              <w:right w:w="100" w:type="dxa"/>
            </w:tcMar>
            <w:vAlign w:val="center"/>
          </w:tcPr>
          <w:p w14:paraId="3C26F2B2">
            <w:pPr>
              <w:spacing w:after="0"/>
              <w:jc w:val="left"/>
            </w:pPr>
            <w:r>
              <w:rPr>
                <w:rFonts w:ascii="Aptos" w:hAnsi="Aptos" w:eastAsia="Aptos"/>
                <w:b w:val="0"/>
                <w:color w:val="25313B"/>
                <w:sz w:val="17"/>
              </w:rPr>
              <w:t>Growth monitoring</w:t>
            </w:r>
          </w:p>
        </w:tc>
        <w:tc>
          <w:tcPr>
            <w:tcW w:w="2381" w:type="dxa"/>
            <w:shd w:val="clear" w:color="auto" w:fill="F2F4F5"/>
            <w:tcMar>
              <w:top w:w="90" w:type="dxa"/>
              <w:left w:w="100" w:type="dxa"/>
              <w:bottom w:w="90" w:type="dxa"/>
              <w:right w:w="100" w:type="dxa"/>
            </w:tcMar>
            <w:vAlign w:val="center"/>
          </w:tcPr>
          <w:p w14:paraId="39547083">
            <w:pPr>
              <w:spacing w:after="0"/>
              <w:jc w:val="left"/>
            </w:pPr>
            <w:r>
              <w:rPr>
                <w:rFonts w:ascii="Aptos" w:hAnsi="Aptos" w:eastAsia="Aptos"/>
                <w:b w:val="0"/>
                <w:color w:val="25313B"/>
                <w:sz w:val="17"/>
              </w:rPr>
              <w:t>ECD centres conducting growth monitoring</w:t>
            </w:r>
          </w:p>
        </w:tc>
        <w:tc>
          <w:tcPr>
            <w:tcW w:w="2098" w:type="dxa"/>
            <w:shd w:val="clear" w:color="auto" w:fill="F2F4F5"/>
            <w:tcMar>
              <w:top w:w="90" w:type="dxa"/>
              <w:left w:w="100" w:type="dxa"/>
              <w:bottom w:w="90" w:type="dxa"/>
              <w:right w:w="100" w:type="dxa"/>
            </w:tcMar>
            <w:vAlign w:val="center"/>
          </w:tcPr>
          <w:p w14:paraId="5743FF10">
            <w:pPr>
              <w:spacing w:after="0"/>
              <w:jc w:val="left"/>
            </w:pPr>
            <w:r>
              <w:rPr>
                <w:rFonts w:ascii="Aptos" w:hAnsi="Aptos" w:eastAsia="Aptos"/>
                <w:b w:val="0"/>
                <w:color w:val="25313B"/>
                <w:sz w:val="17"/>
              </w:rPr>
              <w:t>81 centres</w:t>
            </w:r>
          </w:p>
        </w:tc>
        <w:tc>
          <w:tcPr>
            <w:tcW w:w="3402" w:type="dxa"/>
            <w:shd w:val="clear" w:color="auto" w:fill="F2F4F5"/>
            <w:tcMar>
              <w:top w:w="90" w:type="dxa"/>
              <w:left w:w="100" w:type="dxa"/>
              <w:bottom w:w="90" w:type="dxa"/>
              <w:right w:w="100" w:type="dxa"/>
            </w:tcMar>
            <w:vAlign w:val="center"/>
          </w:tcPr>
          <w:p w14:paraId="5D1535E8">
            <w:pPr>
              <w:spacing w:after="0"/>
              <w:jc w:val="left"/>
            </w:pPr>
            <w:r>
              <w:rPr>
                <w:rFonts w:ascii="Aptos" w:hAnsi="Aptos" w:eastAsia="Aptos"/>
                <w:b w:val="0"/>
                <w:color w:val="25313B"/>
                <w:sz w:val="17"/>
              </w:rPr>
              <w:t>Measurements and monitoring records were reviewed as part of child health follow-up.</w:t>
            </w:r>
          </w:p>
        </w:tc>
      </w:tr>
      <w:tr w14:paraId="1C807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7" w:type="dxa"/>
            <w:shd w:val="clear" w:color="auto" w:fill="FFFFFF"/>
            <w:tcMar>
              <w:top w:w="90" w:type="dxa"/>
              <w:left w:w="100" w:type="dxa"/>
              <w:bottom w:w="90" w:type="dxa"/>
              <w:right w:w="100" w:type="dxa"/>
            </w:tcMar>
            <w:vAlign w:val="center"/>
          </w:tcPr>
          <w:p w14:paraId="22B506C0">
            <w:pPr>
              <w:spacing w:after="0"/>
              <w:jc w:val="left"/>
            </w:pPr>
            <w:r>
              <w:rPr>
                <w:rFonts w:ascii="Aptos" w:hAnsi="Aptos" w:eastAsia="Aptos"/>
                <w:b w:val="0"/>
                <w:color w:val="25313B"/>
                <w:sz w:val="17"/>
              </w:rPr>
              <w:t>Household food security</w:t>
            </w:r>
          </w:p>
        </w:tc>
        <w:tc>
          <w:tcPr>
            <w:tcW w:w="2381" w:type="dxa"/>
            <w:shd w:val="clear" w:color="auto" w:fill="FFFFFF"/>
            <w:tcMar>
              <w:top w:w="90" w:type="dxa"/>
              <w:left w:w="100" w:type="dxa"/>
              <w:bottom w:w="90" w:type="dxa"/>
              <w:right w:w="100" w:type="dxa"/>
            </w:tcMar>
            <w:vAlign w:val="center"/>
          </w:tcPr>
          <w:p w14:paraId="1EAC124C">
            <w:pPr>
              <w:spacing w:after="0"/>
              <w:jc w:val="left"/>
            </w:pPr>
            <w:r>
              <w:rPr>
                <w:rFonts w:ascii="Aptos" w:hAnsi="Aptos" w:eastAsia="Aptos"/>
                <w:b w:val="0"/>
                <w:color w:val="25313B"/>
                <w:sz w:val="17"/>
              </w:rPr>
              <w:t>Households visited in Nyamagana B</w:t>
            </w:r>
          </w:p>
        </w:tc>
        <w:tc>
          <w:tcPr>
            <w:tcW w:w="2098" w:type="dxa"/>
            <w:shd w:val="clear" w:color="auto" w:fill="FFFFFF"/>
            <w:tcMar>
              <w:top w:w="90" w:type="dxa"/>
              <w:left w:w="100" w:type="dxa"/>
              <w:bottom w:w="90" w:type="dxa"/>
              <w:right w:w="100" w:type="dxa"/>
            </w:tcMar>
            <w:vAlign w:val="center"/>
          </w:tcPr>
          <w:p w14:paraId="11634EA2">
            <w:pPr>
              <w:spacing w:after="0"/>
              <w:jc w:val="left"/>
            </w:pPr>
            <w:r>
              <w:rPr>
                <w:rFonts w:ascii="Aptos" w:hAnsi="Aptos" w:eastAsia="Aptos"/>
                <w:b w:val="0"/>
                <w:color w:val="25313B"/>
                <w:sz w:val="17"/>
              </w:rPr>
              <w:t>217 households</w:t>
            </w:r>
          </w:p>
        </w:tc>
        <w:tc>
          <w:tcPr>
            <w:tcW w:w="3402" w:type="dxa"/>
            <w:shd w:val="clear" w:color="auto" w:fill="FFFFFF"/>
            <w:tcMar>
              <w:top w:w="90" w:type="dxa"/>
              <w:left w:w="100" w:type="dxa"/>
              <w:bottom w:w="90" w:type="dxa"/>
              <w:right w:w="100" w:type="dxa"/>
            </w:tcMar>
            <w:vAlign w:val="center"/>
          </w:tcPr>
          <w:p w14:paraId="23B9EE51">
            <w:pPr>
              <w:spacing w:after="0"/>
              <w:jc w:val="left"/>
            </w:pPr>
            <w:r>
              <w:rPr>
                <w:rFonts w:ascii="Aptos" w:hAnsi="Aptos" w:eastAsia="Aptos"/>
                <w:b w:val="0"/>
                <w:color w:val="25313B"/>
                <w:sz w:val="17"/>
              </w:rPr>
              <w:t>Households received practical guidance on gardens, vegetables, bananas, irrigation, hygiene, and self-reliance.</w:t>
            </w:r>
          </w:p>
        </w:tc>
      </w:tr>
      <w:tr w14:paraId="4A7C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7" w:type="dxa"/>
            <w:shd w:val="clear" w:color="auto" w:fill="F2F4F5"/>
            <w:tcMar>
              <w:top w:w="90" w:type="dxa"/>
              <w:left w:w="100" w:type="dxa"/>
              <w:bottom w:w="90" w:type="dxa"/>
              <w:right w:w="100" w:type="dxa"/>
            </w:tcMar>
            <w:vAlign w:val="center"/>
          </w:tcPr>
          <w:p w14:paraId="5C4758C8">
            <w:pPr>
              <w:spacing w:after="0"/>
              <w:jc w:val="left"/>
            </w:pPr>
            <w:r>
              <w:rPr>
                <w:rFonts w:ascii="Aptos" w:hAnsi="Aptos" w:eastAsia="Aptos"/>
                <w:b w:val="0"/>
                <w:color w:val="25313B"/>
                <w:sz w:val="17"/>
              </w:rPr>
              <w:t>Kitchen-garden status</w:t>
            </w:r>
          </w:p>
        </w:tc>
        <w:tc>
          <w:tcPr>
            <w:tcW w:w="2381" w:type="dxa"/>
            <w:shd w:val="clear" w:color="auto" w:fill="F2F4F5"/>
            <w:tcMar>
              <w:top w:w="90" w:type="dxa"/>
              <w:left w:w="100" w:type="dxa"/>
              <w:bottom w:w="90" w:type="dxa"/>
              <w:right w:w="100" w:type="dxa"/>
            </w:tcMar>
            <w:vAlign w:val="center"/>
          </w:tcPr>
          <w:p w14:paraId="0C85263C">
            <w:pPr>
              <w:spacing w:after="0"/>
              <w:jc w:val="left"/>
            </w:pPr>
            <w:r>
              <w:rPr>
                <w:rFonts w:ascii="Aptos" w:hAnsi="Aptos" w:eastAsia="Aptos"/>
                <w:b w:val="0"/>
                <w:color w:val="25313B"/>
                <w:sz w:val="17"/>
              </w:rPr>
              <w:t>Gardens in good condition / recorded as rehabilitated</w:t>
            </w:r>
          </w:p>
        </w:tc>
        <w:tc>
          <w:tcPr>
            <w:tcW w:w="2098" w:type="dxa"/>
            <w:shd w:val="clear" w:color="auto" w:fill="F2F4F5"/>
            <w:tcMar>
              <w:top w:w="90" w:type="dxa"/>
              <w:left w:w="100" w:type="dxa"/>
              <w:bottom w:w="90" w:type="dxa"/>
              <w:right w:w="100" w:type="dxa"/>
            </w:tcMar>
            <w:vAlign w:val="center"/>
          </w:tcPr>
          <w:p w14:paraId="780E043F">
            <w:pPr>
              <w:spacing w:after="0"/>
              <w:jc w:val="left"/>
            </w:pPr>
            <w:r>
              <w:rPr>
                <w:rFonts w:ascii="Aptos" w:hAnsi="Aptos" w:eastAsia="Aptos"/>
                <w:b w:val="0"/>
                <w:color w:val="25313B"/>
                <w:sz w:val="17"/>
              </w:rPr>
              <w:t>53 gardens</w:t>
            </w:r>
          </w:p>
        </w:tc>
        <w:tc>
          <w:tcPr>
            <w:tcW w:w="3402" w:type="dxa"/>
            <w:shd w:val="clear" w:color="auto" w:fill="F2F4F5"/>
            <w:tcMar>
              <w:top w:w="90" w:type="dxa"/>
              <w:left w:w="100" w:type="dxa"/>
              <w:bottom w:w="90" w:type="dxa"/>
              <w:right w:w="100" w:type="dxa"/>
            </w:tcMar>
            <w:vAlign w:val="center"/>
          </w:tcPr>
          <w:p w14:paraId="4478F736">
            <w:pPr>
              <w:spacing w:after="0"/>
              <w:jc w:val="left"/>
            </w:pPr>
            <w:r>
              <w:rPr>
                <w:rFonts w:ascii="Aptos" w:hAnsi="Aptos" w:eastAsia="Aptos"/>
                <w:b w:val="0"/>
                <w:color w:val="25313B"/>
                <w:sz w:val="17"/>
              </w:rPr>
              <w:t>The field report uses both descriptions; this report does not double-count them.</w:t>
            </w:r>
          </w:p>
        </w:tc>
      </w:tr>
      <w:tr w14:paraId="57530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7" w:type="dxa"/>
            <w:shd w:val="clear" w:color="auto" w:fill="FFFFFF"/>
            <w:tcMar>
              <w:top w:w="90" w:type="dxa"/>
              <w:left w:w="100" w:type="dxa"/>
              <w:bottom w:w="90" w:type="dxa"/>
              <w:right w:w="100" w:type="dxa"/>
            </w:tcMar>
            <w:vAlign w:val="center"/>
          </w:tcPr>
          <w:p w14:paraId="3DF1278D">
            <w:pPr>
              <w:spacing w:after="0"/>
              <w:jc w:val="left"/>
            </w:pPr>
            <w:r>
              <w:rPr>
                <w:rFonts w:ascii="Aptos" w:hAnsi="Aptos" w:eastAsia="Aptos"/>
                <w:b w:val="0"/>
                <w:color w:val="25313B"/>
                <w:sz w:val="17"/>
              </w:rPr>
              <w:t>Kitchen-garden follow-up</w:t>
            </w:r>
          </w:p>
        </w:tc>
        <w:tc>
          <w:tcPr>
            <w:tcW w:w="2381" w:type="dxa"/>
            <w:shd w:val="clear" w:color="auto" w:fill="FFFFFF"/>
            <w:tcMar>
              <w:top w:w="90" w:type="dxa"/>
              <w:left w:w="100" w:type="dxa"/>
              <w:bottom w:w="90" w:type="dxa"/>
              <w:right w:w="100" w:type="dxa"/>
            </w:tcMar>
            <w:vAlign w:val="center"/>
          </w:tcPr>
          <w:p w14:paraId="61E74867">
            <w:pPr>
              <w:spacing w:after="0"/>
              <w:jc w:val="left"/>
            </w:pPr>
            <w:r>
              <w:rPr>
                <w:rFonts w:ascii="Aptos" w:hAnsi="Aptos" w:eastAsia="Aptos"/>
                <w:b w:val="0"/>
                <w:color w:val="25313B"/>
                <w:sz w:val="17"/>
              </w:rPr>
              <w:t>Gardens requiring attention</w:t>
            </w:r>
          </w:p>
        </w:tc>
        <w:tc>
          <w:tcPr>
            <w:tcW w:w="2098" w:type="dxa"/>
            <w:shd w:val="clear" w:color="auto" w:fill="FFFFFF"/>
            <w:tcMar>
              <w:top w:w="90" w:type="dxa"/>
              <w:left w:w="100" w:type="dxa"/>
              <w:bottom w:w="90" w:type="dxa"/>
              <w:right w:w="100" w:type="dxa"/>
            </w:tcMar>
            <w:vAlign w:val="center"/>
          </w:tcPr>
          <w:p w14:paraId="02E916F3">
            <w:pPr>
              <w:spacing w:after="0"/>
              <w:jc w:val="left"/>
            </w:pPr>
            <w:r>
              <w:rPr>
                <w:rFonts w:ascii="Aptos" w:hAnsi="Aptos" w:eastAsia="Aptos"/>
                <w:b w:val="0"/>
                <w:color w:val="25313B"/>
                <w:sz w:val="17"/>
              </w:rPr>
              <w:t>48 gardens</w:t>
            </w:r>
          </w:p>
        </w:tc>
        <w:tc>
          <w:tcPr>
            <w:tcW w:w="3402" w:type="dxa"/>
            <w:shd w:val="clear" w:color="auto" w:fill="FFFFFF"/>
            <w:tcMar>
              <w:top w:w="90" w:type="dxa"/>
              <w:left w:w="100" w:type="dxa"/>
              <w:bottom w:w="90" w:type="dxa"/>
              <w:right w:w="100" w:type="dxa"/>
            </w:tcMar>
            <w:vAlign w:val="center"/>
          </w:tcPr>
          <w:p w14:paraId="4709F2D5">
            <w:pPr>
              <w:spacing w:after="0"/>
              <w:jc w:val="left"/>
            </w:pPr>
            <w:r>
              <w:rPr>
                <w:rFonts w:ascii="Aptos" w:hAnsi="Aptos" w:eastAsia="Aptos"/>
                <w:b w:val="0"/>
                <w:color w:val="25313B"/>
                <w:sz w:val="17"/>
              </w:rPr>
              <w:t>These households require continued technical follow-up and rehabilitation support.</w:t>
            </w:r>
          </w:p>
        </w:tc>
      </w:tr>
      <w:tr w14:paraId="6A53F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7" w:type="dxa"/>
            <w:shd w:val="clear" w:color="auto" w:fill="F2F4F5"/>
            <w:tcMar>
              <w:top w:w="90" w:type="dxa"/>
              <w:left w:w="100" w:type="dxa"/>
              <w:bottom w:w="90" w:type="dxa"/>
              <w:right w:w="100" w:type="dxa"/>
            </w:tcMar>
            <w:vAlign w:val="center"/>
          </w:tcPr>
          <w:p w14:paraId="1918110B">
            <w:pPr>
              <w:spacing w:after="0"/>
              <w:jc w:val="left"/>
            </w:pPr>
            <w:r>
              <w:rPr>
                <w:rFonts w:ascii="Aptos" w:hAnsi="Aptos" w:eastAsia="Aptos"/>
                <w:b w:val="0"/>
                <w:color w:val="25313B"/>
                <w:sz w:val="17"/>
              </w:rPr>
              <w:t>Water constraint</w:t>
            </w:r>
          </w:p>
        </w:tc>
        <w:tc>
          <w:tcPr>
            <w:tcW w:w="2381" w:type="dxa"/>
            <w:shd w:val="clear" w:color="auto" w:fill="F2F4F5"/>
            <w:tcMar>
              <w:top w:w="90" w:type="dxa"/>
              <w:left w:w="100" w:type="dxa"/>
              <w:bottom w:w="90" w:type="dxa"/>
              <w:right w:w="100" w:type="dxa"/>
            </w:tcMar>
            <w:vAlign w:val="center"/>
          </w:tcPr>
          <w:p w14:paraId="44B011EB">
            <w:pPr>
              <w:spacing w:after="0"/>
              <w:jc w:val="left"/>
            </w:pPr>
            <w:r>
              <w:rPr>
                <w:rFonts w:ascii="Aptos" w:hAnsi="Aptos" w:eastAsia="Aptos"/>
                <w:b w:val="0"/>
                <w:color w:val="25313B"/>
                <w:sz w:val="17"/>
              </w:rPr>
              <w:t>Households with vegetables requiring watering</w:t>
            </w:r>
          </w:p>
        </w:tc>
        <w:tc>
          <w:tcPr>
            <w:tcW w:w="2098" w:type="dxa"/>
            <w:shd w:val="clear" w:color="auto" w:fill="F2F4F5"/>
            <w:tcMar>
              <w:top w:w="90" w:type="dxa"/>
              <w:left w:w="100" w:type="dxa"/>
              <w:bottom w:w="90" w:type="dxa"/>
              <w:right w:w="100" w:type="dxa"/>
            </w:tcMar>
            <w:vAlign w:val="center"/>
          </w:tcPr>
          <w:p w14:paraId="544F7449">
            <w:pPr>
              <w:spacing w:after="0"/>
              <w:jc w:val="left"/>
            </w:pPr>
            <w:r>
              <w:rPr>
                <w:rFonts w:ascii="Aptos" w:hAnsi="Aptos" w:eastAsia="Aptos"/>
                <w:b w:val="0"/>
                <w:color w:val="25313B"/>
                <w:sz w:val="17"/>
              </w:rPr>
              <w:t>116 households</w:t>
            </w:r>
          </w:p>
        </w:tc>
        <w:tc>
          <w:tcPr>
            <w:tcW w:w="3402" w:type="dxa"/>
            <w:shd w:val="clear" w:color="auto" w:fill="F2F4F5"/>
            <w:tcMar>
              <w:top w:w="90" w:type="dxa"/>
              <w:left w:w="100" w:type="dxa"/>
              <w:bottom w:w="90" w:type="dxa"/>
              <w:right w:w="100" w:type="dxa"/>
            </w:tcMar>
            <w:vAlign w:val="center"/>
          </w:tcPr>
          <w:p w14:paraId="05D06CF7">
            <w:pPr>
              <w:spacing w:after="0"/>
              <w:jc w:val="left"/>
            </w:pPr>
            <w:r>
              <w:rPr>
                <w:rFonts w:ascii="Aptos" w:hAnsi="Aptos" w:eastAsia="Aptos"/>
                <w:b w:val="0"/>
                <w:color w:val="25313B"/>
                <w:sz w:val="17"/>
              </w:rPr>
              <w:t>Water access was the most immediate threat to maintaining food production.</w:t>
            </w:r>
          </w:p>
        </w:tc>
      </w:tr>
    </w:tbl>
    <w:p w14:paraId="034B07FF"/>
    <w:p w14:paraId="6ED05B63">
      <w:pPr>
        <w:jc w:val="center"/>
      </w:pPr>
      <w:r>
        <w:drawing>
          <wp:inline distT="0" distB="0" distL="114300" distR="114300">
            <wp:extent cx="4967605" cy="2123440"/>
            <wp:effectExtent l="0" t="0" r="10795" b="1016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2"/>
                    <a:stretch>
                      <a:fillRect/>
                    </a:stretch>
                  </pic:blipFill>
                  <pic:spPr>
                    <a:xfrm>
                      <a:off x="0" y="0"/>
                      <a:ext cx="4968000" cy="2124000"/>
                    </a:xfrm>
                    <a:prstGeom prst="rect">
                      <a:avLst/>
                    </a:prstGeom>
                  </pic:spPr>
                </pic:pic>
              </a:graphicData>
            </a:graphic>
          </wp:inline>
        </w:drawing>
      </w:r>
    </w:p>
    <w:p w14:paraId="42A40423">
      <w:pPr>
        <w:pStyle w:val="16"/>
      </w:pPr>
      <w:r>
        <w:t>Figure 1. Nutrition support reported by the Nyanza ECD programme for April–June 2026: 195 eggs, 165 children receiving egg supplements, and 81 children receiving balanced meals.</w:t>
      </w:r>
    </w:p>
    <w:p w14:paraId="776BB07A">
      <w:pPr>
        <w:pStyle w:val="2"/>
        <w:pBdr>
          <w:bottom w:val="single" w:color="D8A23D" w:sz="8" w:space="2"/>
        </w:pBdr>
      </w:pPr>
      <w:r>
        <w:t>4. Progress Since the Previous GlobalGiving Update</w:t>
      </w:r>
    </w:p>
    <w:p w14:paraId="57D69BFE">
      <w:pPr>
        <w:spacing w:after="100" w:line="269" w:lineRule="auto"/>
      </w:pPr>
      <w:r>
        <w:t>The January–March report documented the expansion of immediate nutrition support and household-level preventive measures. The April–June quarter continued the same pathway but shifted toward monitoring quality, consolidating ECD services, and protecting household food-production gains.</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7"/>
        <w:gridCol w:w="2098"/>
        <w:gridCol w:w="2494"/>
        <w:gridCol w:w="3288"/>
      </w:tblGrid>
      <w:tr w14:paraId="4F62F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757" w:type="dxa"/>
            <w:shd w:val="clear" w:color="auto" w:fill="244522"/>
            <w:tcMar>
              <w:top w:w="90" w:type="dxa"/>
              <w:left w:w="100" w:type="dxa"/>
              <w:bottom w:w="90" w:type="dxa"/>
              <w:right w:w="100" w:type="dxa"/>
            </w:tcMar>
            <w:vAlign w:val="center"/>
          </w:tcPr>
          <w:p w14:paraId="1702E634">
            <w:pPr>
              <w:spacing w:after="0"/>
              <w:jc w:val="center"/>
            </w:pPr>
            <w:r>
              <w:rPr>
                <w:rFonts w:ascii="Aptos" w:hAnsi="Aptos" w:eastAsia="Aptos"/>
                <w:b/>
                <w:color w:val="FFFFFF"/>
                <w:sz w:val="18"/>
              </w:rPr>
              <w:t>Indicator</w:t>
            </w:r>
          </w:p>
        </w:tc>
        <w:tc>
          <w:tcPr>
            <w:tcW w:w="2098" w:type="dxa"/>
            <w:shd w:val="clear" w:color="auto" w:fill="244522"/>
            <w:tcMar>
              <w:top w:w="90" w:type="dxa"/>
              <w:left w:w="100" w:type="dxa"/>
              <w:bottom w:w="90" w:type="dxa"/>
              <w:right w:w="100" w:type="dxa"/>
            </w:tcMar>
            <w:vAlign w:val="center"/>
          </w:tcPr>
          <w:p w14:paraId="51BC1E9A">
            <w:pPr>
              <w:spacing w:after="0"/>
              <w:jc w:val="center"/>
            </w:pPr>
            <w:r>
              <w:rPr>
                <w:rFonts w:ascii="Aptos" w:hAnsi="Aptos" w:eastAsia="Aptos"/>
                <w:b/>
                <w:color w:val="FFFFFF"/>
                <w:sz w:val="18"/>
              </w:rPr>
              <w:t>January–March 2026</w:t>
            </w:r>
          </w:p>
        </w:tc>
        <w:tc>
          <w:tcPr>
            <w:tcW w:w="2494" w:type="dxa"/>
            <w:shd w:val="clear" w:color="auto" w:fill="244522"/>
            <w:tcMar>
              <w:top w:w="90" w:type="dxa"/>
              <w:left w:w="100" w:type="dxa"/>
              <w:bottom w:w="90" w:type="dxa"/>
              <w:right w:w="100" w:type="dxa"/>
            </w:tcMar>
            <w:vAlign w:val="center"/>
          </w:tcPr>
          <w:p w14:paraId="6599B0C6">
            <w:pPr>
              <w:spacing w:after="0"/>
              <w:jc w:val="center"/>
            </w:pPr>
            <w:r>
              <w:rPr>
                <w:rFonts w:ascii="Aptos" w:hAnsi="Aptos" w:eastAsia="Aptos"/>
                <w:b/>
                <w:color w:val="FFFFFF"/>
                <w:sz w:val="18"/>
              </w:rPr>
              <w:t>April–June 2026</w:t>
            </w:r>
          </w:p>
        </w:tc>
        <w:tc>
          <w:tcPr>
            <w:tcW w:w="3288" w:type="dxa"/>
            <w:shd w:val="clear" w:color="auto" w:fill="244522"/>
            <w:tcMar>
              <w:top w:w="90" w:type="dxa"/>
              <w:left w:w="100" w:type="dxa"/>
              <w:bottom w:w="90" w:type="dxa"/>
              <w:right w:w="100" w:type="dxa"/>
            </w:tcMar>
            <w:vAlign w:val="center"/>
          </w:tcPr>
          <w:p w14:paraId="7C7F0FCC">
            <w:pPr>
              <w:spacing w:after="0"/>
              <w:jc w:val="center"/>
            </w:pPr>
            <w:r>
              <w:rPr>
                <w:rFonts w:ascii="Aptos" w:hAnsi="Aptos" w:eastAsia="Aptos"/>
                <w:b/>
                <w:color w:val="FFFFFF"/>
                <w:sz w:val="18"/>
              </w:rPr>
              <w:t>Comparison note</w:t>
            </w:r>
          </w:p>
        </w:tc>
      </w:tr>
      <w:tr w14:paraId="6F858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7" w:type="dxa"/>
            <w:shd w:val="clear" w:color="auto" w:fill="FFFFFF"/>
            <w:tcMar>
              <w:top w:w="90" w:type="dxa"/>
              <w:left w:w="100" w:type="dxa"/>
              <w:bottom w:w="90" w:type="dxa"/>
              <w:right w:w="100" w:type="dxa"/>
            </w:tcMar>
            <w:vAlign w:val="center"/>
          </w:tcPr>
          <w:p w14:paraId="0C27FA17">
            <w:pPr>
              <w:spacing w:after="0"/>
              <w:jc w:val="left"/>
            </w:pPr>
            <w:r>
              <w:rPr>
                <w:rFonts w:ascii="Aptos" w:hAnsi="Aptos" w:eastAsia="Aptos"/>
                <w:b w:val="0"/>
                <w:color w:val="25313B"/>
                <w:sz w:val="16"/>
              </w:rPr>
              <w:t>Eggs distributed</w:t>
            </w:r>
          </w:p>
        </w:tc>
        <w:tc>
          <w:tcPr>
            <w:tcW w:w="2098" w:type="dxa"/>
            <w:shd w:val="clear" w:color="auto" w:fill="FFFFFF"/>
            <w:tcMar>
              <w:top w:w="90" w:type="dxa"/>
              <w:left w:w="100" w:type="dxa"/>
              <w:bottom w:w="90" w:type="dxa"/>
              <w:right w:w="100" w:type="dxa"/>
            </w:tcMar>
            <w:vAlign w:val="center"/>
          </w:tcPr>
          <w:p w14:paraId="58B8B4BC">
            <w:pPr>
              <w:spacing w:after="0"/>
              <w:jc w:val="left"/>
            </w:pPr>
            <w:r>
              <w:rPr>
                <w:rFonts w:ascii="Aptos" w:hAnsi="Aptos" w:eastAsia="Aptos"/>
                <w:b w:val="0"/>
                <w:color w:val="25313B"/>
                <w:sz w:val="16"/>
              </w:rPr>
              <w:t>180 eggs</w:t>
            </w:r>
          </w:p>
        </w:tc>
        <w:tc>
          <w:tcPr>
            <w:tcW w:w="2494" w:type="dxa"/>
            <w:shd w:val="clear" w:color="auto" w:fill="FFFFFF"/>
            <w:tcMar>
              <w:top w:w="90" w:type="dxa"/>
              <w:left w:w="100" w:type="dxa"/>
              <w:bottom w:w="90" w:type="dxa"/>
              <w:right w:w="100" w:type="dxa"/>
            </w:tcMar>
            <w:vAlign w:val="center"/>
          </w:tcPr>
          <w:p w14:paraId="2CE3E64B">
            <w:pPr>
              <w:spacing w:after="0"/>
              <w:jc w:val="left"/>
            </w:pPr>
            <w:r>
              <w:rPr>
                <w:rFonts w:ascii="Aptos" w:hAnsi="Aptos" w:eastAsia="Aptos"/>
                <w:b w:val="0"/>
                <w:color w:val="25313B"/>
                <w:sz w:val="16"/>
              </w:rPr>
              <w:t>195 eggs</w:t>
            </w:r>
          </w:p>
        </w:tc>
        <w:tc>
          <w:tcPr>
            <w:tcW w:w="3288" w:type="dxa"/>
            <w:shd w:val="clear" w:color="auto" w:fill="FFFFFF"/>
            <w:tcMar>
              <w:top w:w="90" w:type="dxa"/>
              <w:left w:w="100" w:type="dxa"/>
              <w:bottom w:w="90" w:type="dxa"/>
              <w:right w:w="100" w:type="dxa"/>
            </w:tcMar>
            <w:vAlign w:val="center"/>
          </w:tcPr>
          <w:p w14:paraId="2578F562">
            <w:pPr>
              <w:spacing w:after="0"/>
              <w:jc w:val="left"/>
            </w:pPr>
            <w:r>
              <w:rPr>
                <w:rFonts w:ascii="Aptos" w:hAnsi="Aptos" w:eastAsia="Aptos"/>
                <w:b w:val="0"/>
                <w:color w:val="25313B"/>
                <w:sz w:val="16"/>
              </w:rPr>
              <w:t>An increase of 15 eggs, equivalent to 8.3%.</w:t>
            </w:r>
          </w:p>
        </w:tc>
      </w:tr>
      <w:tr w14:paraId="48C2F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7" w:type="dxa"/>
            <w:shd w:val="clear" w:color="auto" w:fill="F2F4F5"/>
            <w:tcMar>
              <w:top w:w="90" w:type="dxa"/>
              <w:left w:w="100" w:type="dxa"/>
              <w:bottom w:w="90" w:type="dxa"/>
              <w:right w:w="100" w:type="dxa"/>
            </w:tcMar>
            <w:vAlign w:val="center"/>
          </w:tcPr>
          <w:p w14:paraId="04BFCE7F">
            <w:pPr>
              <w:spacing w:after="0"/>
              <w:jc w:val="left"/>
            </w:pPr>
            <w:r>
              <w:rPr>
                <w:rFonts w:ascii="Aptos" w:hAnsi="Aptos" w:eastAsia="Aptos"/>
                <w:b w:val="0"/>
                <w:color w:val="25313B"/>
                <w:sz w:val="16"/>
              </w:rPr>
              <w:t>ECD centres monitored</w:t>
            </w:r>
          </w:p>
        </w:tc>
        <w:tc>
          <w:tcPr>
            <w:tcW w:w="2098" w:type="dxa"/>
            <w:shd w:val="clear" w:color="auto" w:fill="F2F4F5"/>
            <w:tcMar>
              <w:top w:w="90" w:type="dxa"/>
              <w:left w:w="100" w:type="dxa"/>
              <w:bottom w:w="90" w:type="dxa"/>
              <w:right w:w="100" w:type="dxa"/>
            </w:tcMar>
            <w:vAlign w:val="center"/>
          </w:tcPr>
          <w:p w14:paraId="49D04661">
            <w:pPr>
              <w:spacing w:after="0"/>
              <w:jc w:val="left"/>
            </w:pPr>
            <w:r>
              <w:rPr>
                <w:rFonts w:ascii="Aptos" w:hAnsi="Aptos" w:eastAsia="Aptos"/>
                <w:b w:val="0"/>
                <w:color w:val="25313B"/>
                <w:sz w:val="16"/>
              </w:rPr>
              <w:t>173 centres</w:t>
            </w:r>
          </w:p>
        </w:tc>
        <w:tc>
          <w:tcPr>
            <w:tcW w:w="2494" w:type="dxa"/>
            <w:shd w:val="clear" w:color="auto" w:fill="F2F4F5"/>
            <w:tcMar>
              <w:top w:w="90" w:type="dxa"/>
              <w:left w:w="100" w:type="dxa"/>
              <w:bottom w:w="90" w:type="dxa"/>
              <w:right w:w="100" w:type="dxa"/>
            </w:tcMar>
            <w:vAlign w:val="center"/>
          </w:tcPr>
          <w:p w14:paraId="593BC43A">
            <w:pPr>
              <w:spacing w:after="0"/>
              <w:jc w:val="left"/>
            </w:pPr>
            <w:r>
              <w:rPr>
                <w:rFonts w:ascii="Aptos" w:hAnsi="Aptos" w:eastAsia="Aptos"/>
                <w:b w:val="0"/>
                <w:color w:val="25313B"/>
                <w:sz w:val="16"/>
              </w:rPr>
              <w:t>174 centres</w:t>
            </w:r>
          </w:p>
        </w:tc>
        <w:tc>
          <w:tcPr>
            <w:tcW w:w="3288" w:type="dxa"/>
            <w:shd w:val="clear" w:color="auto" w:fill="F2F4F5"/>
            <w:tcMar>
              <w:top w:w="90" w:type="dxa"/>
              <w:left w:w="100" w:type="dxa"/>
              <w:bottom w:w="90" w:type="dxa"/>
              <w:right w:w="100" w:type="dxa"/>
            </w:tcMar>
            <w:vAlign w:val="center"/>
          </w:tcPr>
          <w:p w14:paraId="4C7DD9FD">
            <w:pPr>
              <w:spacing w:after="0"/>
              <w:jc w:val="left"/>
            </w:pPr>
            <w:r>
              <w:rPr>
                <w:rFonts w:ascii="Aptos" w:hAnsi="Aptos" w:eastAsia="Aptos"/>
                <w:b w:val="0"/>
                <w:color w:val="25313B"/>
                <w:sz w:val="16"/>
              </w:rPr>
              <w:t>Coverage was sustained at nearly the same district-wide level.</w:t>
            </w:r>
          </w:p>
        </w:tc>
      </w:tr>
      <w:tr w14:paraId="70587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7" w:type="dxa"/>
            <w:shd w:val="clear" w:color="auto" w:fill="FFFFFF"/>
            <w:tcMar>
              <w:top w:w="90" w:type="dxa"/>
              <w:left w:w="100" w:type="dxa"/>
              <w:bottom w:w="90" w:type="dxa"/>
              <w:right w:w="100" w:type="dxa"/>
            </w:tcMar>
            <w:vAlign w:val="center"/>
          </w:tcPr>
          <w:p w14:paraId="5F5B928D">
            <w:pPr>
              <w:spacing w:after="0"/>
              <w:jc w:val="left"/>
            </w:pPr>
            <w:r>
              <w:rPr>
                <w:rFonts w:ascii="Aptos" w:hAnsi="Aptos" w:eastAsia="Aptos"/>
                <w:b w:val="0"/>
                <w:color w:val="25313B"/>
                <w:sz w:val="16"/>
              </w:rPr>
              <w:t>Nutrition screening</w:t>
            </w:r>
          </w:p>
        </w:tc>
        <w:tc>
          <w:tcPr>
            <w:tcW w:w="2098" w:type="dxa"/>
            <w:shd w:val="clear" w:color="auto" w:fill="FFFFFF"/>
            <w:tcMar>
              <w:top w:w="90" w:type="dxa"/>
              <w:left w:w="100" w:type="dxa"/>
              <w:bottom w:w="90" w:type="dxa"/>
              <w:right w:w="100" w:type="dxa"/>
            </w:tcMar>
            <w:vAlign w:val="center"/>
          </w:tcPr>
          <w:p w14:paraId="70A8E461">
            <w:pPr>
              <w:spacing w:after="0"/>
              <w:jc w:val="left"/>
            </w:pPr>
            <w:r>
              <w:rPr>
                <w:rFonts w:ascii="Aptos" w:hAnsi="Aptos" w:eastAsia="Aptos"/>
                <w:b w:val="0"/>
                <w:color w:val="25313B"/>
                <w:sz w:val="16"/>
              </w:rPr>
              <w:t>160 children screened using MUAC</w:t>
            </w:r>
          </w:p>
        </w:tc>
        <w:tc>
          <w:tcPr>
            <w:tcW w:w="2494" w:type="dxa"/>
            <w:shd w:val="clear" w:color="auto" w:fill="FFFFFF"/>
            <w:tcMar>
              <w:top w:w="90" w:type="dxa"/>
              <w:left w:w="100" w:type="dxa"/>
              <w:bottom w:w="90" w:type="dxa"/>
              <w:right w:w="100" w:type="dxa"/>
            </w:tcMar>
            <w:vAlign w:val="center"/>
          </w:tcPr>
          <w:p w14:paraId="5617BC40">
            <w:pPr>
              <w:spacing w:after="0"/>
              <w:jc w:val="left"/>
            </w:pPr>
            <w:r>
              <w:rPr>
                <w:rFonts w:ascii="Aptos" w:hAnsi="Aptos" w:eastAsia="Aptos"/>
                <w:b w:val="0"/>
                <w:color w:val="25313B"/>
                <w:sz w:val="16"/>
              </w:rPr>
              <w:t>No verified quarterly MUAC total reported</w:t>
            </w:r>
          </w:p>
        </w:tc>
        <w:tc>
          <w:tcPr>
            <w:tcW w:w="3288" w:type="dxa"/>
            <w:shd w:val="clear" w:color="auto" w:fill="FFFFFF"/>
            <w:tcMar>
              <w:top w:w="90" w:type="dxa"/>
              <w:left w:w="100" w:type="dxa"/>
              <w:bottom w:w="90" w:type="dxa"/>
              <w:right w:w="100" w:type="dxa"/>
            </w:tcMar>
            <w:vAlign w:val="center"/>
          </w:tcPr>
          <w:p w14:paraId="5A29A166">
            <w:pPr>
              <w:spacing w:after="0"/>
              <w:jc w:val="left"/>
            </w:pPr>
            <w:r>
              <w:rPr>
                <w:rFonts w:ascii="Aptos" w:hAnsi="Aptos" w:eastAsia="Aptos"/>
                <w:b w:val="0"/>
                <w:color w:val="25313B"/>
                <w:sz w:val="16"/>
              </w:rPr>
              <w:t>Direct comparison is not possible; this is a priority data gap.</w:t>
            </w:r>
          </w:p>
        </w:tc>
      </w:tr>
      <w:tr w14:paraId="56999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7" w:type="dxa"/>
            <w:shd w:val="clear" w:color="auto" w:fill="F2F4F5"/>
            <w:tcMar>
              <w:top w:w="90" w:type="dxa"/>
              <w:left w:w="100" w:type="dxa"/>
              <w:bottom w:w="90" w:type="dxa"/>
              <w:right w:w="100" w:type="dxa"/>
            </w:tcMar>
            <w:vAlign w:val="center"/>
          </w:tcPr>
          <w:p w14:paraId="2A0935B8">
            <w:pPr>
              <w:spacing w:after="0"/>
              <w:jc w:val="left"/>
            </w:pPr>
            <w:r>
              <w:rPr>
                <w:rFonts w:ascii="Aptos" w:hAnsi="Aptos" w:eastAsia="Aptos"/>
                <w:b w:val="0"/>
                <w:color w:val="25313B"/>
                <w:sz w:val="16"/>
              </w:rPr>
              <w:t>Kitchen gardens</w:t>
            </w:r>
          </w:p>
        </w:tc>
        <w:tc>
          <w:tcPr>
            <w:tcW w:w="2098" w:type="dxa"/>
            <w:shd w:val="clear" w:color="auto" w:fill="F2F4F5"/>
            <w:tcMar>
              <w:top w:w="90" w:type="dxa"/>
              <w:left w:w="100" w:type="dxa"/>
              <w:bottom w:w="90" w:type="dxa"/>
              <w:right w:w="100" w:type="dxa"/>
            </w:tcMar>
            <w:vAlign w:val="center"/>
          </w:tcPr>
          <w:p w14:paraId="5F9149E1">
            <w:pPr>
              <w:spacing w:after="0"/>
              <w:jc w:val="left"/>
            </w:pPr>
            <w:r>
              <w:rPr>
                <w:rFonts w:ascii="Aptos" w:hAnsi="Aptos" w:eastAsia="Aptos"/>
                <w:b w:val="0"/>
                <w:color w:val="25313B"/>
                <w:sz w:val="16"/>
              </w:rPr>
              <w:t>145 gardens constructed</w:t>
            </w:r>
          </w:p>
        </w:tc>
        <w:tc>
          <w:tcPr>
            <w:tcW w:w="2494" w:type="dxa"/>
            <w:shd w:val="clear" w:color="auto" w:fill="F2F4F5"/>
            <w:tcMar>
              <w:top w:w="90" w:type="dxa"/>
              <w:left w:w="100" w:type="dxa"/>
              <w:bottom w:w="90" w:type="dxa"/>
              <w:right w:w="100" w:type="dxa"/>
            </w:tcMar>
            <w:vAlign w:val="center"/>
          </w:tcPr>
          <w:p w14:paraId="47351A8F">
            <w:pPr>
              <w:spacing w:after="0"/>
              <w:jc w:val="left"/>
            </w:pPr>
            <w:r>
              <w:rPr>
                <w:rFonts w:ascii="Aptos" w:hAnsi="Aptos" w:eastAsia="Aptos"/>
                <w:b w:val="0"/>
                <w:color w:val="25313B"/>
                <w:sz w:val="16"/>
              </w:rPr>
              <w:t>217 households monitored; 53 gardens good/rehabilitated; 48 needing attention</w:t>
            </w:r>
          </w:p>
        </w:tc>
        <w:tc>
          <w:tcPr>
            <w:tcW w:w="3288" w:type="dxa"/>
            <w:shd w:val="clear" w:color="auto" w:fill="F2F4F5"/>
            <w:tcMar>
              <w:top w:w="90" w:type="dxa"/>
              <w:left w:w="100" w:type="dxa"/>
              <w:bottom w:w="90" w:type="dxa"/>
              <w:right w:w="100" w:type="dxa"/>
            </w:tcMar>
            <w:vAlign w:val="center"/>
          </w:tcPr>
          <w:p w14:paraId="7BD9A99B">
            <w:pPr>
              <w:spacing w:after="0"/>
              <w:jc w:val="left"/>
            </w:pPr>
            <w:r>
              <w:rPr>
                <w:rFonts w:ascii="Aptos" w:hAnsi="Aptos" w:eastAsia="Aptos"/>
                <w:b w:val="0"/>
                <w:color w:val="25313B"/>
                <w:sz w:val="16"/>
              </w:rPr>
              <w:t>The indicators changed from construction to follow-up, so figures should not be added or treated as the same measure.</w:t>
            </w:r>
          </w:p>
        </w:tc>
      </w:tr>
      <w:tr w14:paraId="1800F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7" w:type="dxa"/>
            <w:shd w:val="clear" w:color="auto" w:fill="FFFFFF"/>
            <w:tcMar>
              <w:top w:w="90" w:type="dxa"/>
              <w:left w:w="100" w:type="dxa"/>
              <w:bottom w:w="90" w:type="dxa"/>
              <w:right w:w="100" w:type="dxa"/>
            </w:tcMar>
            <w:vAlign w:val="center"/>
          </w:tcPr>
          <w:p w14:paraId="734226D3">
            <w:pPr>
              <w:spacing w:after="0"/>
              <w:jc w:val="left"/>
            </w:pPr>
            <w:r>
              <w:rPr>
                <w:rFonts w:ascii="Aptos" w:hAnsi="Aptos" w:eastAsia="Aptos"/>
                <w:b w:val="0"/>
                <w:color w:val="25313B"/>
                <w:sz w:val="16"/>
              </w:rPr>
              <w:t>Training</w:t>
            </w:r>
          </w:p>
        </w:tc>
        <w:tc>
          <w:tcPr>
            <w:tcW w:w="2098" w:type="dxa"/>
            <w:shd w:val="clear" w:color="auto" w:fill="FFFFFF"/>
            <w:tcMar>
              <w:top w:w="90" w:type="dxa"/>
              <w:left w:w="100" w:type="dxa"/>
              <w:bottom w:w="90" w:type="dxa"/>
              <w:right w:w="100" w:type="dxa"/>
            </w:tcMar>
            <w:vAlign w:val="center"/>
          </w:tcPr>
          <w:p w14:paraId="6D6F0953">
            <w:pPr>
              <w:spacing w:after="0"/>
              <w:jc w:val="left"/>
            </w:pPr>
            <w:r>
              <w:rPr>
                <w:rFonts w:ascii="Aptos" w:hAnsi="Aptos" w:eastAsia="Aptos"/>
                <w:b w:val="0"/>
                <w:color w:val="25313B"/>
                <w:sz w:val="16"/>
              </w:rPr>
              <w:t>295 participants, including caregivers, parents, and CHWs</w:t>
            </w:r>
          </w:p>
        </w:tc>
        <w:tc>
          <w:tcPr>
            <w:tcW w:w="2494" w:type="dxa"/>
            <w:shd w:val="clear" w:color="auto" w:fill="FFFFFF"/>
            <w:tcMar>
              <w:top w:w="90" w:type="dxa"/>
              <w:left w:w="100" w:type="dxa"/>
              <w:bottom w:w="90" w:type="dxa"/>
              <w:right w:w="100" w:type="dxa"/>
            </w:tcMar>
            <w:vAlign w:val="center"/>
          </w:tcPr>
          <w:p w14:paraId="647F65B3">
            <w:pPr>
              <w:spacing w:after="0"/>
              <w:jc w:val="left"/>
            </w:pPr>
            <w:r>
              <w:rPr>
                <w:rFonts w:ascii="Aptos" w:hAnsi="Aptos" w:eastAsia="Aptos"/>
                <w:b w:val="0"/>
                <w:color w:val="25313B"/>
                <w:sz w:val="16"/>
              </w:rPr>
              <w:t>35 caregivers trained</w:t>
            </w:r>
          </w:p>
        </w:tc>
        <w:tc>
          <w:tcPr>
            <w:tcW w:w="3288" w:type="dxa"/>
            <w:shd w:val="clear" w:color="auto" w:fill="FFFFFF"/>
            <w:tcMar>
              <w:top w:w="90" w:type="dxa"/>
              <w:left w:w="100" w:type="dxa"/>
              <w:bottom w:w="90" w:type="dxa"/>
              <w:right w:w="100" w:type="dxa"/>
            </w:tcMar>
            <w:vAlign w:val="center"/>
          </w:tcPr>
          <w:p w14:paraId="179CDB4F">
            <w:pPr>
              <w:spacing w:after="0"/>
              <w:jc w:val="left"/>
            </w:pPr>
            <w:r>
              <w:rPr>
                <w:rFonts w:ascii="Aptos" w:hAnsi="Aptos" w:eastAsia="Aptos"/>
                <w:b w:val="0"/>
                <w:color w:val="25313B"/>
                <w:sz w:val="16"/>
              </w:rPr>
              <w:t>The participant groups and training scope differ; the figures are not directly comparable.</w:t>
            </w:r>
          </w:p>
        </w:tc>
      </w:tr>
      <w:tr w14:paraId="3C105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7" w:type="dxa"/>
            <w:shd w:val="clear" w:color="auto" w:fill="F2F4F5"/>
            <w:tcMar>
              <w:top w:w="90" w:type="dxa"/>
              <w:left w:w="100" w:type="dxa"/>
              <w:bottom w:w="90" w:type="dxa"/>
              <w:right w:w="100" w:type="dxa"/>
            </w:tcMar>
            <w:vAlign w:val="center"/>
          </w:tcPr>
          <w:p w14:paraId="7A62FFE1">
            <w:pPr>
              <w:spacing w:after="0"/>
              <w:jc w:val="left"/>
            </w:pPr>
            <w:r>
              <w:rPr>
                <w:rFonts w:ascii="Aptos" w:hAnsi="Aptos" w:eastAsia="Aptos"/>
                <w:b w:val="0"/>
                <w:color w:val="25313B"/>
                <w:sz w:val="16"/>
              </w:rPr>
              <w:t>Household visits</w:t>
            </w:r>
          </w:p>
        </w:tc>
        <w:tc>
          <w:tcPr>
            <w:tcW w:w="2098" w:type="dxa"/>
            <w:shd w:val="clear" w:color="auto" w:fill="F2F4F5"/>
            <w:tcMar>
              <w:top w:w="90" w:type="dxa"/>
              <w:left w:w="100" w:type="dxa"/>
              <w:bottom w:w="90" w:type="dxa"/>
              <w:right w:w="100" w:type="dxa"/>
            </w:tcMar>
            <w:vAlign w:val="center"/>
          </w:tcPr>
          <w:p w14:paraId="7B18F7DF">
            <w:pPr>
              <w:spacing w:after="0"/>
              <w:jc w:val="left"/>
            </w:pPr>
            <w:r>
              <w:rPr>
                <w:rFonts w:ascii="Aptos" w:hAnsi="Aptos" w:eastAsia="Aptos"/>
                <w:b w:val="0"/>
                <w:color w:val="25313B"/>
                <w:sz w:val="16"/>
              </w:rPr>
              <w:t>241 households</w:t>
            </w:r>
          </w:p>
        </w:tc>
        <w:tc>
          <w:tcPr>
            <w:tcW w:w="2494" w:type="dxa"/>
            <w:shd w:val="clear" w:color="auto" w:fill="F2F4F5"/>
            <w:tcMar>
              <w:top w:w="90" w:type="dxa"/>
              <w:left w:w="100" w:type="dxa"/>
              <w:bottom w:w="90" w:type="dxa"/>
              <w:right w:w="100" w:type="dxa"/>
            </w:tcMar>
            <w:vAlign w:val="center"/>
          </w:tcPr>
          <w:p w14:paraId="0C237DDB">
            <w:pPr>
              <w:spacing w:after="0"/>
              <w:jc w:val="left"/>
            </w:pPr>
            <w:r>
              <w:rPr>
                <w:rFonts w:ascii="Aptos" w:hAnsi="Aptos" w:eastAsia="Aptos"/>
                <w:b w:val="0"/>
                <w:color w:val="25313B"/>
                <w:sz w:val="16"/>
              </w:rPr>
              <w:t>217 households in Nyamagana B</w:t>
            </w:r>
          </w:p>
        </w:tc>
        <w:tc>
          <w:tcPr>
            <w:tcW w:w="3288" w:type="dxa"/>
            <w:shd w:val="clear" w:color="auto" w:fill="F2F4F5"/>
            <w:tcMar>
              <w:top w:w="90" w:type="dxa"/>
              <w:left w:w="100" w:type="dxa"/>
              <w:bottom w:w="90" w:type="dxa"/>
              <w:right w:w="100" w:type="dxa"/>
            </w:tcMar>
            <w:vAlign w:val="center"/>
          </w:tcPr>
          <w:p w14:paraId="5161EF92">
            <w:pPr>
              <w:spacing w:after="0"/>
              <w:jc w:val="left"/>
            </w:pPr>
            <w:r>
              <w:rPr>
                <w:rFonts w:ascii="Aptos" w:hAnsi="Aptos" w:eastAsia="Aptos"/>
                <w:b w:val="0"/>
                <w:color w:val="25313B"/>
                <w:sz w:val="16"/>
              </w:rPr>
              <w:t>The Q2 figure is village-specific and should not be treated as the Nyanza district total.</w:t>
            </w:r>
          </w:p>
        </w:tc>
      </w:tr>
    </w:tbl>
    <w:p w14:paraId="6C157F29">
      <w:pPr>
        <w:pStyle w:val="2"/>
        <w:pBdr>
          <w:bottom w:val="single" w:color="D8A23D" w:sz="8" w:space="2"/>
        </w:pBdr>
      </w:pPr>
      <w:r>
        <w:t>5. Detailed Implementation Progress</w:t>
      </w:r>
    </w:p>
    <w:p w14:paraId="50E26DD4">
      <w:pPr>
        <w:pStyle w:val="3"/>
      </w:pPr>
      <w:r>
        <w:t>5.1 Child nutrition support through ECD centres</w:t>
      </w:r>
    </w:p>
    <w:p w14:paraId="5BEABA5F">
      <w:pPr>
        <w:spacing w:after="100" w:line="269" w:lineRule="auto"/>
      </w:pPr>
      <w:r>
        <w:t>Nutrition interventions were delivered through selected ECD centres to improve access to protein-rich foods and balanced meals. Four centres in Kibirizi, Mukingo, Ntyazo, and Cyabakamyi were specifically identified for nutrition support. Across the quarter, 195 eggs were provided to 165 children, and 81 children received balanced meals.</w:t>
      </w:r>
    </w:p>
    <w:p w14:paraId="26F9A821">
      <w:pPr>
        <w:spacing w:after="100" w:line="269" w:lineRule="auto"/>
      </w:pPr>
      <w:r>
        <w:t>This approach complements household food production by ensuring that young children receive direct nutrition support in a supervised setting. The ECD platform also enables caregivers and programme staff to connect feeding support with attendance, hygiene, stimulation, and routine child-welfare monitoring.</w:t>
      </w:r>
    </w:p>
    <w:p w14:paraId="344BEF17">
      <w:pPr>
        <w:pStyle w:val="3"/>
      </w:pPr>
      <w:r>
        <w:t>5.2 ECD monitoring and quality assurance</w:t>
      </w:r>
    </w:p>
    <w:p w14:paraId="7B6A3AE2">
      <w:pPr>
        <w:spacing w:after="100" w:line="269" w:lineRule="auto"/>
      </w:pPr>
      <w:r>
        <w:t>Supportive supervision reached 174 ECD centres in ten sectors. Monitoring reviewed child attendance, nutrition practices, hygiene standards, safe learning environments, caregiver performance, and compliance with minimum ECD service standards. The Nyanza ECD report states that more than 80% of monitored centres were operating effectively and meeting minimum standards.</w:t>
      </w:r>
    </w:p>
    <w:p w14:paraId="369834CD">
      <w:pPr>
        <w:spacing w:after="100" w:line="269" w:lineRule="auto"/>
      </w:pPr>
      <w:r>
        <w:t>A total of 1,599 children were reached through ECD services and nutrition-related interventions. Because this is a broad service-reach indicator, it should not be interpreted as the number of children who were malnourished or who received food supplements.</w:t>
      </w:r>
    </w:p>
    <w:p w14:paraId="5C6B85AD">
      <w:pPr>
        <w:pStyle w:val="3"/>
      </w:pPr>
      <w:r>
        <w:t>5.3 Child growth monitoring and early identification</w:t>
      </w:r>
    </w:p>
    <w:p w14:paraId="68EE70D3">
      <w:pPr>
        <w:spacing w:after="100" w:line="269" w:lineRule="auto"/>
      </w:pPr>
      <w:r>
        <w:t>Growth-monitoring activities were reported in 81 ECD centres. Programme teams reviewed child measurements, documentation, and the completeness and consistency of monitoring books. These activities strengthen the system for identifying growth concerns and following up children who may need additional support.</w:t>
      </w:r>
    </w:p>
    <w:p w14:paraId="0EA69AE1">
      <w:pPr>
        <w:spacing w:after="100" w:line="269" w:lineRule="auto"/>
      </w:pPr>
      <w:r>
        <w:t>However, the quarter’s reports did not provide a consolidated MUAC-screening total, nutrition-status classification, referral count, or recovery rate. These omissions limit the project’s ability to demonstrate changes in malnutrition outcomes and should be corrected in the next reporting cycle.</w:t>
      </w:r>
    </w:p>
    <w:p w14:paraId="5271802F">
      <w:pPr>
        <w:pStyle w:val="3"/>
      </w:pPr>
      <w:r>
        <w:t>5.4 Household kitchen gardens and food production</w:t>
      </w:r>
    </w:p>
    <w:p w14:paraId="3337D2BF">
      <w:pPr>
        <w:spacing w:after="100" w:line="269" w:lineRule="auto"/>
      </w:pPr>
      <w:r>
        <w:t>Household-level work remained central to preventing malnutrition by increasing access to vegetables and strengthening families’ ability to produce food. In Nyamagana B Village, 217 households received monitoring visits and advice on vegetable production, kitchen-garden management, banana plantations, irrigation, hygiene, and self-reliance.</w:t>
      </w:r>
    </w:p>
    <w:p w14:paraId="393B01A7">
      <w:pPr>
        <w:spacing w:after="100" w:line="269" w:lineRule="auto"/>
      </w:pPr>
      <w:r>
        <w:t>Monitoring showed mixed performance. The field report recorded 53 gardens as being in good condition or rehabilitated, while 48 gardens required attention and rehabilitation. A further 116 households had vegetables growing but needed watering. These findings show that the project has established a base for household food production, but water access and garden maintenance remain decisive constraints.</w:t>
      </w:r>
    </w:p>
    <w:p w14:paraId="39C7713B">
      <w:pPr>
        <w:jc w:val="center"/>
      </w:pPr>
      <w:bookmarkStart w:id="0" w:name="_GoBack"/>
      <w:r>
        <w:drawing>
          <wp:inline distT="0" distB="0" distL="114300" distR="114300">
            <wp:extent cx="4679950" cy="3509645"/>
            <wp:effectExtent l="0" t="0" r="635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3"/>
                    <a:stretch>
                      <a:fillRect/>
                    </a:stretch>
                  </pic:blipFill>
                  <pic:spPr>
                    <a:xfrm>
                      <a:off x="0" y="0"/>
                      <a:ext cx="4680000" cy="3510000"/>
                    </a:xfrm>
                    <a:prstGeom prst="rect">
                      <a:avLst/>
                    </a:prstGeom>
                  </pic:spPr>
                </pic:pic>
              </a:graphicData>
            </a:graphic>
          </wp:inline>
        </w:drawing>
      </w:r>
      <w:bookmarkEnd w:id="0"/>
    </w:p>
    <w:p w14:paraId="47243390">
      <w:pPr>
        <w:pStyle w:val="16"/>
      </w:pPr>
      <w:r>
        <w:t>Figure 2. A productive household kitchen garden monitored in Nyamagana B Village, Nyanza District.</w:t>
      </w:r>
    </w:p>
    <w:p w14:paraId="25DBAFD3">
      <w:pPr>
        <w:pStyle w:val="3"/>
      </w:pPr>
      <w:r>
        <w:t>5.5 Caregiver capacity and behaviour change</w:t>
      </w:r>
    </w:p>
    <w:p w14:paraId="35F85F68">
      <w:pPr>
        <w:spacing w:after="100" w:line="269" w:lineRule="auto"/>
      </w:pPr>
      <w:r>
        <w:t>One structured training reached 35 caregivers—29 women and six men. Topics included child nutrition and development, hygiene and sanitation, early stimulation, school readiness, and caregiver roles and responsibilities. Household visits and community sensitisation reinforced practical messages on balanced diets, vegetable production, food preparation, cleanliness, irrigation, and sustained child attendance in ECD services.</w:t>
      </w:r>
    </w:p>
    <w:p w14:paraId="00F63FC7">
      <w:pPr>
        <w:spacing w:after="100" w:line="269" w:lineRule="auto"/>
      </w:pPr>
      <w:r>
        <w:t>Caregiver training is essential because food availability alone does not guarantee improved child nutrition. Families also need the knowledge and confidence to prepare age-appropriate meals, recognise growth concerns, maintain hygiene, and seek timely support.</w:t>
      </w:r>
    </w:p>
    <w:p w14:paraId="07D7B413">
      <w:pPr>
        <w:pStyle w:val="3"/>
      </w:pPr>
      <w:r>
        <w:t>5.6 Hygiene, sanitation, and nutrition-sensitive WASH</w:t>
      </w:r>
    </w:p>
    <w:p w14:paraId="276C8991">
      <w:pPr>
        <w:spacing w:after="100" w:line="269" w:lineRule="auto"/>
      </w:pPr>
      <w:r>
        <w:t>Hygiene inspections were conducted in all monitored ECD centres, and the programme reported promotion of 518 handwashing stations. Thirty-five caregivers also received sanitation guidance. These activities are relevant to malnutrition prevention because repeated infection, diarrhoeal disease, and unsafe hygiene practices can undermine children’s ability to benefit from nutritious food.</w:t>
      </w:r>
    </w:p>
    <w:p w14:paraId="666A219C">
      <w:pPr>
        <w:spacing w:after="100" w:line="269" w:lineRule="auto"/>
      </w:pPr>
      <w:r>
        <w:t>The source reports also identify inadequate sanitation facilities in some ECD centres as an ongoing challenge. Continued investment in safe toilets, handwashing facilities, clean food-preparation areas, and hygiene behaviour is therefore required.</w:t>
      </w:r>
    </w:p>
    <w:p w14:paraId="684DCBCC">
      <w:pPr>
        <w:pStyle w:val="2"/>
        <w:pBdr>
          <w:bottom w:val="single" w:color="D8A23D" w:sz="8" w:space="2"/>
        </w:pBdr>
      </w:pPr>
      <w:r>
        <w:t>6. Emerging Results and Contribution to Change</w:t>
      </w:r>
    </w:p>
    <w:p w14:paraId="20932869">
      <w:pPr>
        <w:spacing w:after="100" w:line="269" w:lineRule="auto"/>
      </w:pPr>
      <w:r>
        <w:t>The verified data demonstrate substantial service delivery and sustained community engagement, but they do not yet prove a reduction in district malnutrition prevalence. The strongest evidence of contribution during the quarter is visible in the following areas:</w:t>
      </w:r>
    </w:p>
    <w:p w14:paraId="6180F5FE">
      <w:pPr>
        <w:pStyle w:val="23"/>
        <w:spacing w:after="50"/>
        <w:ind w:left="312" w:hanging="142"/>
      </w:pPr>
      <w:r>
        <w:rPr>
          <w:rFonts w:ascii="Aptos" w:hAnsi="Aptos" w:eastAsia="Aptos"/>
          <w:sz w:val="20"/>
        </w:rPr>
        <w:t>More children accessed structured ECD services that integrated nutrition, hygiene, attendance, stimulation, and child-welfare monitoring.</w:t>
      </w:r>
    </w:p>
    <w:p w14:paraId="16F568C5">
      <w:pPr>
        <w:pStyle w:val="23"/>
        <w:spacing w:after="50"/>
        <w:ind w:left="312" w:hanging="142"/>
      </w:pPr>
      <w:r>
        <w:rPr>
          <w:rFonts w:ascii="Aptos" w:hAnsi="Aptos" w:eastAsia="Aptos"/>
          <w:sz w:val="20"/>
        </w:rPr>
        <w:t>Protein supplementation continued, with 195 eggs distributed to 165 children and balanced meals provided to 81 children.</w:t>
      </w:r>
    </w:p>
    <w:p w14:paraId="24BF4746">
      <w:pPr>
        <w:pStyle w:val="23"/>
        <w:spacing w:after="50"/>
        <w:ind w:left="312" w:hanging="142"/>
      </w:pPr>
      <w:r>
        <w:rPr>
          <w:rFonts w:ascii="Aptos" w:hAnsi="Aptos" w:eastAsia="Aptos"/>
          <w:sz w:val="20"/>
        </w:rPr>
        <w:t>Caregivers strengthened their knowledge of nutrition, child development, hygiene, and age-appropriate care.</w:t>
      </w:r>
    </w:p>
    <w:p w14:paraId="1936EE84">
      <w:pPr>
        <w:pStyle w:val="23"/>
        <w:spacing w:after="50"/>
        <w:ind w:left="312" w:hanging="142"/>
      </w:pPr>
      <w:r>
        <w:rPr>
          <w:rFonts w:ascii="Aptos" w:hAnsi="Aptos" w:eastAsia="Aptos"/>
          <w:sz w:val="20"/>
        </w:rPr>
        <w:t>Households received regular coaching to maintain kitchen gardens and improve access to vegetables and bananas.</w:t>
      </w:r>
    </w:p>
    <w:p w14:paraId="40C2E371">
      <w:pPr>
        <w:pStyle w:val="23"/>
        <w:spacing w:after="50"/>
        <w:ind w:left="312" w:hanging="142"/>
      </w:pPr>
      <w:r>
        <w:rPr>
          <w:rFonts w:ascii="Aptos" w:hAnsi="Aptos" w:eastAsia="Aptos"/>
          <w:sz w:val="20"/>
        </w:rPr>
        <w:t>Growth-monitoring records and child measurements received greater attention, creating a stronger basis for early identification and referral.</w:t>
      </w:r>
    </w:p>
    <w:p w14:paraId="34994159">
      <w:pPr>
        <w:pStyle w:val="23"/>
        <w:spacing w:after="50"/>
        <w:ind w:left="312" w:hanging="142"/>
      </w:pPr>
      <w:r>
        <w:rPr>
          <w:rFonts w:ascii="Aptos" w:hAnsi="Aptos" w:eastAsia="Aptos"/>
          <w:sz w:val="20"/>
        </w:rPr>
        <w:t>The project identified specific households and gardens at risk from water shortages, poor maintenance, and limited manure, allowing targeted follow-up rather than relying on general assumptions.</w:t>
      </w:r>
    </w:p>
    <w:p w14:paraId="24997FA9">
      <w:pPr>
        <w:pStyle w:val="2"/>
        <w:pBdr>
          <w:bottom w:val="single" w:color="D8A23D" w:sz="8" w:space="2"/>
        </w:pBdr>
      </w:pPr>
      <w:r>
        <w:t>7. Beneficiary Story: From Food Insecurity to a Productive Kitchen Garden</w:t>
      </w:r>
    </w:p>
    <w:p w14:paraId="34E12FA1">
      <w:pPr>
        <w:pStyle w:val="3"/>
      </w:pPr>
      <w:r>
        <w:t>Uwimana Yosefa, Nyamagana B Village</w:t>
      </w:r>
    </w:p>
    <w:p w14:paraId="3F190081">
      <w:pPr>
        <w:spacing w:after="100" w:line="269" w:lineRule="auto"/>
      </w:pPr>
      <w:r>
        <w:t>Uwimana Yosefa is a 54-year-old widow living with her two children and two grandchildren in a five-member household. Before joining Dufatanye Organization’s activities, she relied on casual labour and struggled to purchase basic items such as soap and salt. Her household lacked adequate food, and she had limited knowledge of nutrition, saving, or kitchen-garden management.</w:t>
      </w:r>
    </w:p>
    <w:p w14:paraId="6943A0AB">
      <w:pPr>
        <w:spacing w:after="100" w:line="269" w:lineRule="auto"/>
      </w:pPr>
      <w:r>
        <w:t>Through training, encouragement, and continuous monitoring, she learned about household financial management, saving, good nutrition, and vegetable production. Dufatanye supported her to establish a kitchen garden and encouraged her to grow vegetables and bananas.</w:t>
      </w:r>
    </w:p>
    <w:p w14:paraId="0DB01765">
      <w:pPr>
        <w:spacing w:after="100" w:line="269" w:lineRule="auto"/>
      </w:pPr>
      <w:r>
        <w:t>She now uses vegetables from the garden to prepare nutritious meals for her family and sells the surplus. During a monitoring visit, she was harvesting vegetables for sale at RWF 300 per bundle. By selling two bundles, she could contribute RWF 500 to her weekly savings group while retaining food for household consumption.</w:t>
      </w:r>
    </w:p>
    <w:tbl>
      <w:tblPr>
        <w:tblStyle w:val="12"/>
        <w:tblW w:w="0" w:type="auto"/>
        <w:jc w:val="center"/>
        <w:tblLayout w:type="autofit"/>
        <w:tblCellMar>
          <w:top w:w="0" w:type="dxa"/>
          <w:left w:w="108" w:type="dxa"/>
          <w:bottom w:w="0" w:type="dxa"/>
          <w:right w:w="108" w:type="dxa"/>
        </w:tblCellMar>
      </w:tblPr>
      <w:tblGrid>
        <w:gridCol w:w="9866"/>
      </w:tblGrid>
      <w:tr w14:paraId="63A8CF9F">
        <w:tblPrEx>
          <w:tblCellMar>
            <w:top w:w="0" w:type="dxa"/>
            <w:left w:w="108" w:type="dxa"/>
            <w:bottom w:w="0" w:type="dxa"/>
            <w:right w:w="108" w:type="dxa"/>
          </w:tblCellMar>
        </w:tblPrEx>
        <w:trPr>
          <w:jc w:val="center"/>
        </w:trPr>
        <w:tc>
          <w:tcPr>
            <w:tcW w:w="9866" w:type="dxa"/>
            <w:shd w:val="clear" w:color="auto" w:fill="EAF2E7"/>
            <w:tcMar>
              <w:top w:w="180" w:type="dxa"/>
              <w:left w:w="220" w:type="dxa"/>
              <w:bottom w:w="180" w:type="dxa"/>
              <w:right w:w="220" w:type="dxa"/>
            </w:tcMar>
          </w:tcPr>
          <w:p w14:paraId="54C5B077">
            <w:pPr>
              <w:pStyle w:val="148"/>
            </w:pPr>
            <w:r>
              <w:t>“My family eats healthy food every day, and I also earn income by selling vegetables and bananas. I no longer depend on asking others for help.”</w:t>
            </w:r>
          </w:p>
          <w:p w14:paraId="26672B34">
            <w:pPr>
              <w:jc w:val="right"/>
            </w:pPr>
            <w:r>
              <w:rPr>
                <w:b/>
                <w:color w:val="315A2D"/>
                <w:sz w:val="18"/>
              </w:rPr>
              <w:t>— Uwimana Yosefa, Nyamagana B Village</w:t>
            </w:r>
          </w:p>
        </w:tc>
      </w:tr>
    </w:tbl>
    <w:p w14:paraId="6D915AA7"/>
    <w:p w14:paraId="2708BF24">
      <w:pPr>
        <w:spacing w:after="100" w:line="269" w:lineRule="auto"/>
      </w:pPr>
      <w:r>
        <w:t>Her experience illustrates the project’s intended pathway: technical knowledge and regular follow-up help a vulnerable household maintain food production; the garden improves access to vegetables; surplus production generates small income; and savings strengthen resilience. It is a credible example of contribution, although it should not be treated as representative of every beneficiary household.</w:t>
      </w:r>
    </w:p>
    <w:p w14:paraId="697D6130">
      <w:pPr>
        <w:pStyle w:val="2"/>
        <w:pBdr>
          <w:bottom w:val="single" w:color="D8A23D" w:sz="8" w:space="2"/>
        </w:pBdr>
      </w:pPr>
      <w:r>
        <w:t>8. Challenges, Risks, and Mitigation</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1"/>
        <w:gridCol w:w="2324"/>
        <w:gridCol w:w="2438"/>
        <w:gridCol w:w="2721"/>
      </w:tblGrid>
      <w:tr w14:paraId="71A4F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41" w:type="dxa"/>
            <w:shd w:val="clear" w:color="auto" w:fill="315A2D"/>
            <w:tcMar>
              <w:top w:w="90" w:type="dxa"/>
              <w:left w:w="100" w:type="dxa"/>
              <w:bottom w:w="90" w:type="dxa"/>
              <w:right w:w="100" w:type="dxa"/>
            </w:tcMar>
            <w:vAlign w:val="center"/>
          </w:tcPr>
          <w:p w14:paraId="16507CCD">
            <w:pPr>
              <w:spacing w:after="0"/>
              <w:jc w:val="center"/>
            </w:pPr>
            <w:r>
              <w:rPr>
                <w:rFonts w:ascii="Aptos" w:hAnsi="Aptos" w:eastAsia="Aptos"/>
                <w:b/>
                <w:color w:val="FFFFFF"/>
                <w:sz w:val="17"/>
              </w:rPr>
              <w:t>Challenge or risk</w:t>
            </w:r>
          </w:p>
        </w:tc>
        <w:tc>
          <w:tcPr>
            <w:tcW w:w="2324" w:type="dxa"/>
            <w:shd w:val="clear" w:color="auto" w:fill="315A2D"/>
            <w:tcMar>
              <w:top w:w="90" w:type="dxa"/>
              <w:left w:w="100" w:type="dxa"/>
              <w:bottom w:w="90" w:type="dxa"/>
              <w:right w:w="100" w:type="dxa"/>
            </w:tcMar>
            <w:vAlign w:val="center"/>
          </w:tcPr>
          <w:p w14:paraId="13E8411D">
            <w:pPr>
              <w:spacing w:after="0"/>
              <w:jc w:val="center"/>
            </w:pPr>
            <w:r>
              <w:rPr>
                <w:rFonts w:ascii="Aptos" w:hAnsi="Aptos" w:eastAsia="Aptos"/>
                <w:b/>
                <w:color w:val="FFFFFF"/>
                <w:sz w:val="17"/>
              </w:rPr>
              <w:t>Effect on nutrition results</w:t>
            </w:r>
          </w:p>
        </w:tc>
        <w:tc>
          <w:tcPr>
            <w:tcW w:w="2438" w:type="dxa"/>
            <w:shd w:val="clear" w:color="auto" w:fill="315A2D"/>
            <w:tcMar>
              <w:top w:w="90" w:type="dxa"/>
              <w:left w:w="100" w:type="dxa"/>
              <w:bottom w:w="90" w:type="dxa"/>
              <w:right w:w="100" w:type="dxa"/>
            </w:tcMar>
            <w:vAlign w:val="center"/>
          </w:tcPr>
          <w:p w14:paraId="1CA9790B">
            <w:pPr>
              <w:spacing w:after="0"/>
              <w:jc w:val="center"/>
            </w:pPr>
            <w:r>
              <w:rPr>
                <w:rFonts w:ascii="Aptos" w:hAnsi="Aptos" w:eastAsia="Aptos"/>
                <w:b/>
                <w:color w:val="FFFFFF"/>
                <w:sz w:val="17"/>
              </w:rPr>
              <w:t>Action taken during the quarter</w:t>
            </w:r>
          </w:p>
        </w:tc>
        <w:tc>
          <w:tcPr>
            <w:tcW w:w="2721" w:type="dxa"/>
            <w:shd w:val="clear" w:color="auto" w:fill="315A2D"/>
            <w:tcMar>
              <w:top w:w="90" w:type="dxa"/>
              <w:left w:w="100" w:type="dxa"/>
              <w:bottom w:w="90" w:type="dxa"/>
              <w:right w:w="100" w:type="dxa"/>
            </w:tcMar>
            <w:vAlign w:val="center"/>
          </w:tcPr>
          <w:p w14:paraId="78CD53BB">
            <w:pPr>
              <w:spacing w:after="0"/>
              <w:jc w:val="center"/>
            </w:pPr>
            <w:r>
              <w:rPr>
                <w:rFonts w:ascii="Aptos" w:hAnsi="Aptos" w:eastAsia="Aptos"/>
                <w:b/>
                <w:color w:val="FFFFFF"/>
                <w:sz w:val="17"/>
              </w:rPr>
              <w:t>Priority response</w:t>
            </w:r>
          </w:p>
        </w:tc>
      </w:tr>
      <w:tr w14:paraId="6E7E7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1" w:type="dxa"/>
            <w:shd w:val="clear" w:color="auto" w:fill="FFFFFF"/>
            <w:tcMar>
              <w:top w:w="90" w:type="dxa"/>
              <w:left w:w="100" w:type="dxa"/>
              <w:bottom w:w="90" w:type="dxa"/>
              <w:right w:w="100" w:type="dxa"/>
            </w:tcMar>
            <w:vAlign w:val="center"/>
          </w:tcPr>
          <w:p w14:paraId="50DAD55C">
            <w:pPr>
              <w:spacing w:after="0"/>
              <w:jc w:val="left"/>
            </w:pPr>
            <w:r>
              <w:rPr>
                <w:rFonts w:ascii="Aptos" w:hAnsi="Aptos" w:eastAsia="Aptos"/>
                <w:b w:val="0"/>
                <w:color w:val="25313B"/>
                <w:sz w:val="16"/>
              </w:rPr>
              <w:t>Water shortages and prolonged dry conditions</w:t>
            </w:r>
          </w:p>
        </w:tc>
        <w:tc>
          <w:tcPr>
            <w:tcW w:w="2324" w:type="dxa"/>
            <w:shd w:val="clear" w:color="auto" w:fill="FFFFFF"/>
            <w:tcMar>
              <w:top w:w="90" w:type="dxa"/>
              <w:left w:w="100" w:type="dxa"/>
              <w:bottom w:w="90" w:type="dxa"/>
              <w:right w:w="100" w:type="dxa"/>
            </w:tcMar>
            <w:vAlign w:val="center"/>
          </w:tcPr>
          <w:p w14:paraId="38C31FE4">
            <w:pPr>
              <w:spacing w:after="0"/>
              <w:jc w:val="left"/>
            </w:pPr>
            <w:r>
              <w:rPr>
                <w:rFonts w:ascii="Aptos" w:hAnsi="Aptos" w:eastAsia="Aptos"/>
                <w:b w:val="0"/>
                <w:color w:val="25313B"/>
                <w:sz w:val="16"/>
              </w:rPr>
              <w:t>Vegetables wilt or fail, reducing household access to fresh foods.</w:t>
            </w:r>
          </w:p>
        </w:tc>
        <w:tc>
          <w:tcPr>
            <w:tcW w:w="2438" w:type="dxa"/>
            <w:shd w:val="clear" w:color="auto" w:fill="FFFFFF"/>
            <w:tcMar>
              <w:top w:w="90" w:type="dxa"/>
              <w:left w:w="100" w:type="dxa"/>
              <w:bottom w:w="90" w:type="dxa"/>
              <w:right w:w="100" w:type="dxa"/>
            </w:tcMar>
            <w:vAlign w:val="center"/>
          </w:tcPr>
          <w:p w14:paraId="60B8A808">
            <w:pPr>
              <w:spacing w:after="0"/>
              <w:jc w:val="left"/>
            </w:pPr>
            <w:r>
              <w:rPr>
                <w:rFonts w:ascii="Aptos" w:hAnsi="Aptos" w:eastAsia="Aptos"/>
                <w:b w:val="0"/>
                <w:color w:val="25313B"/>
                <w:sz w:val="16"/>
              </w:rPr>
              <w:t>Households were advised on watering, irrigation, mulching, and water conservation.</w:t>
            </w:r>
          </w:p>
        </w:tc>
        <w:tc>
          <w:tcPr>
            <w:tcW w:w="2721" w:type="dxa"/>
            <w:shd w:val="clear" w:color="auto" w:fill="FFFFFF"/>
            <w:tcMar>
              <w:top w:w="90" w:type="dxa"/>
              <w:left w:w="100" w:type="dxa"/>
              <w:bottom w:w="90" w:type="dxa"/>
              <w:right w:w="100" w:type="dxa"/>
            </w:tcMar>
            <w:vAlign w:val="center"/>
          </w:tcPr>
          <w:p w14:paraId="74ACC110">
            <w:pPr>
              <w:spacing w:after="0"/>
              <w:jc w:val="left"/>
            </w:pPr>
            <w:r>
              <w:rPr>
                <w:rFonts w:ascii="Aptos" w:hAnsi="Aptos" w:eastAsia="Aptos"/>
                <w:b w:val="0"/>
                <w:color w:val="25313B"/>
                <w:sz w:val="16"/>
              </w:rPr>
              <w:t>Expand rainwater harvesting and small-scale irrigation; prioritise the 116 households with crops needing water.</w:t>
            </w:r>
          </w:p>
        </w:tc>
      </w:tr>
      <w:tr w14:paraId="60B8C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1" w:type="dxa"/>
            <w:shd w:val="clear" w:color="auto" w:fill="F2F4F5"/>
            <w:tcMar>
              <w:top w:w="90" w:type="dxa"/>
              <w:left w:w="100" w:type="dxa"/>
              <w:bottom w:w="90" w:type="dxa"/>
              <w:right w:w="100" w:type="dxa"/>
            </w:tcMar>
            <w:vAlign w:val="center"/>
          </w:tcPr>
          <w:p w14:paraId="763ABCE1">
            <w:pPr>
              <w:spacing w:after="0"/>
              <w:jc w:val="left"/>
            </w:pPr>
            <w:r>
              <w:rPr>
                <w:rFonts w:ascii="Aptos" w:hAnsi="Aptos" w:eastAsia="Aptos"/>
                <w:b w:val="0"/>
                <w:color w:val="25313B"/>
                <w:sz w:val="16"/>
              </w:rPr>
              <w:t>Limited organic manure and soil fertility</w:t>
            </w:r>
          </w:p>
        </w:tc>
        <w:tc>
          <w:tcPr>
            <w:tcW w:w="2324" w:type="dxa"/>
            <w:shd w:val="clear" w:color="auto" w:fill="F2F4F5"/>
            <w:tcMar>
              <w:top w:w="90" w:type="dxa"/>
              <w:left w:w="100" w:type="dxa"/>
              <w:bottom w:w="90" w:type="dxa"/>
              <w:right w:w="100" w:type="dxa"/>
            </w:tcMar>
            <w:vAlign w:val="center"/>
          </w:tcPr>
          <w:p w14:paraId="371DDD96">
            <w:pPr>
              <w:spacing w:after="0"/>
              <w:jc w:val="left"/>
            </w:pPr>
            <w:r>
              <w:rPr>
                <w:rFonts w:ascii="Aptos" w:hAnsi="Aptos" w:eastAsia="Aptos"/>
                <w:b w:val="0"/>
                <w:color w:val="25313B"/>
                <w:sz w:val="16"/>
              </w:rPr>
              <w:t>Lower garden productivity and weaker vegetable yields.</w:t>
            </w:r>
          </w:p>
        </w:tc>
        <w:tc>
          <w:tcPr>
            <w:tcW w:w="2438" w:type="dxa"/>
            <w:shd w:val="clear" w:color="auto" w:fill="F2F4F5"/>
            <w:tcMar>
              <w:top w:w="90" w:type="dxa"/>
              <w:left w:w="100" w:type="dxa"/>
              <w:bottom w:w="90" w:type="dxa"/>
              <w:right w:w="100" w:type="dxa"/>
            </w:tcMar>
            <w:vAlign w:val="center"/>
          </w:tcPr>
          <w:p w14:paraId="43EA1FA7">
            <w:pPr>
              <w:spacing w:after="0"/>
              <w:jc w:val="left"/>
            </w:pPr>
            <w:r>
              <w:rPr>
                <w:rFonts w:ascii="Aptos" w:hAnsi="Aptos" w:eastAsia="Aptos"/>
                <w:b w:val="0"/>
                <w:color w:val="25313B"/>
                <w:sz w:val="16"/>
              </w:rPr>
              <w:t>Compost preparation and organic-manure use were promoted.</w:t>
            </w:r>
          </w:p>
        </w:tc>
        <w:tc>
          <w:tcPr>
            <w:tcW w:w="2721" w:type="dxa"/>
            <w:shd w:val="clear" w:color="auto" w:fill="F2F4F5"/>
            <w:tcMar>
              <w:top w:w="90" w:type="dxa"/>
              <w:left w:w="100" w:type="dxa"/>
              <w:bottom w:w="90" w:type="dxa"/>
              <w:right w:w="100" w:type="dxa"/>
            </w:tcMar>
            <w:vAlign w:val="center"/>
          </w:tcPr>
          <w:p w14:paraId="54B0025B">
            <w:pPr>
              <w:spacing w:after="0"/>
              <w:jc w:val="left"/>
            </w:pPr>
            <w:r>
              <w:rPr>
                <w:rFonts w:ascii="Aptos" w:hAnsi="Aptos" w:eastAsia="Aptos"/>
                <w:b w:val="0"/>
                <w:color w:val="25313B"/>
                <w:sz w:val="16"/>
              </w:rPr>
              <w:t>Link households to manure sources and intensify compost demonstrations.</w:t>
            </w:r>
          </w:p>
        </w:tc>
      </w:tr>
      <w:tr w14:paraId="54F89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1" w:type="dxa"/>
            <w:shd w:val="clear" w:color="auto" w:fill="FFFFFF"/>
            <w:tcMar>
              <w:top w:w="90" w:type="dxa"/>
              <w:left w:w="100" w:type="dxa"/>
              <w:bottom w:w="90" w:type="dxa"/>
              <w:right w:w="100" w:type="dxa"/>
            </w:tcMar>
            <w:vAlign w:val="center"/>
          </w:tcPr>
          <w:p w14:paraId="67A74804">
            <w:pPr>
              <w:spacing w:after="0"/>
              <w:jc w:val="left"/>
            </w:pPr>
            <w:r>
              <w:rPr>
                <w:rFonts w:ascii="Aptos" w:hAnsi="Aptos" w:eastAsia="Aptos"/>
                <w:b w:val="0"/>
                <w:color w:val="25313B"/>
                <w:sz w:val="16"/>
              </w:rPr>
              <w:t>Inconsistent garden maintenance</w:t>
            </w:r>
          </w:p>
        </w:tc>
        <w:tc>
          <w:tcPr>
            <w:tcW w:w="2324" w:type="dxa"/>
            <w:shd w:val="clear" w:color="auto" w:fill="FFFFFF"/>
            <w:tcMar>
              <w:top w:w="90" w:type="dxa"/>
              <w:left w:w="100" w:type="dxa"/>
              <w:bottom w:w="90" w:type="dxa"/>
              <w:right w:w="100" w:type="dxa"/>
            </w:tcMar>
            <w:vAlign w:val="center"/>
          </w:tcPr>
          <w:p w14:paraId="1276C5B6">
            <w:pPr>
              <w:spacing w:after="0"/>
              <w:jc w:val="left"/>
            </w:pPr>
            <w:r>
              <w:rPr>
                <w:rFonts w:ascii="Aptos" w:hAnsi="Aptos" w:eastAsia="Aptos"/>
                <w:b w:val="0"/>
                <w:color w:val="25313B"/>
                <w:sz w:val="16"/>
              </w:rPr>
              <w:t>48 gardens required attention, threatening the sustainability of earlier investment.</w:t>
            </w:r>
          </w:p>
        </w:tc>
        <w:tc>
          <w:tcPr>
            <w:tcW w:w="2438" w:type="dxa"/>
            <w:shd w:val="clear" w:color="auto" w:fill="FFFFFF"/>
            <w:tcMar>
              <w:top w:w="90" w:type="dxa"/>
              <w:left w:w="100" w:type="dxa"/>
              <w:bottom w:w="90" w:type="dxa"/>
              <w:right w:w="100" w:type="dxa"/>
            </w:tcMar>
            <w:vAlign w:val="center"/>
          </w:tcPr>
          <w:p w14:paraId="11AEA11B">
            <w:pPr>
              <w:spacing w:after="0"/>
              <w:jc w:val="left"/>
            </w:pPr>
            <w:r>
              <w:rPr>
                <w:rFonts w:ascii="Aptos" w:hAnsi="Aptos" w:eastAsia="Aptos"/>
                <w:b w:val="0"/>
                <w:color w:val="25313B"/>
                <w:sz w:val="16"/>
              </w:rPr>
              <w:t>Field officers provided follow-up and technical advice.</w:t>
            </w:r>
          </w:p>
        </w:tc>
        <w:tc>
          <w:tcPr>
            <w:tcW w:w="2721" w:type="dxa"/>
            <w:shd w:val="clear" w:color="auto" w:fill="FFFFFF"/>
            <w:tcMar>
              <w:top w:w="90" w:type="dxa"/>
              <w:left w:w="100" w:type="dxa"/>
              <w:bottom w:w="90" w:type="dxa"/>
              <w:right w:w="100" w:type="dxa"/>
            </w:tcMar>
            <w:vAlign w:val="center"/>
          </w:tcPr>
          <w:p w14:paraId="33E5484F">
            <w:pPr>
              <w:spacing w:after="0"/>
              <w:jc w:val="left"/>
            </w:pPr>
            <w:r>
              <w:rPr>
                <w:rFonts w:ascii="Aptos" w:hAnsi="Aptos" w:eastAsia="Aptos"/>
                <w:b w:val="0"/>
                <w:color w:val="25313B"/>
                <w:sz w:val="16"/>
              </w:rPr>
              <w:t>Prepare household-specific rehabilitation plans and verify completion.</w:t>
            </w:r>
          </w:p>
        </w:tc>
      </w:tr>
      <w:tr w14:paraId="76FAD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1" w:type="dxa"/>
            <w:shd w:val="clear" w:color="auto" w:fill="F2F4F5"/>
            <w:tcMar>
              <w:top w:w="90" w:type="dxa"/>
              <w:left w:w="100" w:type="dxa"/>
              <w:bottom w:w="90" w:type="dxa"/>
              <w:right w:w="100" w:type="dxa"/>
            </w:tcMar>
            <w:vAlign w:val="center"/>
          </w:tcPr>
          <w:p w14:paraId="1E8A9F23">
            <w:pPr>
              <w:spacing w:after="0"/>
              <w:jc w:val="left"/>
            </w:pPr>
            <w:r>
              <w:rPr>
                <w:rFonts w:ascii="Aptos" w:hAnsi="Aptos" w:eastAsia="Aptos"/>
                <w:b w:val="0"/>
                <w:color w:val="25313B"/>
                <w:sz w:val="16"/>
              </w:rPr>
              <w:t>Inadequate sanitation in some ECD centres</w:t>
            </w:r>
          </w:p>
        </w:tc>
        <w:tc>
          <w:tcPr>
            <w:tcW w:w="2324" w:type="dxa"/>
            <w:shd w:val="clear" w:color="auto" w:fill="F2F4F5"/>
            <w:tcMar>
              <w:top w:w="90" w:type="dxa"/>
              <w:left w:w="100" w:type="dxa"/>
              <w:bottom w:w="90" w:type="dxa"/>
              <w:right w:w="100" w:type="dxa"/>
            </w:tcMar>
            <w:vAlign w:val="center"/>
          </w:tcPr>
          <w:p w14:paraId="79C96B3E">
            <w:pPr>
              <w:spacing w:after="0"/>
              <w:jc w:val="left"/>
            </w:pPr>
            <w:r>
              <w:rPr>
                <w:rFonts w:ascii="Aptos" w:hAnsi="Aptos" w:eastAsia="Aptos"/>
                <w:b w:val="0"/>
                <w:color w:val="25313B"/>
                <w:sz w:val="16"/>
              </w:rPr>
              <w:t>Infection and unsafe environments can undermine child nutrition and attendance.</w:t>
            </w:r>
          </w:p>
        </w:tc>
        <w:tc>
          <w:tcPr>
            <w:tcW w:w="2438" w:type="dxa"/>
            <w:shd w:val="clear" w:color="auto" w:fill="F2F4F5"/>
            <w:tcMar>
              <w:top w:w="90" w:type="dxa"/>
              <w:left w:w="100" w:type="dxa"/>
              <w:bottom w:w="90" w:type="dxa"/>
              <w:right w:w="100" w:type="dxa"/>
            </w:tcMar>
            <w:vAlign w:val="center"/>
          </w:tcPr>
          <w:p w14:paraId="376DA471">
            <w:pPr>
              <w:spacing w:after="0"/>
              <w:jc w:val="left"/>
            </w:pPr>
            <w:r>
              <w:rPr>
                <w:rFonts w:ascii="Aptos" w:hAnsi="Aptos" w:eastAsia="Aptos"/>
                <w:b w:val="0"/>
                <w:color w:val="25313B"/>
                <w:sz w:val="16"/>
              </w:rPr>
              <w:t>Hygiene inspections and caregiver sensitisation were conducted.</w:t>
            </w:r>
          </w:p>
        </w:tc>
        <w:tc>
          <w:tcPr>
            <w:tcW w:w="2721" w:type="dxa"/>
            <w:shd w:val="clear" w:color="auto" w:fill="F2F4F5"/>
            <w:tcMar>
              <w:top w:w="90" w:type="dxa"/>
              <w:left w:w="100" w:type="dxa"/>
              <w:bottom w:w="90" w:type="dxa"/>
              <w:right w:w="100" w:type="dxa"/>
            </w:tcMar>
            <w:vAlign w:val="center"/>
          </w:tcPr>
          <w:p w14:paraId="3D81208E">
            <w:pPr>
              <w:spacing w:after="0"/>
              <w:jc w:val="left"/>
            </w:pPr>
            <w:r>
              <w:rPr>
                <w:rFonts w:ascii="Aptos" w:hAnsi="Aptos" w:eastAsia="Aptos"/>
                <w:b w:val="0"/>
                <w:color w:val="25313B"/>
                <w:sz w:val="16"/>
              </w:rPr>
              <w:t>Improve toilets, handwashing points, and food-preparation hygiene.</w:t>
            </w:r>
          </w:p>
        </w:tc>
      </w:tr>
      <w:tr w14:paraId="2FC14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1" w:type="dxa"/>
            <w:shd w:val="clear" w:color="auto" w:fill="FFFFFF"/>
            <w:tcMar>
              <w:top w:w="90" w:type="dxa"/>
              <w:left w:w="100" w:type="dxa"/>
              <w:bottom w:w="90" w:type="dxa"/>
              <w:right w:w="100" w:type="dxa"/>
            </w:tcMar>
            <w:vAlign w:val="center"/>
          </w:tcPr>
          <w:p w14:paraId="288B091F">
            <w:pPr>
              <w:spacing w:after="0"/>
              <w:jc w:val="left"/>
            </w:pPr>
            <w:r>
              <w:rPr>
                <w:rFonts w:ascii="Aptos" w:hAnsi="Aptos" w:eastAsia="Aptos"/>
                <w:b w:val="0"/>
                <w:color w:val="25313B"/>
                <w:sz w:val="16"/>
              </w:rPr>
              <w:t>Incomplete nutrition-outcome data</w:t>
            </w:r>
          </w:p>
        </w:tc>
        <w:tc>
          <w:tcPr>
            <w:tcW w:w="2324" w:type="dxa"/>
            <w:shd w:val="clear" w:color="auto" w:fill="FFFFFF"/>
            <w:tcMar>
              <w:top w:w="90" w:type="dxa"/>
              <w:left w:w="100" w:type="dxa"/>
              <w:bottom w:w="90" w:type="dxa"/>
              <w:right w:w="100" w:type="dxa"/>
            </w:tcMar>
            <w:vAlign w:val="center"/>
          </w:tcPr>
          <w:p w14:paraId="25352D3F">
            <w:pPr>
              <w:spacing w:after="0"/>
              <w:jc w:val="left"/>
            </w:pPr>
            <w:r>
              <w:rPr>
                <w:rFonts w:ascii="Aptos" w:hAnsi="Aptos" w:eastAsia="Aptos"/>
                <w:b w:val="0"/>
                <w:color w:val="25313B"/>
                <w:sz w:val="16"/>
              </w:rPr>
              <w:t>The project cannot demonstrate changes in wasting, underweight, stunting, referral, or recovery.</w:t>
            </w:r>
          </w:p>
        </w:tc>
        <w:tc>
          <w:tcPr>
            <w:tcW w:w="2438" w:type="dxa"/>
            <w:shd w:val="clear" w:color="auto" w:fill="FFFFFF"/>
            <w:tcMar>
              <w:top w:w="90" w:type="dxa"/>
              <w:left w:w="100" w:type="dxa"/>
              <w:bottom w:w="90" w:type="dxa"/>
              <w:right w:w="100" w:type="dxa"/>
            </w:tcMar>
            <w:vAlign w:val="center"/>
          </w:tcPr>
          <w:p w14:paraId="105C9EA9">
            <w:pPr>
              <w:spacing w:after="0"/>
              <w:jc w:val="left"/>
            </w:pPr>
            <w:r>
              <w:rPr>
                <w:rFonts w:ascii="Aptos" w:hAnsi="Aptos" w:eastAsia="Aptos"/>
                <w:b w:val="0"/>
                <w:color w:val="25313B"/>
                <w:sz w:val="16"/>
              </w:rPr>
              <w:t>Growth records and measurements were reviewed.</w:t>
            </w:r>
          </w:p>
        </w:tc>
        <w:tc>
          <w:tcPr>
            <w:tcW w:w="2721" w:type="dxa"/>
            <w:shd w:val="clear" w:color="auto" w:fill="FFFFFF"/>
            <w:tcMar>
              <w:top w:w="90" w:type="dxa"/>
              <w:left w:w="100" w:type="dxa"/>
              <w:bottom w:w="90" w:type="dxa"/>
              <w:right w:w="100" w:type="dxa"/>
            </w:tcMar>
            <w:vAlign w:val="center"/>
          </w:tcPr>
          <w:p w14:paraId="779BC37E">
            <w:pPr>
              <w:spacing w:after="0"/>
              <w:jc w:val="left"/>
            </w:pPr>
            <w:r>
              <w:rPr>
                <w:rFonts w:ascii="Aptos" w:hAnsi="Aptos" w:eastAsia="Aptos"/>
                <w:b w:val="0"/>
                <w:color w:val="25313B"/>
                <w:sz w:val="16"/>
              </w:rPr>
              <w:t>Standardise MUAC, weight, height, referral, and recovery reporting by centre and child.</w:t>
            </w:r>
          </w:p>
        </w:tc>
      </w:tr>
      <w:tr w14:paraId="15D51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1" w:type="dxa"/>
            <w:shd w:val="clear" w:color="auto" w:fill="F2F4F5"/>
            <w:tcMar>
              <w:top w:w="90" w:type="dxa"/>
              <w:left w:w="100" w:type="dxa"/>
              <w:bottom w:w="90" w:type="dxa"/>
              <w:right w:w="100" w:type="dxa"/>
            </w:tcMar>
            <w:vAlign w:val="center"/>
          </w:tcPr>
          <w:p w14:paraId="78F43E97">
            <w:pPr>
              <w:spacing w:after="0"/>
              <w:jc w:val="left"/>
            </w:pPr>
            <w:r>
              <w:rPr>
                <w:rFonts w:ascii="Aptos" w:hAnsi="Aptos" w:eastAsia="Aptos"/>
                <w:b w:val="0"/>
                <w:color w:val="25313B"/>
                <w:sz w:val="16"/>
              </w:rPr>
              <w:t>Weak record keeping and digital constraints</w:t>
            </w:r>
          </w:p>
        </w:tc>
        <w:tc>
          <w:tcPr>
            <w:tcW w:w="2324" w:type="dxa"/>
            <w:shd w:val="clear" w:color="auto" w:fill="F2F4F5"/>
            <w:tcMar>
              <w:top w:w="90" w:type="dxa"/>
              <w:left w:w="100" w:type="dxa"/>
              <w:bottom w:w="90" w:type="dxa"/>
              <w:right w:w="100" w:type="dxa"/>
            </w:tcMar>
            <w:vAlign w:val="center"/>
          </w:tcPr>
          <w:p w14:paraId="1BEB9A82">
            <w:pPr>
              <w:spacing w:after="0"/>
              <w:jc w:val="left"/>
            </w:pPr>
            <w:r>
              <w:rPr>
                <w:rFonts w:ascii="Aptos" w:hAnsi="Aptos" w:eastAsia="Aptos"/>
                <w:b w:val="0"/>
                <w:color w:val="25313B"/>
                <w:sz w:val="16"/>
              </w:rPr>
              <w:t>Data inconsistencies reduce donor confidence and management usefulness.</w:t>
            </w:r>
          </w:p>
        </w:tc>
        <w:tc>
          <w:tcPr>
            <w:tcW w:w="2438" w:type="dxa"/>
            <w:shd w:val="clear" w:color="auto" w:fill="F2F4F5"/>
            <w:tcMar>
              <w:top w:w="90" w:type="dxa"/>
              <w:left w:w="100" w:type="dxa"/>
              <w:bottom w:w="90" w:type="dxa"/>
              <w:right w:w="100" w:type="dxa"/>
            </w:tcMar>
            <w:vAlign w:val="center"/>
          </w:tcPr>
          <w:p w14:paraId="400BF58F">
            <w:pPr>
              <w:spacing w:after="0"/>
              <w:jc w:val="left"/>
            </w:pPr>
            <w:r>
              <w:rPr>
                <w:rFonts w:ascii="Aptos" w:hAnsi="Aptos" w:eastAsia="Aptos"/>
                <w:b w:val="0"/>
                <w:color w:val="25313B"/>
                <w:sz w:val="16"/>
              </w:rPr>
              <w:t>Sector coordinators were trained on the Berulo digital tracking system.</w:t>
            </w:r>
          </w:p>
        </w:tc>
        <w:tc>
          <w:tcPr>
            <w:tcW w:w="2721" w:type="dxa"/>
            <w:shd w:val="clear" w:color="auto" w:fill="F2F4F5"/>
            <w:tcMar>
              <w:top w:w="90" w:type="dxa"/>
              <w:left w:w="100" w:type="dxa"/>
              <w:bottom w:w="90" w:type="dxa"/>
              <w:right w:w="100" w:type="dxa"/>
            </w:tcMar>
            <w:vAlign w:val="center"/>
          </w:tcPr>
          <w:p w14:paraId="5346398D">
            <w:pPr>
              <w:spacing w:after="0"/>
              <w:jc w:val="left"/>
            </w:pPr>
            <w:r>
              <w:rPr>
                <w:rFonts w:ascii="Aptos" w:hAnsi="Aptos" w:eastAsia="Aptos"/>
                <w:b w:val="0"/>
                <w:color w:val="25313B"/>
                <w:sz w:val="16"/>
              </w:rPr>
              <w:t>Strengthen data validation, device access, internet connectivity, and monthly data-quality reviews.</w:t>
            </w:r>
          </w:p>
        </w:tc>
      </w:tr>
    </w:tbl>
    <w:p w14:paraId="2641F093">
      <w:pPr>
        <w:pStyle w:val="2"/>
        <w:pBdr>
          <w:bottom w:val="single" w:color="D8A23D" w:sz="8" w:space="2"/>
        </w:pBdr>
      </w:pPr>
      <w:r>
        <w:t>9. Monitoring, Evaluation, Accountability, and Learning</w:t>
      </w:r>
    </w:p>
    <w:p w14:paraId="478D84C3">
      <w:pPr>
        <w:pStyle w:val="3"/>
      </w:pPr>
      <w:r>
        <w:t>9.1 Data collected</w:t>
      </w:r>
    </w:p>
    <w:p w14:paraId="6F957306">
      <w:pPr>
        <w:pStyle w:val="23"/>
        <w:spacing w:after="50"/>
        <w:ind w:left="312" w:hanging="142"/>
      </w:pPr>
      <w:r>
        <w:rPr>
          <w:rFonts w:ascii="Aptos" w:hAnsi="Aptos" w:eastAsia="Aptos"/>
          <w:sz w:val="20"/>
        </w:rPr>
        <w:t>ECD centre monitoring and supportive-supervision records.</w:t>
      </w:r>
    </w:p>
    <w:p w14:paraId="2CD6F215">
      <w:pPr>
        <w:pStyle w:val="23"/>
        <w:spacing w:after="50"/>
        <w:ind w:left="312" w:hanging="142"/>
      </w:pPr>
      <w:r>
        <w:rPr>
          <w:rFonts w:ascii="Aptos" w:hAnsi="Aptos" w:eastAsia="Aptos"/>
          <w:sz w:val="20"/>
        </w:rPr>
        <w:t>Child attendance, feeding, growth-monitoring, and measurement documentation.</w:t>
      </w:r>
    </w:p>
    <w:p w14:paraId="4F2F3BCC">
      <w:pPr>
        <w:pStyle w:val="23"/>
        <w:spacing w:after="50"/>
        <w:ind w:left="312" w:hanging="142"/>
      </w:pPr>
      <w:r>
        <w:rPr>
          <w:rFonts w:ascii="Aptos" w:hAnsi="Aptos" w:eastAsia="Aptos"/>
          <w:sz w:val="20"/>
        </w:rPr>
        <w:t>Egg-distribution and balanced-meal records.</w:t>
      </w:r>
    </w:p>
    <w:p w14:paraId="05A04060">
      <w:pPr>
        <w:pStyle w:val="23"/>
        <w:spacing w:after="50"/>
        <w:ind w:left="312" w:hanging="142"/>
      </w:pPr>
      <w:r>
        <w:rPr>
          <w:rFonts w:ascii="Aptos" w:hAnsi="Aptos" w:eastAsia="Aptos"/>
          <w:sz w:val="20"/>
        </w:rPr>
        <w:t>Caregiver training and coordination records.</w:t>
      </w:r>
    </w:p>
    <w:p w14:paraId="2322AFC8">
      <w:pPr>
        <w:pStyle w:val="23"/>
        <w:spacing w:after="50"/>
        <w:ind w:left="312" w:hanging="142"/>
      </w:pPr>
      <w:r>
        <w:rPr>
          <w:rFonts w:ascii="Aptos" w:hAnsi="Aptos" w:eastAsia="Aptos"/>
          <w:sz w:val="20"/>
        </w:rPr>
        <w:t>Household visits, kitchen-garden status, irrigation needs, and technical-support observations.</w:t>
      </w:r>
    </w:p>
    <w:p w14:paraId="622CA222">
      <w:pPr>
        <w:pStyle w:val="23"/>
        <w:spacing w:after="50"/>
        <w:ind w:left="312" w:hanging="142"/>
      </w:pPr>
      <w:r>
        <w:rPr>
          <w:rFonts w:ascii="Aptos" w:hAnsi="Aptos" w:eastAsia="Aptos"/>
          <w:sz w:val="20"/>
        </w:rPr>
        <w:t>Photographs and beneficiary testimony.</w:t>
      </w:r>
    </w:p>
    <w:p w14:paraId="57155EFC">
      <w:pPr>
        <w:pStyle w:val="3"/>
      </w:pPr>
      <w:r>
        <w:t>9.2 Key learning</w:t>
      </w:r>
    </w:p>
    <w:p w14:paraId="50E68DA3">
      <w:pPr>
        <w:pStyle w:val="23"/>
        <w:spacing w:after="50"/>
        <w:ind w:left="312" w:hanging="142"/>
      </w:pPr>
      <w:r>
        <w:rPr>
          <w:rFonts w:ascii="Aptos" w:hAnsi="Aptos" w:eastAsia="Aptos"/>
          <w:sz w:val="20"/>
        </w:rPr>
        <w:t>Nutrition support is stronger when direct child feeding is combined with household food production and caregiver behaviour change.</w:t>
      </w:r>
    </w:p>
    <w:p w14:paraId="73B6F43A">
      <w:pPr>
        <w:pStyle w:val="23"/>
        <w:spacing w:after="50"/>
        <w:ind w:left="312" w:hanging="142"/>
      </w:pPr>
      <w:r>
        <w:rPr>
          <w:rFonts w:ascii="Aptos" w:hAnsi="Aptos" w:eastAsia="Aptos"/>
          <w:sz w:val="20"/>
        </w:rPr>
        <w:t>Kitchen gardens cannot be sustained by distribution or construction alone; water, manure, maintenance, and repeated coaching determine whether they remain productive.</w:t>
      </w:r>
    </w:p>
    <w:p w14:paraId="6CF79A80">
      <w:pPr>
        <w:pStyle w:val="23"/>
        <w:spacing w:after="50"/>
        <w:ind w:left="312" w:hanging="142"/>
      </w:pPr>
      <w:r>
        <w:rPr>
          <w:rFonts w:ascii="Aptos" w:hAnsi="Aptos" w:eastAsia="Aptos"/>
          <w:sz w:val="20"/>
        </w:rPr>
        <w:t>ECD centres provide an effective platform for integrating nutrition, hygiene, growth monitoring, early learning, and caregiver engagement.</w:t>
      </w:r>
    </w:p>
    <w:p w14:paraId="6ED65ABE">
      <w:pPr>
        <w:pStyle w:val="23"/>
        <w:spacing w:after="50"/>
        <w:ind w:left="312" w:hanging="142"/>
      </w:pPr>
      <w:r>
        <w:rPr>
          <w:rFonts w:ascii="Aptos" w:hAnsi="Aptos" w:eastAsia="Aptos"/>
          <w:sz w:val="20"/>
        </w:rPr>
        <w:t>Output numbers are not enough. The project needs consistent child-level nutrition indicators to demonstrate whether children improve.</w:t>
      </w:r>
    </w:p>
    <w:p w14:paraId="054C1891">
      <w:pPr>
        <w:pStyle w:val="23"/>
        <w:spacing w:after="50"/>
        <w:ind w:left="312" w:hanging="142"/>
      </w:pPr>
      <w:r>
        <w:rPr>
          <w:rFonts w:ascii="Aptos" w:hAnsi="Aptos" w:eastAsia="Aptos"/>
          <w:sz w:val="20"/>
        </w:rPr>
        <w:t>Success stories add depth, but they must complement—not replace—systematic outcome data.</w:t>
      </w:r>
    </w:p>
    <w:p w14:paraId="5491F761">
      <w:pPr>
        <w:pStyle w:val="3"/>
      </w:pPr>
      <w:r>
        <w:t>9.3 Data-quality issues requiring correction</w:t>
      </w:r>
    </w:p>
    <w:p w14:paraId="31306136">
      <w:pPr>
        <w:spacing w:after="100" w:line="269" w:lineRule="auto"/>
      </w:pPr>
      <w:r>
        <w:t>The Nyanza ECD report contains two different sex-disaggregation figures for the same total of 1,599 children and labels the 81 balanced-meal beneficiaries as 'ECD centres' in one KPI table, while the accompanying chart identifies them as children. This report therefore uses the total child reach without sex disaggregation and records 81 children receiving balanced meals, based on the chart and narrative context.</w:t>
      </w:r>
    </w:p>
    <w:p w14:paraId="185E4B34">
      <w:pPr>
        <w:spacing w:after="100" w:line="269" w:lineRule="auto"/>
      </w:pPr>
      <w:r>
        <w:t>The kitchen-garden report describes 53 gardens both as being in good condition and as rehabilitated. The report treats this as one group of 53 rather than two separate achievements. A standard garden-status form should be used next quarter to prevent double counting.</w:t>
      </w:r>
    </w:p>
    <w:p w14:paraId="4E333F0C">
      <w:pPr>
        <w:pStyle w:val="2"/>
        <w:pBdr>
          <w:bottom w:val="single" w:color="D8A23D" w:sz="8" w:space="2"/>
        </w:pBdr>
      </w:pPr>
      <w:r>
        <w:t>10. Priorities for July–September 2026</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494"/>
        <w:gridCol w:w="2948"/>
        <w:gridCol w:w="1814"/>
      </w:tblGrid>
      <w:tr w14:paraId="53629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268" w:type="dxa"/>
            <w:shd w:val="clear" w:color="auto" w:fill="244522"/>
            <w:tcMar>
              <w:top w:w="90" w:type="dxa"/>
              <w:left w:w="100" w:type="dxa"/>
              <w:bottom w:w="90" w:type="dxa"/>
              <w:right w:w="100" w:type="dxa"/>
            </w:tcMar>
            <w:vAlign w:val="center"/>
          </w:tcPr>
          <w:p w14:paraId="7ACCBC2F">
            <w:pPr>
              <w:spacing w:after="0"/>
              <w:jc w:val="center"/>
            </w:pPr>
            <w:r>
              <w:rPr>
                <w:rFonts w:ascii="Aptos" w:hAnsi="Aptos" w:eastAsia="Aptos"/>
                <w:b/>
                <w:color w:val="FFFFFF"/>
                <w:sz w:val="17"/>
              </w:rPr>
              <w:t>Priority action</w:t>
            </w:r>
          </w:p>
        </w:tc>
        <w:tc>
          <w:tcPr>
            <w:tcW w:w="2494" w:type="dxa"/>
            <w:shd w:val="clear" w:color="auto" w:fill="244522"/>
            <w:tcMar>
              <w:top w:w="90" w:type="dxa"/>
              <w:left w:w="100" w:type="dxa"/>
              <w:bottom w:w="90" w:type="dxa"/>
              <w:right w:w="100" w:type="dxa"/>
            </w:tcMar>
            <w:vAlign w:val="center"/>
          </w:tcPr>
          <w:p w14:paraId="29D4C1FC">
            <w:pPr>
              <w:spacing w:after="0"/>
              <w:jc w:val="center"/>
            </w:pPr>
            <w:r>
              <w:rPr>
                <w:rFonts w:ascii="Aptos" w:hAnsi="Aptos" w:eastAsia="Aptos"/>
                <w:b/>
                <w:color w:val="FFFFFF"/>
                <w:sz w:val="17"/>
              </w:rPr>
              <w:t>Rationale</w:t>
            </w:r>
          </w:p>
        </w:tc>
        <w:tc>
          <w:tcPr>
            <w:tcW w:w="2948" w:type="dxa"/>
            <w:shd w:val="clear" w:color="auto" w:fill="244522"/>
            <w:tcMar>
              <w:top w:w="90" w:type="dxa"/>
              <w:left w:w="100" w:type="dxa"/>
              <w:bottom w:w="90" w:type="dxa"/>
              <w:right w:w="100" w:type="dxa"/>
            </w:tcMar>
            <w:vAlign w:val="center"/>
          </w:tcPr>
          <w:p w14:paraId="514CAC45">
            <w:pPr>
              <w:spacing w:after="0"/>
              <w:jc w:val="center"/>
            </w:pPr>
            <w:r>
              <w:rPr>
                <w:rFonts w:ascii="Aptos" w:hAnsi="Aptos" w:eastAsia="Aptos"/>
                <w:b/>
                <w:color w:val="FFFFFF"/>
                <w:sz w:val="17"/>
              </w:rPr>
              <w:t>Proposed indicator</w:t>
            </w:r>
          </w:p>
        </w:tc>
        <w:tc>
          <w:tcPr>
            <w:tcW w:w="1814" w:type="dxa"/>
            <w:shd w:val="clear" w:color="auto" w:fill="244522"/>
            <w:tcMar>
              <w:top w:w="90" w:type="dxa"/>
              <w:left w:w="100" w:type="dxa"/>
              <w:bottom w:w="90" w:type="dxa"/>
              <w:right w:w="100" w:type="dxa"/>
            </w:tcMar>
            <w:vAlign w:val="center"/>
          </w:tcPr>
          <w:p w14:paraId="4CA663BD">
            <w:pPr>
              <w:spacing w:after="0"/>
              <w:jc w:val="center"/>
            </w:pPr>
            <w:r>
              <w:rPr>
                <w:rFonts w:ascii="Aptos" w:hAnsi="Aptos" w:eastAsia="Aptos"/>
                <w:b/>
                <w:color w:val="FFFFFF"/>
                <w:sz w:val="17"/>
              </w:rPr>
              <w:t>Responsible actors</w:t>
            </w:r>
          </w:p>
        </w:tc>
      </w:tr>
      <w:tr w14:paraId="691BB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FFFFF"/>
            <w:tcMar>
              <w:top w:w="90" w:type="dxa"/>
              <w:left w:w="100" w:type="dxa"/>
              <w:bottom w:w="90" w:type="dxa"/>
              <w:right w:w="100" w:type="dxa"/>
            </w:tcMar>
            <w:vAlign w:val="center"/>
          </w:tcPr>
          <w:p w14:paraId="434E9BD0">
            <w:pPr>
              <w:spacing w:after="0"/>
              <w:jc w:val="left"/>
            </w:pPr>
            <w:r>
              <w:rPr>
                <w:rFonts w:ascii="Aptos" w:hAnsi="Aptos" w:eastAsia="Aptos"/>
                <w:b w:val="0"/>
                <w:color w:val="25313B"/>
                <w:sz w:val="16"/>
              </w:rPr>
              <w:t>Restore regular MUAC and growth screening</w:t>
            </w:r>
          </w:p>
        </w:tc>
        <w:tc>
          <w:tcPr>
            <w:tcW w:w="2494" w:type="dxa"/>
            <w:shd w:val="clear" w:color="auto" w:fill="FFFFFF"/>
            <w:tcMar>
              <w:top w:w="90" w:type="dxa"/>
              <w:left w:w="100" w:type="dxa"/>
              <w:bottom w:w="90" w:type="dxa"/>
              <w:right w:w="100" w:type="dxa"/>
            </w:tcMar>
            <w:vAlign w:val="center"/>
          </w:tcPr>
          <w:p w14:paraId="1835A99C">
            <w:pPr>
              <w:spacing w:after="0"/>
              <w:jc w:val="left"/>
            </w:pPr>
            <w:r>
              <w:rPr>
                <w:rFonts w:ascii="Aptos" w:hAnsi="Aptos" w:eastAsia="Aptos"/>
                <w:b w:val="0"/>
                <w:color w:val="25313B"/>
                <w:sz w:val="16"/>
              </w:rPr>
              <w:t>Direct nutrition-outcome data are missing for Q2.</w:t>
            </w:r>
          </w:p>
        </w:tc>
        <w:tc>
          <w:tcPr>
            <w:tcW w:w="2948" w:type="dxa"/>
            <w:shd w:val="clear" w:color="auto" w:fill="FFFFFF"/>
            <w:tcMar>
              <w:top w:w="90" w:type="dxa"/>
              <w:left w:w="100" w:type="dxa"/>
              <w:bottom w:w="90" w:type="dxa"/>
              <w:right w:w="100" w:type="dxa"/>
            </w:tcMar>
            <w:vAlign w:val="center"/>
          </w:tcPr>
          <w:p w14:paraId="155AED83">
            <w:pPr>
              <w:spacing w:after="0"/>
              <w:jc w:val="left"/>
            </w:pPr>
            <w:r>
              <w:rPr>
                <w:rFonts w:ascii="Aptos" w:hAnsi="Aptos" w:eastAsia="Aptos"/>
                <w:b w:val="0"/>
                <w:color w:val="25313B"/>
                <w:sz w:val="16"/>
              </w:rPr>
              <w:t>Number screened; green/yellow/red MUAC; referrals; follow-up; recovery status.</w:t>
            </w:r>
          </w:p>
        </w:tc>
        <w:tc>
          <w:tcPr>
            <w:tcW w:w="1814" w:type="dxa"/>
            <w:shd w:val="clear" w:color="auto" w:fill="FFFFFF"/>
            <w:tcMar>
              <w:top w:w="90" w:type="dxa"/>
              <w:left w:w="100" w:type="dxa"/>
              <w:bottom w:w="90" w:type="dxa"/>
              <w:right w:w="100" w:type="dxa"/>
            </w:tcMar>
            <w:vAlign w:val="center"/>
          </w:tcPr>
          <w:p w14:paraId="63E0411B">
            <w:pPr>
              <w:spacing w:after="0"/>
              <w:jc w:val="left"/>
            </w:pPr>
            <w:r>
              <w:rPr>
                <w:rFonts w:ascii="Aptos" w:hAnsi="Aptos" w:eastAsia="Aptos"/>
                <w:b w:val="0"/>
                <w:color w:val="25313B"/>
                <w:sz w:val="16"/>
              </w:rPr>
              <w:t>ECD team, community health workers, health facilities, MEAL.</w:t>
            </w:r>
          </w:p>
        </w:tc>
      </w:tr>
      <w:tr w14:paraId="636F5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2F4F5"/>
            <w:tcMar>
              <w:top w:w="90" w:type="dxa"/>
              <w:left w:w="100" w:type="dxa"/>
              <w:bottom w:w="90" w:type="dxa"/>
              <w:right w:w="100" w:type="dxa"/>
            </w:tcMar>
            <w:vAlign w:val="center"/>
          </w:tcPr>
          <w:p w14:paraId="0A8F1CCB">
            <w:pPr>
              <w:spacing w:after="0"/>
              <w:jc w:val="left"/>
            </w:pPr>
            <w:r>
              <w:rPr>
                <w:rFonts w:ascii="Aptos" w:hAnsi="Aptos" w:eastAsia="Aptos"/>
                <w:b w:val="0"/>
                <w:color w:val="25313B"/>
                <w:sz w:val="16"/>
              </w:rPr>
              <w:t>Continue protein supplementation and balanced meals</w:t>
            </w:r>
          </w:p>
        </w:tc>
        <w:tc>
          <w:tcPr>
            <w:tcW w:w="2494" w:type="dxa"/>
            <w:shd w:val="clear" w:color="auto" w:fill="F2F4F5"/>
            <w:tcMar>
              <w:top w:w="90" w:type="dxa"/>
              <w:left w:w="100" w:type="dxa"/>
              <w:bottom w:w="90" w:type="dxa"/>
              <w:right w:w="100" w:type="dxa"/>
            </w:tcMar>
            <w:vAlign w:val="center"/>
          </w:tcPr>
          <w:p w14:paraId="568390DA">
            <w:pPr>
              <w:spacing w:after="0"/>
              <w:jc w:val="left"/>
            </w:pPr>
            <w:r>
              <w:rPr>
                <w:rFonts w:ascii="Aptos" w:hAnsi="Aptos" w:eastAsia="Aptos"/>
                <w:b w:val="0"/>
                <w:color w:val="25313B"/>
                <w:sz w:val="16"/>
              </w:rPr>
              <w:t>Maintain direct support to nutritionally vulnerable children.</w:t>
            </w:r>
          </w:p>
        </w:tc>
        <w:tc>
          <w:tcPr>
            <w:tcW w:w="2948" w:type="dxa"/>
            <w:shd w:val="clear" w:color="auto" w:fill="F2F4F5"/>
            <w:tcMar>
              <w:top w:w="90" w:type="dxa"/>
              <w:left w:w="100" w:type="dxa"/>
              <w:bottom w:w="90" w:type="dxa"/>
              <w:right w:w="100" w:type="dxa"/>
            </w:tcMar>
            <w:vAlign w:val="center"/>
          </w:tcPr>
          <w:p w14:paraId="25B9AE5D">
            <w:pPr>
              <w:spacing w:after="0"/>
              <w:jc w:val="left"/>
            </w:pPr>
            <w:r>
              <w:rPr>
                <w:rFonts w:ascii="Aptos" w:hAnsi="Aptos" w:eastAsia="Aptos"/>
                <w:b w:val="0"/>
                <w:color w:val="25313B"/>
                <w:sz w:val="16"/>
              </w:rPr>
              <w:t>Children receiving eggs/meals, frequency, centre, age, sex, and vulnerability status.</w:t>
            </w:r>
          </w:p>
        </w:tc>
        <w:tc>
          <w:tcPr>
            <w:tcW w:w="1814" w:type="dxa"/>
            <w:shd w:val="clear" w:color="auto" w:fill="F2F4F5"/>
            <w:tcMar>
              <w:top w:w="90" w:type="dxa"/>
              <w:left w:w="100" w:type="dxa"/>
              <w:bottom w:w="90" w:type="dxa"/>
              <w:right w:w="100" w:type="dxa"/>
            </w:tcMar>
            <w:vAlign w:val="center"/>
          </w:tcPr>
          <w:p w14:paraId="67F47C04">
            <w:pPr>
              <w:spacing w:after="0"/>
              <w:jc w:val="left"/>
            </w:pPr>
            <w:r>
              <w:rPr>
                <w:rFonts w:ascii="Aptos" w:hAnsi="Aptos" w:eastAsia="Aptos"/>
                <w:b w:val="0"/>
                <w:color w:val="25313B"/>
                <w:sz w:val="16"/>
              </w:rPr>
              <w:t>ECD caregivers, field team, programme management.</w:t>
            </w:r>
          </w:p>
        </w:tc>
      </w:tr>
      <w:tr w14:paraId="55526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FFFFF"/>
            <w:tcMar>
              <w:top w:w="90" w:type="dxa"/>
              <w:left w:w="100" w:type="dxa"/>
              <w:bottom w:w="90" w:type="dxa"/>
              <w:right w:w="100" w:type="dxa"/>
            </w:tcMar>
            <w:vAlign w:val="center"/>
          </w:tcPr>
          <w:p w14:paraId="5D6D4BF9">
            <w:pPr>
              <w:spacing w:after="0"/>
              <w:jc w:val="left"/>
            </w:pPr>
            <w:r>
              <w:rPr>
                <w:rFonts w:ascii="Aptos" w:hAnsi="Aptos" w:eastAsia="Aptos"/>
                <w:b w:val="0"/>
                <w:color w:val="25313B"/>
                <w:sz w:val="16"/>
              </w:rPr>
              <w:t>Rehabilitate the 48 gardens requiring attention</w:t>
            </w:r>
          </w:p>
        </w:tc>
        <w:tc>
          <w:tcPr>
            <w:tcW w:w="2494" w:type="dxa"/>
            <w:shd w:val="clear" w:color="auto" w:fill="FFFFFF"/>
            <w:tcMar>
              <w:top w:w="90" w:type="dxa"/>
              <w:left w:w="100" w:type="dxa"/>
              <w:bottom w:w="90" w:type="dxa"/>
              <w:right w:w="100" w:type="dxa"/>
            </w:tcMar>
            <w:vAlign w:val="center"/>
          </w:tcPr>
          <w:p w14:paraId="2033DF10">
            <w:pPr>
              <w:spacing w:after="0"/>
              <w:jc w:val="left"/>
            </w:pPr>
            <w:r>
              <w:rPr>
                <w:rFonts w:ascii="Aptos" w:hAnsi="Aptos" w:eastAsia="Aptos"/>
                <w:b w:val="0"/>
                <w:color w:val="25313B"/>
                <w:sz w:val="16"/>
              </w:rPr>
              <w:t>Prevent loss of earlier household food-security investment.</w:t>
            </w:r>
          </w:p>
        </w:tc>
        <w:tc>
          <w:tcPr>
            <w:tcW w:w="2948" w:type="dxa"/>
            <w:shd w:val="clear" w:color="auto" w:fill="FFFFFF"/>
            <w:tcMar>
              <w:top w:w="90" w:type="dxa"/>
              <w:left w:w="100" w:type="dxa"/>
              <w:bottom w:w="90" w:type="dxa"/>
              <w:right w:w="100" w:type="dxa"/>
            </w:tcMar>
            <w:vAlign w:val="center"/>
          </w:tcPr>
          <w:p w14:paraId="130375BD">
            <w:pPr>
              <w:spacing w:after="0"/>
              <w:jc w:val="left"/>
            </w:pPr>
            <w:r>
              <w:rPr>
                <w:rFonts w:ascii="Aptos" w:hAnsi="Aptos" w:eastAsia="Aptos"/>
                <w:b w:val="0"/>
                <w:color w:val="25313B"/>
                <w:sz w:val="16"/>
              </w:rPr>
              <w:t>Gardens rehabilitated and productive after verification.</w:t>
            </w:r>
          </w:p>
        </w:tc>
        <w:tc>
          <w:tcPr>
            <w:tcW w:w="1814" w:type="dxa"/>
            <w:shd w:val="clear" w:color="auto" w:fill="FFFFFF"/>
            <w:tcMar>
              <w:top w:w="90" w:type="dxa"/>
              <w:left w:w="100" w:type="dxa"/>
              <w:bottom w:w="90" w:type="dxa"/>
              <w:right w:w="100" w:type="dxa"/>
            </w:tcMar>
            <w:vAlign w:val="center"/>
          </w:tcPr>
          <w:p w14:paraId="231368EB">
            <w:pPr>
              <w:spacing w:after="0"/>
              <w:jc w:val="left"/>
            </w:pPr>
            <w:r>
              <w:rPr>
                <w:rFonts w:ascii="Aptos" w:hAnsi="Aptos" w:eastAsia="Aptos"/>
                <w:b w:val="0"/>
                <w:color w:val="25313B"/>
                <w:sz w:val="16"/>
              </w:rPr>
              <w:t>Field officers, coaches, households.</w:t>
            </w:r>
          </w:p>
        </w:tc>
      </w:tr>
      <w:tr w14:paraId="5D645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2F4F5"/>
            <w:tcMar>
              <w:top w:w="90" w:type="dxa"/>
              <w:left w:w="100" w:type="dxa"/>
              <w:bottom w:w="90" w:type="dxa"/>
              <w:right w:w="100" w:type="dxa"/>
            </w:tcMar>
            <w:vAlign w:val="center"/>
          </w:tcPr>
          <w:p w14:paraId="47C7A6A8">
            <w:pPr>
              <w:spacing w:after="0"/>
              <w:jc w:val="left"/>
            </w:pPr>
            <w:r>
              <w:rPr>
                <w:rFonts w:ascii="Aptos" w:hAnsi="Aptos" w:eastAsia="Aptos"/>
                <w:b w:val="0"/>
                <w:color w:val="25313B"/>
                <w:sz w:val="16"/>
              </w:rPr>
              <w:t>Address watering needs in 116 households</w:t>
            </w:r>
          </w:p>
        </w:tc>
        <w:tc>
          <w:tcPr>
            <w:tcW w:w="2494" w:type="dxa"/>
            <w:shd w:val="clear" w:color="auto" w:fill="F2F4F5"/>
            <w:tcMar>
              <w:top w:w="90" w:type="dxa"/>
              <w:left w:w="100" w:type="dxa"/>
              <w:bottom w:w="90" w:type="dxa"/>
              <w:right w:w="100" w:type="dxa"/>
            </w:tcMar>
            <w:vAlign w:val="center"/>
          </w:tcPr>
          <w:p w14:paraId="06D3721A">
            <w:pPr>
              <w:spacing w:after="0"/>
              <w:jc w:val="left"/>
            </w:pPr>
            <w:r>
              <w:rPr>
                <w:rFonts w:ascii="Aptos" w:hAnsi="Aptos" w:eastAsia="Aptos"/>
                <w:b w:val="0"/>
                <w:color w:val="25313B"/>
                <w:sz w:val="16"/>
              </w:rPr>
              <w:t>Water shortage is the most immediate production risk.</w:t>
            </w:r>
          </w:p>
        </w:tc>
        <w:tc>
          <w:tcPr>
            <w:tcW w:w="2948" w:type="dxa"/>
            <w:shd w:val="clear" w:color="auto" w:fill="F2F4F5"/>
            <w:tcMar>
              <w:top w:w="90" w:type="dxa"/>
              <w:left w:w="100" w:type="dxa"/>
              <w:bottom w:w="90" w:type="dxa"/>
              <w:right w:w="100" w:type="dxa"/>
            </w:tcMar>
            <w:vAlign w:val="center"/>
          </w:tcPr>
          <w:p w14:paraId="4977FB18">
            <w:pPr>
              <w:spacing w:after="0"/>
              <w:jc w:val="left"/>
            </w:pPr>
            <w:r>
              <w:rPr>
                <w:rFonts w:ascii="Aptos" w:hAnsi="Aptos" w:eastAsia="Aptos"/>
                <w:b w:val="0"/>
                <w:color w:val="25313B"/>
                <w:sz w:val="16"/>
              </w:rPr>
              <w:t>Households adopting watering, harvesting, mulching, or irrigation solutions.</w:t>
            </w:r>
          </w:p>
        </w:tc>
        <w:tc>
          <w:tcPr>
            <w:tcW w:w="1814" w:type="dxa"/>
            <w:shd w:val="clear" w:color="auto" w:fill="F2F4F5"/>
            <w:tcMar>
              <w:top w:w="90" w:type="dxa"/>
              <w:left w:w="100" w:type="dxa"/>
              <w:bottom w:w="90" w:type="dxa"/>
              <w:right w:w="100" w:type="dxa"/>
            </w:tcMar>
            <w:vAlign w:val="center"/>
          </w:tcPr>
          <w:p w14:paraId="0CE07910">
            <w:pPr>
              <w:spacing w:after="0"/>
              <w:jc w:val="left"/>
            </w:pPr>
            <w:r>
              <w:rPr>
                <w:rFonts w:ascii="Aptos" w:hAnsi="Aptos" w:eastAsia="Aptos"/>
                <w:b w:val="0"/>
                <w:color w:val="25313B"/>
                <w:sz w:val="16"/>
              </w:rPr>
              <w:t>Agriculture team, households, local authorities.</w:t>
            </w:r>
          </w:p>
        </w:tc>
      </w:tr>
      <w:tr w14:paraId="2B731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FFFFF"/>
            <w:tcMar>
              <w:top w:w="90" w:type="dxa"/>
              <w:left w:w="100" w:type="dxa"/>
              <w:bottom w:w="90" w:type="dxa"/>
              <w:right w:w="100" w:type="dxa"/>
            </w:tcMar>
            <w:vAlign w:val="center"/>
          </w:tcPr>
          <w:p w14:paraId="64BFA6EA">
            <w:pPr>
              <w:spacing w:after="0"/>
              <w:jc w:val="left"/>
            </w:pPr>
            <w:r>
              <w:rPr>
                <w:rFonts w:ascii="Aptos" w:hAnsi="Aptos" w:eastAsia="Aptos"/>
                <w:b w:val="0"/>
                <w:color w:val="25313B"/>
                <w:sz w:val="16"/>
              </w:rPr>
              <w:t>Strengthen caregiver refresher training</w:t>
            </w:r>
          </w:p>
        </w:tc>
        <w:tc>
          <w:tcPr>
            <w:tcW w:w="2494" w:type="dxa"/>
            <w:shd w:val="clear" w:color="auto" w:fill="FFFFFF"/>
            <w:tcMar>
              <w:top w:w="90" w:type="dxa"/>
              <w:left w:w="100" w:type="dxa"/>
              <w:bottom w:w="90" w:type="dxa"/>
              <w:right w:w="100" w:type="dxa"/>
            </w:tcMar>
            <w:vAlign w:val="center"/>
          </w:tcPr>
          <w:p w14:paraId="6CCFD057">
            <w:pPr>
              <w:spacing w:after="0"/>
              <w:jc w:val="left"/>
            </w:pPr>
            <w:r>
              <w:rPr>
                <w:rFonts w:ascii="Aptos" w:hAnsi="Aptos" w:eastAsia="Aptos"/>
                <w:b w:val="0"/>
                <w:color w:val="25313B"/>
                <w:sz w:val="16"/>
              </w:rPr>
              <w:t>Knowledge and practice must be reinforced regularly.</w:t>
            </w:r>
          </w:p>
        </w:tc>
        <w:tc>
          <w:tcPr>
            <w:tcW w:w="2948" w:type="dxa"/>
            <w:shd w:val="clear" w:color="auto" w:fill="FFFFFF"/>
            <w:tcMar>
              <w:top w:w="90" w:type="dxa"/>
              <w:left w:w="100" w:type="dxa"/>
              <w:bottom w:w="90" w:type="dxa"/>
              <w:right w:w="100" w:type="dxa"/>
            </w:tcMar>
            <w:vAlign w:val="center"/>
          </w:tcPr>
          <w:p w14:paraId="6CD467B5">
            <w:pPr>
              <w:spacing w:after="0"/>
              <w:jc w:val="left"/>
            </w:pPr>
            <w:r>
              <w:rPr>
                <w:rFonts w:ascii="Aptos" w:hAnsi="Aptos" w:eastAsia="Aptos"/>
                <w:b w:val="0"/>
                <w:color w:val="25313B"/>
                <w:sz w:val="16"/>
              </w:rPr>
              <w:t>Caregivers trained; pre/post knowledge; observed feeding and hygiene practices.</w:t>
            </w:r>
          </w:p>
        </w:tc>
        <w:tc>
          <w:tcPr>
            <w:tcW w:w="1814" w:type="dxa"/>
            <w:shd w:val="clear" w:color="auto" w:fill="FFFFFF"/>
            <w:tcMar>
              <w:top w:w="90" w:type="dxa"/>
              <w:left w:w="100" w:type="dxa"/>
              <w:bottom w:w="90" w:type="dxa"/>
              <w:right w:w="100" w:type="dxa"/>
            </w:tcMar>
            <w:vAlign w:val="center"/>
          </w:tcPr>
          <w:p w14:paraId="1CAD4E7D">
            <w:pPr>
              <w:spacing w:after="0"/>
              <w:jc w:val="left"/>
            </w:pPr>
            <w:r>
              <w:rPr>
                <w:rFonts w:ascii="Aptos" w:hAnsi="Aptos" w:eastAsia="Aptos"/>
                <w:b w:val="0"/>
                <w:color w:val="25313B"/>
                <w:sz w:val="16"/>
              </w:rPr>
              <w:t>ECD team, NCDA, Nyanza District.</w:t>
            </w:r>
          </w:p>
        </w:tc>
      </w:tr>
      <w:tr w14:paraId="0566B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2F4F5"/>
            <w:tcMar>
              <w:top w:w="90" w:type="dxa"/>
              <w:left w:w="100" w:type="dxa"/>
              <w:bottom w:w="90" w:type="dxa"/>
              <w:right w:w="100" w:type="dxa"/>
            </w:tcMar>
            <w:vAlign w:val="center"/>
          </w:tcPr>
          <w:p w14:paraId="2AE1D4BB">
            <w:pPr>
              <w:spacing w:after="0"/>
              <w:jc w:val="left"/>
            </w:pPr>
            <w:r>
              <w:rPr>
                <w:rFonts w:ascii="Aptos" w:hAnsi="Aptos" w:eastAsia="Aptos"/>
                <w:b w:val="0"/>
                <w:color w:val="25313B"/>
                <w:sz w:val="16"/>
              </w:rPr>
              <w:t>Improve sanitation and handwashing in ECD centres</w:t>
            </w:r>
          </w:p>
        </w:tc>
        <w:tc>
          <w:tcPr>
            <w:tcW w:w="2494" w:type="dxa"/>
            <w:shd w:val="clear" w:color="auto" w:fill="F2F4F5"/>
            <w:tcMar>
              <w:top w:w="90" w:type="dxa"/>
              <w:left w:w="100" w:type="dxa"/>
              <w:bottom w:w="90" w:type="dxa"/>
              <w:right w:w="100" w:type="dxa"/>
            </w:tcMar>
            <w:vAlign w:val="center"/>
          </w:tcPr>
          <w:p w14:paraId="06123853">
            <w:pPr>
              <w:spacing w:after="0"/>
              <w:jc w:val="left"/>
            </w:pPr>
            <w:r>
              <w:rPr>
                <w:rFonts w:ascii="Aptos" w:hAnsi="Aptos" w:eastAsia="Aptos"/>
                <w:b w:val="0"/>
                <w:color w:val="25313B"/>
                <w:sz w:val="16"/>
              </w:rPr>
              <w:t>Reduce infection risks that contribute to poor nutrition.</w:t>
            </w:r>
          </w:p>
        </w:tc>
        <w:tc>
          <w:tcPr>
            <w:tcW w:w="2948" w:type="dxa"/>
            <w:shd w:val="clear" w:color="auto" w:fill="F2F4F5"/>
            <w:tcMar>
              <w:top w:w="90" w:type="dxa"/>
              <w:left w:w="100" w:type="dxa"/>
              <w:bottom w:w="90" w:type="dxa"/>
              <w:right w:w="100" w:type="dxa"/>
            </w:tcMar>
            <w:vAlign w:val="center"/>
          </w:tcPr>
          <w:p w14:paraId="7BAFD3A6">
            <w:pPr>
              <w:spacing w:after="0"/>
              <w:jc w:val="left"/>
            </w:pPr>
            <w:r>
              <w:rPr>
                <w:rFonts w:ascii="Aptos" w:hAnsi="Aptos" w:eastAsia="Aptos"/>
                <w:b w:val="0"/>
                <w:color w:val="25313B"/>
                <w:sz w:val="16"/>
              </w:rPr>
              <w:t>Centres meeting minimum WASH standards.</w:t>
            </w:r>
          </w:p>
        </w:tc>
        <w:tc>
          <w:tcPr>
            <w:tcW w:w="1814" w:type="dxa"/>
            <w:shd w:val="clear" w:color="auto" w:fill="F2F4F5"/>
            <w:tcMar>
              <w:top w:w="90" w:type="dxa"/>
              <w:left w:w="100" w:type="dxa"/>
              <w:bottom w:w="90" w:type="dxa"/>
              <w:right w:w="100" w:type="dxa"/>
            </w:tcMar>
            <w:vAlign w:val="center"/>
          </w:tcPr>
          <w:p w14:paraId="3D5A7032">
            <w:pPr>
              <w:spacing w:after="0"/>
              <w:jc w:val="left"/>
            </w:pPr>
            <w:r>
              <w:rPr>
                <w:rFonts w:ascii="Aptos" w:hAnsi="Aptos" w:eastAsia="Aptos"/>
                <w:b w:val="0"/>
                <w:color w:val="25313B"/>
                <w:sz w:val="16"/>
              </w:rPr>
              <w:t>ECD team, caregivers, district partners.</w:t>
            </w:r>
          </w:p>
        </w:tc>
      </w:tr>
      <w:tr w14:paraId="4458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FFFFF"/>
            <w:tcMar>
              <w:top w:w="90" w:type="dxa"/>
              <w:left w:w="100" w:type="dxa"/>
              <w:bottom w:w="90" w:type="dxa"/>
              <w:right w:w="100" w:type="dxa"/>
            </w:tcMar>
            <w:vAlign w:val="center"/>
          </w:tcPr>
          <w:p w14:paraId="41C21908">
            <w:pPr>
              <w:spacing w:after="0"/>
              <w:jc w:val="left"/>
            </w:pPr>
            <w:r>
              <w:rPr>
                <w:rFonts w:ascii="Aptos" w:hAnsi="Aptos" w:eastAsia="Aptos"/>
                <w:b w:val="0"/>
                <w:color w:val="25313B"/>
                <w:sz w:val="16"/>
              </w:rPr>
              <w:t>Conduct monthly nutrition-data quality reviews</w:t>
            </w:r>
          </w:p>
        </w:tc>
        <w:tc>
          <w:tcPr>
            <w:tcW w:w="2494" w:type="dxa"/>
            <w:shd w:val="clear" w:color="auto" w:fill="FFFFFF"/>
            <w:tcMar>
              <w:top w:w="90" w:type="dxa"/>
              <w:left w:w="100" w:type="dxa"/>
              <w:bottom w:w="90" w:type="dxa"/>
              <w:right w:w="100" w:type="dxa"/>
            </w:tcMar>
            <w:vAlign w:val="center"/>
          </w:tcPr>
          <w:p w14:paraId="3CE6CB52">
            <w:pPr>
              <w:spacing w:after="0"/>
              <w:jc w:val="left"/>
            </w:pPr>
            <w:r>
              <w:rPr>
                <w:rFonts w:ascii="Aptos" w:hAnsi="Aptos" w:eastAsia="Aptos"/>
                <w:b w:val="0"/>
                <w:color w:val="25313B"/>
                <w:sz w:val="16"/>
              </w:rPr>
              <w:t>Correct inconsistent labels, denominators, and disaggregation.</w:t>
            </w:r>
          </w:p>
        </w:tc>
        <w:tc>
          <w:tcPr>
            <w:tcW w:w="2948" w:type="dxa"/>
            <w:shd w:val="clear" w:color="auto" w:fill="FFFFFF"/>
            <w:tcMar>
              <w:top w:w="90" w:type="dxa"/>
              <w:left w:w="100" w:type="dxa"/>
              <w:bottom w:w="90" w:type="dxa"/>
              <w:right w:w="100" w:type="dxa"/>
            </w:tcMar>
            <w:vAlign w:val="center"/>
          </w:tcPr>
          <w:p w14:paraId="29FB5FAD">
            <w:pPr>
              <w:spacing w:after="0"/>
              <w:jc w:val="left"/>
            </w:pPr>
            <w:r>
              <w:rPr>
                <w:rFonts w:ascii="Aptos" w:hAnsi="Aptos" w:eastAsia="Aptos"/>
                <w:b w:val="0"/>
                <w:color w:val="25313B"/>
                <w:sz w:val="16"/>
              </w:rPr>
              <w:t>Reports passing completeness, consistency, and verification checks.</w:t>
            </w:r>
          </w:p>
        </w:tc>
        <w:tc>
          <w:tcPr>
            <w:tcW w:w="1814" w:type="dxa"/>
            <w:shd w:val="clear" w:color="auto" w:fill="FFFFFF"/>
            <w:tcMar>
              <w:top w:w="90" w:type="dxa"/>
              <w:left w:w="100" w:type="dxa"/>
              <w:bottom w:w="90" w:type="dxa"/>
              <w:right w:w="100" w:type="dxa"/>
            </w:tcMar>
            <w:vAlign w:val="center"/>
          </w:tcPr>
          <w:p w14:paraId="09712C5F">
            <w:pPr>
              <w:spacing w:after="0"/>
              <w:jc w:val="left"/>
            </w:pPr>
            <w:r>
              <w:rPr>
                <w:rFonts w:ascii="Aptos" w:hAnsi="Aptos" w:eastAsia="Aptos"/>
                <w:b w:val="0"/>
                <w:color w:val="25313B"/>
                <w:sz w:val="16"/>
              </w:rPr>
              <w:t>MEAL, project managers, sector coordinators.</w:t>
            </w:r>
          </w:p>
        </w:tc>
      </w:tr>
      <w:tr w14:paraId="7CBBB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2F4F5"/>
            <w:tcMar>
              <w:top w:w="90" w:type="dxa"/>
              <w:left w:w="100" w:type="dxa"/>
              <w:bottom w:w="90" w:type="dxa"/>
              <w:right w:w="100" w:type="dxa"/>
            </w:tcMar>
            <w:vAlign w:val="center"/>
          </w:tcPr>
          <w:p w14:paraId="04A24743">
            <w:pPr>
              <w:spacing w:after="0"/>
              <w:jc w:val="left"/>
            </w:pPr>
            <w:r>
              <w:rPr>
                <w:rFonts w:ascii="Aptos" w:hAnsi="Aptos" w:eastAsia="Aptos"/>
                <w:b w:val="0"/>
                <w:color w:val="25313B"/>
                <w:sz w:val="16"/>
              </w:rPr>
              <w:t>Document household and child outcomes</w:t>
            </w:r>
          </w:p>
        </w:tc>
        <w:tc>
          <w:tcPr>
            <w:tcW w:w="2494" w:type="dxa"/>
            <w:shd w:val="clear" w:color="auto" w:fill="F2F4F5"/>
            <w:tcMar>
              <w:top w:w="90" w:type="dxa"/>
              <w:left w:w="100" w:type="dxa"/>
              <w:bottom w:w="90" w:type="dxa"/>
              <w:right w:w="100" w:type="dxa"/>
            </w:tcMar>
            <w:vAlign w:val="center"/>
          </w:tcPr>
          <w:p w14:paraId="07C021CD">
            <w:pPr>
              <w:spacing w:after="0"/>
              <w:jc w:val="left"/>
            </w:pPr>
            <w:r>
              <w:rPr>
                <w:rFonts w:ascii="Aptos" w:hAnsi="Aptos" w:eastAsia="Aptos"/>
                <w:b w:val="0"/>
                <w:color w:val="25313B"/>
                <w:sz w:val="16"/>
              </w:rPr>
              <w:t>Move beyond activity counts to evidence of change.</w:t>
            </w:r>
          </w:p>
        </w:tc>
        <w:tc>
          <w:tcPr>
            <w:tcW w:w="2948" w:type="dxa"/>
            <w:shd w:val="clear" w:color="auto" w:fill="F2F4F5"/>
            <w:tcMar>
              <w:top w:w="90" w:type="dxa"/>
              <w:left w:w="100" w:type="dxa"/>
              <w:bottom w:w="90" w:type="dxa"/>
              <w:right w:w="100" w:type="dxa"/>
            </w:tcMar>
            <w:vAlign w:val="center"/>
          </w:tcPr>
          <w:p w14:paraId="7228A796">
            <w:pPr>
              <w:spacing w:after="0"/>
              <w:jc w:val="left"/>
            </w:pPr>
            <w:r>
              <w:rPr>
                <w:rFonts w:ascii="Aptos" w:hAnsi="Aptos" w:eastAsia="Aptos"/>
                <w:b w:val="0"/>
                <w:color w:val="25313B"/>
                <w:sz w:val="16"/>
              </w:rPr>
              <w:t>Dietary diversity, garden production, child growth, referrals, and recovery documented.</w:t>
            </w:r>
          </w:p>
        </w:tc>
        <w:tc>
          <w:tcPr>
            <w:tcW w:w="1814" w:type="dxa"/>
            <w:shd w:val="clear" w:color="auto" w:fill="F2F4F5"/>
            <w:tcMar>
              <w:top w:w="90" w:type="dxa"/>
              <w:left w:w="100" w:type="dxa"/>
              <w:bottom w:w="90" w:type="dxa"/>
              <w:right w:w="100" w:type="dxa"/>
            </w:tcMar>
            <w:vAlign w:val="center"/>
          </w:tcPr>
          <w:p w14:paraId="6D0C6F2F">
            <w:pPr>
              <w:spacing w:after="0"/>
              <w:jc w:val="left"/>
            </w:pPr>
            <w:r>
              <w:rPr>
                <w:rFonts w:ascii="Aptos" w:hAnsi="Aptos" w:eastAsia="Aptos"/>
                <w:b w:val="0"/>
                <w:color w:val="25313B"/>
                <w:sz w:val="16"/>
              </w:rPr>
              <w:t>MEAL, field officers, community volunteers.</w:t>
            </w:r>
          </w:p>
        </w:tc>
      </w:tr>
    </w:tbl>
    <w:p w14:paraId="31BA4AF9">
      <w:pPr>
        <w:pStyle w:val="2"/>
        <w:pBdr>
          <w:bottom w:val="single" w:color="D8A23D" w:sz="8" w:space="2"/>
        </w:pBdr>
      </w:pPr>
      <w:r>
        <w:t>11. Conclusion and Appreciation</w:t>
      </w:r>
    </w:p>
    <w:p w14:paraId="6725DD96">
      <w:pPr>
        <w:spacing w:after="100" w:line="269" w:lineRule="auto"/>
      </w:pPr>
      <w:r>
        <w:t>The April–June 2026 quarter demonstrated continued commitment to fighting malnutrition in Nyanza through a practical combination of child feeding, ECD monitoring, caregiver training, household kitchen gardens, growth monitoring, hygiene promotion, and field coaching. The project sustained broad ECD coverage and strengthened household-level food production, while identifying specific constraints that require targeted action.</w:t>
      </w:r>
    </w:p>
    <w:p w14:paraId="11B17282">
      <w:pPr>
        <w:spacing w:after="100" w:line="269" w:lineRule="auto"/>
      </w:pPr>
      <w:r>
        <w:t>The next step is not simply to report more activities. It is to prove whether vulnerable children are improving. That requires consistent MUAC and growth data, documented referrals and recovery, reliable beneficiary disaggregation, and verification that kitchen gardens remain productive across seasons.</w:t>
      </w:r>
    </w:p>
    <w:p w14:paraId="44650A4B">
      <w:pPr>
        <w:spacing w:after="100" w:line="269" w:lineRule="auto"/>
      </w:pPr>
      <w:r>
        <w:t>Dufatanye Organization sincerely thanks GlobalGiving donors for making this work possible. Your support is helping children access nutritious food today while enabling families and caregivers to build more sustainable systems for nutrition, health, dignity, and resilience.</w:t>
      </w:r>
    </w:p>
    <w:p w14:paraId="2A355BDD">
      <w:pPr>
        <w:pStyle w:val="2"/>
        <w:pBdr>
          <w:bottom w:val="single" w:color="D8A23D" w:sz="8" w:space="2"/>
        </w:pBdr>
      </w:pPr>
      <w:r>
        <w:t>Annex 1. Source Reconciliation and Exclusions</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08"/>
        <w:gridCol w:w="3969"/>
        <w:gridCol w:w="2948"/>
      </w:tblGrid>
      <w:tr w14:paraId="6379E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608" w:type="dxa"/>
            <w:shd w:val="clear" w:color="auto" w:fill="315A2D"/>
            <w:tcMar>
              <w:top w:w="90" w:type="dxa"/>
              <w:left w:w="100" w:type="dxa"/>
              <w:bottom w:w="90" w:type="dxa"/>
              <w:right w:w="100" w:type="dxa"/>
            </w:tcMar>
            <w:vAlign w:val="center"/>
          </w:tcPr>
          <w:p w14:paraId="4874683E">
            <w:pPr>
              <w:spacing w:after="0"/>
              <w:jc w:val="center"/>
            </w:pPr>
            <w:r>
              <w:rPr>
                <w:rFonts w:ascii="Aptos" w:hAnsi="Aptos" w:eastAsia="Aptos"/>
                <w:b/>
                <w:color w:val="FFFFFF"/>
                <w:sz w:val="18"/>
              </w:rPr>
              <w:t>Source</w:t>
            </w:r>
          </w:p>
        </w:tc>
        <w:tc>
          <w:tcPr>
            <w:tcW w:w="3969" w:type="dxa"/>
            <w:shd w:val="clear" w:color="auto" w:fill="315A2D"/>
            <w:tcMar>
              <w:top w:w="90" w:type="dxa"/>
              <w:left w:w="100" w:type="dxa"/>
              <w:bottom w:w="90" w:type="dxa"/>
              <w:right w:w="100" w:type="dxa"/>
            </w:tcMar>
            <w:vAlign w:val="center"/>
          </w:tcPr>
          <w:p w14:paraId="254D8F59">
            <w:pPr>
              <w:spacing w:after="0"/>
              <w:jc w:val="center"/>
            </w:pPr>
            <w:r>
              <w:rPr>
                <w:rFonts w:ascii="Aptos" w:hAnsi="Aptos" w:eastAsia="Aptos"/>
                <w:b/>
                <w:color w:val="FFFFFF"/>
                <w:sz w:val="18"/>
              </w:rPr>
              <w:t>Use in this report</w:t>
            </w:r>
          </w:p>
        </w:tc>
        <w:tc>
          <w:tcPr>
            <w:tcW w:w="2948" w:type="dxa"/>
            <w:shd w:val="clear" w:color="auto" w:fill="315A2D"/>
            <w:tcMar>
              <w:top w:w="90" w:type="dxa"/>
              <w:left w:w="100" w:type="dxa"/>
              <w:bottom w:w="90" w:type="dxa"/>
              <w:right w:w="100" w:type="dxa"/>
            </w:tcMar>
            <w:vAlign w:val="center"/>
          </w:tcPr>
          <w:p w14:paraId="2A817C2C">
            <w:pPr>
              <w:spacing w:after="0"/>
              <w:jc w:val="center"/>
            </w:pPr>
            <w:r>
              <w:rPr>
                <w:rFonts w:ascii="Aptos" w:hAnsi="Aptos" w:eastAsia="Aptos"/>
                <w:b/>
                <w:color w:val="FFFFFF"/>
                <w:sz w:val="18"/>
              </w:rPr>
              <w:t>Treatment</w:t>
            </w:r>
          </w:p>
        </w:tc>
      </w:tr>
      <w:tr w14:paraId="25314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8" w:type="dxa"/>
            <w:shd w:val="clear" w:color="auto" w:fill="FFFFFF"/>
            <w:tcMar>
              <w:top w:w="90" w:type="dxa"/>
              <w:left w:w="100" w:type="dxa"/>
              <w:bottom w:w="90" w:type="dxa"/>
              <w:right w:w="100" w:type="dxa"/>
            </w:tcMar>
            <w:vAlign w:val="center"/>
          </w:tcPr>
          <w:p w14:paraId="16ED4A93">
            <w:pPr>
              <w:spacing w:after="0"/>
              <w:jc w:val="left"/>
            </w:pPr>
            <w:r>
              <w:rPr>
                <w:rFonts w:ascii="Aptos" w:hAnsi="Aptos" w:eastAsia="Aptos"/>
                <w:b w:val="0"/>
                <w:color w:val="25313B"/>
                <w:sz w:val="16"/>
              </w:rPr>
              <w:t>Nyanza ECD Quarterly Report</w:t>
            </w:r>
          </w:p>
        </w:tc>
        <w:tc>
          <w:tcPr>
            <w:tcW w:w="3969" w:type="dxa"/>
            <w:shd w:val="clear" w:color="auto" w:fill="FFFFFF"/>
            <w:tcMar>
              <w:top w:w="90" w:type="dxa"/>
              <w:left w:w="100" w:type="dxa"/>
              <w:bottom w:w="90" w:type="dxa"/>
              <w:right w:w="100" w:type="dxa"/>
            </w:tcMar>
            <w:vAlign w:val="center"/>
          </w:tcPr>
          <w:p w14:paraId="75072FDD">
            <w:pPr>
              <w:spacing w:after="0"/>
              <w:jc w:val="left"/>
            </w:pPr>
            <w:r>
              <w:rPr>
                <w:rFonts w:ascii="Aptos" w:hAnsi="Aptos" w:eastAsia="Aptos"/>
                <w:b w:val="0"/>
                <w:color w:val="25313B"/>
                <w:sz w:val="16"/>
              </w:rPr>
              <w:t>174 ECD centres, 1,599 children, nutrition support, caregiver training, growth monitoring, hygiene, challenges.</w:t>
            </w:r>
          </w:p>
        </w:tc>
        <w:tc>
          <w:tcPr>
            <w:tcW w:w="2948" w:type="dxa"/>
            <w:shd w:val="clear" w:color="auto" w:fill="FFFFFF"/>
            <w:tcMar>
              <w:top w:w="90" w:type="dxa"/>
              <w:left w:w="100" w:type="dxa"/>
              <w:bottom w:w="90" w:type="dxa"/>
              <w:right w:w="100" w:type="dxa"/>
            </w:tcMar>
            <w:vAlign w:val="center"/>
          </w:tcPr>
          <w:p w14:paraId="5527550A">
            <w:pPr>
              <w:spacing w:after="0"/>
              <w:jc w:val="left"/>
            </w:pPr>
            <w:r>
              <w:rPr>
                <w:rFonts w:ascii="Aptos" w:hAnsi="Aptos" w:eastAsia="Aptos"/>
                <w:b w:val="0"/>
                <w:color w:val="25313B"/>
                <w:sz w:val="16"/>
              </w:rPr>
              <w:t>Included as the principal district-specific source.</w:t>
            </w:r>
          </w:p>
        </w:tc>
      </w:tr>
      <w:tr w14:paraId="2F5D8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8" w:type="dxa"/>
            <w:shd w:val="clear" w:color="auto" w:fill="F2F4F5"/>
            <w:tcMar>
              <w:top w:w="90" w:type="dxa"/>
              <w:left w:w="100" w:type="dxa"/>
              <w:bottom w:w="90" w:type="dxa"/>
              <w:right w:w="100" w:type="dxa"/>
            </w:tcMar>
            <w:vAlign w:val="center"/>
          </w:tcPr>
          <w:p w14:paraId="0A6DA667">
            <w:pPr>
              <w:spacing w:after="0"/>
              <w:jc w:val="left"/>
            </w:pPr>
            <w:r>
              <w:rPr>
                <w:rFonts w:ascii="Aptos" w:hAnsi="Aptos" w:eastAsia="Aptos"/>
                <w:b w:val="0"/>
                <w:color w:val="25313B"/>
                <w:sz w:val="16"/>
              </w:rPr>
              <w:t>Nyamagana B Quarter 2 Report</w:t>
            </w:r>
          </w:p>
        </w:tc>
        <w:tc>
          <w:tcPr>
            <w:tcW w:w="3969" w:type="dxa"/>
            <w:shd w:val="clear" w:color="auto" w:fill="F2F4F5"/>
            <w:tcMar>
              <w:top w:w="90" w:type="dxa"/>
              <w:left w:w="100" w:type="dxa"/>
              <w:bottom w:w="90" w:type="dxa"/>
              <w:right w:w="100" w:type="dxa"/>
            </w:tcMar>
            <w:vAlign w:val="center"/>
          </w:tcPr>
          <w:p w14:paraId="37F1DAF3">
            <w:pPr>
              <w:spacing w:after="0"/>
              <w:jc w:val="left"/>
            </w:pPr>
            <w:r>
              <w:rPr>
                <w:rFonts w:ascii="Aptos" w:hAnsi="Aptos" w:eastAsia="Aptos"/>
                <w:b w:val="0"/>
                <w:color w:val="25313B"/>
                <w:sz w:val="16"/>
              </w:rPr>
              <w:t>217 household visits, kitchen-garden status, water and manure constraints, Uwimana Yosefa story.</w:t>
            </w:r>
          </w:p>
        </w:tc>
        <w:tc>
          <w:tcPr>
            <w:tcW w:w="2948" w:type="dxa"/>
            <w:shd w:val="clear" w:color="auto" w:fill="F2F4F5"/>
            <w:tcMar>
              <w:top w:w="90" w:type="dxa"/>
              <w:left w:w="100" w:type="dxa"/>
              <w:bottom w:w="90" w:type="dxa"/>
              <w:right w:w="100" w:type="dxa"/>
            </w:tcMar>
            <w:vAlign w:val="center"/>
          </w:tcPr>
          <w:p w14:paraId="030DB6DA">
            <w:pPr>
              <w:spacing w:after="0"/>
              <w:jc w:val="left"/>
            </w:pPr>
            <w:r>
              <w:rPr>
                <w:rFonts w:ascii="Aptos" w:hAnsi="Aptos" w:eastAsia="Aptos"/>
                <w:b w:val="0"/>
                <w:color w:val="25313B"/>
                <w:sz w:val="16"/>
              </w:rPr>
              <w:t>Included as village-level Nyanza evidence.</w:t>
            </w:r>
          </w:p>
        </w:tc>
      </w:tr>
      <w:tr w14:paraId="1ED32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8" w:type="dxa"/>
            <w:shd w:val="clear" w:color="auto" w:fill="FFFFFF"/>
            <w:tcMar>
              <w:top w:w="90" w:type="dxa"/>
              <w:left w:w="100" w:type="dxa"/>
              <w:bottom w:w="90" w:type="dxa"/>
              <w:right w:w="100" w:type="dxa"/>
            </w:tcMar>
            <w:vAlign w:val="center"/>
          </w:tcPr>
          <w:p w14:paraId="0343FCC4">
            <w:pPr>
              <w:spacing w:after="0"/>
              <w:jc w:val="left"/>
            </w:pPr>
            <w:r>
              <w:rPr>
                <w:rFonts w:ascii="Aptos" w:hAnsi="Aptos" w:eastAsia="Aptos"/>
                <w:b w:val="0"/>
                <w:color w:val="25313B"/>
                <w:sz w:val="16"/>
              </w:rPr>
              <w:t>Dufatanye Quarterly Programme Report</w:t>
            </w:r>
          </w:p>
        </w:tc>
        <w:tc>
          <w:tcPr>
            <w:tcW w:w="3969" w:type="dxa"/>
            <w:shd w:val="clear" w:color="auto" w:fill="FFFFFF"/>
            <w:tcMar>
              <w:top w:w="90" w:type="dxa"/>
              <w:left w:w="100" w:type="dxa"/>
              <w:bottom w:w="90" w:type="dxa"/>
              <w:right w:w="100" w:type="dxa"/>
            </w:tcMar>
            <w:vAlign w:val="center"/>
          </w:tcPr>
          <w:p w14:paraId="7EFFE56B">
            <w:pPr>
              <w:spacing w:after="0"/>
              <w:jc w:val="left"/>
            </w:pPr>
            <w:r>
              <w:rPr>
                <w:rFonts w:ascii="Aptos" w:hAnsi="Aptos" w:eastAsia="Aptos"/>
                <w:b w:val="0"/>
                <w:color w:val="25313B"/>
                <w:sz w:val="16"/>
              </w:rPr>
              <w:t>Narrative on integrated food security, nutrition, ECD, WASH, and capacity building.</w:t>
            </w:r>
          </w:p>
        </w:tc>
        <w:tc>
          <w:tcPr>
            <w:tcW w:w="2948" w:type="dxa"/>
            <w:shd w:val="clear" w:color="auto" w:fill="FFFFFF"/>
            <w:tcMar>
              <w:top w:w="90" w:type="dxa"/>
              <w:left w:w="100" w:type="dxa"/>
              <w:bottom w:w="90" w:type="dxa"/>
              <w:right w:w="100" w:type="dxa"/>
            </w:tcMar>
            <w:vAlign w:val="center"/>
          </w:tcPr>
          <w:p w14:paraId="58FC148D">
            <w:pPr>
              <w:spacing w:after="0"/>
              <w:jc w:val="left"/>
            </w:pPr>
            <w:r>
              <w:rPr>
                <w:rFonts w:ascii="Aptos" w:hAnsi="Aptos" w:eastAsia="Aptos"/>
                <w:b w:val="0"/>
                <w:color w:val="25313B"/>
                <w:sz w:val="16"/>
              </w:rPr>
              <w:t>Used only where the information was clearly attributable to Nyanza or corroborated by a Nyanza-specific report.</w:t>
            </w:r>
          </w:p>
        </w:tc>
      </w:tr>
      <w:tr w14:paraId="7B8DD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8" w:type="dxa"/>
            <w:shd w:val="clear" w:color="auto" w:fill="F2F4F5"/>
            <w:tcMar>
              <w:top w:w="90" w:type="dxa"/>
              <w:left w:w="100" w:type="dxa"/>
              <w:bottom w:w="90" w:type="dxa"/>
              <w:right w:w="100" w:type="dxa"/>
            </w:tcMar>
            <w:vAlign w:val="center"/>
          </w:tcPr>
          <w:p w14:paraId="77108E06">
            <w:pPr>
              <w:spacing w:after="0"/>
              <w:jc w:val="left"/>
            </w:pPr>
            <w:r>
              <w:rPr>
                <w:rFonts w:ascii="Aptos" w:hAnsi="Aptos" w:eastAsia="Aptos"/>
                <w:b w:val="0"/>
                <w:color w:val="25313B"/>
                <w:sz w:val="16"/>
              </w:rPr>
              <w:t>January–March 2026 GlobalGiving update</w:t>
            </w:r>
          </w:p>
        </w:tc>
        <w:tc>
          <w:tcPr>
            <w:tcW w:w="3969" w:type="dxa"/>
            <w:shd w:val="clear" w:color="auto" w:fill="F2F4F5"/>
            <w:tcMar>
              <w:top w:w="90" w:type="dxa"/>
              <w:left w:w="100" w:type="dxa"/>
              <w:bottom w:w="90" w:type="dxa"/>
              <w:right w:w="100" w:type="dxa"/>
            </w:tcMar>
            <w:vAlign w:val="center"/>
          </w:tcPr>
          <w:p w14:paraId="4ACC7D43">
            <w:pPr>
              <w:spacing w:after="0"/>
              <w:jc w:val="left"/>
            </w:pPr>
            <w:r>
              <w:rPr>
                <w:rFonts w:ascii="Aptos" w:hAnsi="Aptos" w:eastAsia="Aptos"/>
                <w:b w:val="0"/>
                <w:color w:val="25313B"/>
                <w:sz w:val="16"/>
              </w:rPr>
              <w:t>Previous-quarter figures and narrative continuity.</w:t>
            </w:r>
          </w:p>
        </w:tc>
        <w:tc>
          <w:tcPr>
            <w:tcW w:w="2948" w:type="dxa"/>
            <w:shd w:val="clear" w:color="auto" w:fill="F2F4F5"/>
            <w:tcMar>
              <w:top w:w="90" w:type="dxa"/>
              <w:left w:w="100" w:type="dxa"/>
              <w:bottom w:w="90" w:type="dxa"/>
              <w:right w:w="100" w:type="dxa"/>
            </w:tcMar>
            <w:vAlign w:val="center"/>
          </w:tcPr>
          <w:p w14:paraId="4C3DBB4A">
            <w:pPr>
              <w:spacing w:after="0"/>
              <w:jc w:val="left"/>
            </w:pPr>
            <w:r>
              <w:rPr>
                <w:rFonts w:ascii="Aptos" w:hAnsi="Aptos" w:eastAsia="Aptos"/>
                <w:b w:val="0"/>
                <w:color w:val="25313B"/>
                <w:sz w:val="16"/>
              </w:rPr>
              <w:t>Included for comparison; non-comparable indicators are labelled.</w:t>
            </w:r>
          </w:p>
        </w:tc>
      </w:tr>
      <w:tr w14:paraId="37DBA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8" w:type="dxa"/>
            <w:shd w:val="clear" w:color="auto" w:fill="FFFFFF"/>
            <w:tcMar>
              <w:top w:w="90" w:type="dxa"/>
              <w:left w:w="100" w:type="dxa"/>
              <w:bottom w:w="90" w:type="dxa"/>
              <w:right w:w="100" w:type="dxa"/>
            </w:tcMar>
            <w:vAlign w:val="center"/>
          </w:tcPr>
          <w:p w14:paraId="7330F9FD">
            <w:pPr>
              <w:spacing w:after="0"/>
              <w:jc w:val="left"/>
            </w:pPr>
            <w:r>
              <w:rPr>
                <w:rFonts w:ascii="Aptos" w:hAnsi="Aptos" w:eastAsia="Aptos"/>
                <w:b w:val="0"/>
                <w:color w:val="25313B"/>
                <w:sz w:val="16"/>
              </w:rPr>
              <w:t>Nyaruguru quarterly field report</w:t>
            </w:r>
          </w:p>
        </w:tc>
        <w:tc>
          <w:tcPr>
            <w:tcW w:w="3969" w:type="dxa"/>
            <w:shd w:val="clear" w:color="auto" w:fill="FFFFFF"/>
            <w:tcMar>
              <w:top w:w="90" w:type="dxa"/>
              <w:left w:w="100" w:type="dxa"/>
              <w:bottom w:w="90" w:type="dxa"/>
              <w:right w:w="100" w:type="dxa"/>
            </w:tcMar>
            <w:vAlign w:val="center"/>
          </w:tcPr>
          <w:p w14:paraId="030ACBDF">
            <w:pPr>
              <w:spacing w:after="0"/>
              <w:jc w:val="left"/>
            </w:pPr>
            <w:r>
              <w:rPr>
                <w:rFonts w:ascii="Aptos" w:hAnsi="Aptos" w:eastAsia="Aptos"/>
                <w:b w:val="0"/>
                <w:color w:val="25313B"/>
                <w:sz w:val="16"/>
              </w:rPr>
              <w:t>Rasaniro Village results, including toilets, chickens, gardens, and VSLAs.</w:t>
            </w:r>
          </w:p>
        </w:tc>
        <w:tc>
          <w:tcPr>
            <w:tcW w:w="2948" w:type="dxa"/>
            <w:shd w:val="clear" w:color="auto" w:fill="FFFFFF"/>
            <w:tcMar>
              <w:top w:w="90" w:type="dxa"/>
              <w:left w:w="100" w:type="dxa"/>
              <w:bottom w:w="90" w:type="dxa"/>
              <w:right w:w="100" w:type="dxa"/>
            </w:tcMar>
            <w:vAlign w:val="center"/>
          </w:tcPr>
          <w:p w14:paraId="335D7D18">
            <w:pPr>
              <w:spacing w:after="0"/>
              <w:jc w:val="left"/>
            </w:pPr>
            <w:r>
              <w:rPr>
                <w:rFonts w:ascii="Aptos" w:hAnsi="Aptos" w:eastAsia="Aptos"/>
                <w:b w:val="0"/>
                <w:color w:val="25313B"/>
                <w:sz w:val="16"/>
              </w:rPr>
              <w:t>Excluded because the user requested Nyanza only.</w:t>
            </w:r>
          </w:p>
        </w:tc>
      </w:tr>
      <w:tr w14:paraId="23388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8" w:type="dxa"/>
            <w:shd w:val="clear" w:color="auto" w:fill="F2F4F5"/>
            <w:tcMar>
              <w:top w:w="90" w:type="dxa"/>
              <w:left w:w="100" w:type="dxa"/>
              <w:bottom w:w="90" w:type="dxa"/>
              <w:right w:w="100" w:type="dxa"/>
            </w:tcMar>
            <w:vAlign w:val="center"/>
          </w:tcPr>
          <w:p w14:paraId="218E1B6D">
            <w:pPr>
              <w:spacing w:after="0"/>
              <w:jc w:val="left"/>
            </w:pPr>
            <w:r>
              <w:rPr>
                <w:rFonts w:ascii="Aptos" w:hAnsi="Aptos" w:eastAsia="Aptos"/>
                <w:b w:val="0"/>
                <w:color w:val="25313B"/>
                <w:sz w:val="16"/>
              </w:rPr>
              <w:t>Nyamagabe/Kitabi/Kibilizi field report</w:t>
            </w:r>
          </w:p>
        </w:tc>
        <w:tc>
          <w:tcPr>
            <w:tcW w:w="3969" w:type="dxa"/>
            <w:shd w:val="clear" w:color="auto" w:fill="F2F4F5"/>
            <w:tcMar>
              <w:top w:w="90" w:type="dxa"/>
              <w:left w:w="100" w:type="dxa"/>
              <w:bottom w:w="90" w:type="dxa"/>
              <w:right w:w="100" w:type="dxa"/>
            </w:tcMar>
            <w:vAlign w:val="center"/>
          </w:tcPr>
          <w:p w14:paraId="5F767559">
            <w:pPr>
              <w:spacing w:after="0"/>
              <w:jc w:val="left"/>
            </w:pPr>
            <w:r>
              <w:rPr>
                <w:rFonts w:ascii="Aptos" w:hAnsi="Aptos" w:eastAsia="Aptos"/>
                <w:b w:val="0"/>
                <w:color w:val="25313B"/>
                <w:sz w:val="16"/>
              </w:rPr>
              <w:t>Home-based ECD and toilet-rehabilitation activities outside the confirmed Nyanza scope.</w:t>
            </w:r>
          </w:p>
        </w:tc>
        <w:tc>
          <w:tcPr>
            <w:tcW w:w="2948" w:type="dxa"/>
            <w:shd w:val="clear" w:color="auto" w:fill="F2F4F5"/>
            <w:tcMar>
              <w:top w:w="90" w:type="dxa"/>
              <w:left w:w="100" w:type="dxa"/>
              <w:bottom w:w="90" w:type="dxa"/>
              <w:right w:w="100" w:type="dxa"/>
            </w:tcMar>
            <w:vAlign w:val="center"/>
          </w:tcPr>
          <w:p w14:paraId="3A440CAC">
            <w:pPr>
              <w:spacing w:after="0"/>
              <w:jc w:val="left"/>
            </w:pPr>
            <w:r>
              <w:rPr>
                <w:rFonts w:ascii="Aptos" w:hAnsi="Aptos" w:eastAsia="Aptos"/>
                <w:b w:val="0"/>
                <w:color w:val="25313B"/>
                <w:sz w:val="16"/>
              </w:rPr>
              <w:t>Excluded from results and figures.</w:t>
            </w:r>
          </w:p>
        </w:tc>
      </w:tr>
    </w:tbl>
    <w:p w14:paraId="47B17452"/>
    <w:p w14:paraId="06939A9F">
      <w:pPr>
        <w:pStyle w:val="4"/>
      </w:pPr>
      <w:r>
        <w:t>Prepared by:</w:t>
      </w:r>
    </w:p>
    <w:p w14:paraId="0AC4763E">
      <w:pPr>
        <w:spacing w:after="240"/>
      </w:pPr>
      <w:r>
        <w:t>Archimede Sekamana</w:t>
      </w:r>
      <w:r>
        <w:br w:type="textWrapping"/>
      </w:r>
      <w:r>
        <w:t>Head of Partnership, Strategy &amp; Impact</w:t>
      </w:r>
      <w:r>
        <w:br w:type="textWrapping"/>
      </w:r>
      <w:r>
        <w:t>Dufatanye Organization</w:t>
      </w:r>
    </w:p>
    <w:p w14:paraId="3C5F3E2D">
      <w:r>
        <w:rPr>
          <w:b/>
        </w:rPr>
        <w:t>Reporting period: April–June 2026</w:t>
      </w:r>
    </w:p>
    <w:sectPr>
      <w:headerReference r:id="rId6" w:type="first"/>
      <w:footerReference r:id="rId8" w:type="first"/>
      <w:headerReference r:id="rId5" w:type="default"/>
      <w:footerReference r:id="rId7" w:type="default"/>
      <w:pgSz w:w="11906" w:h="16838"/>
      <w:pgMar w:top="964" w:right="1020" w:bottom="907" w:left="1020" w:header="397" w:footer="397"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SimSun"/>
    <w:panose1 w:val="00000000000000000000"/>
    <w:charset w:val="86"/>
    <w:family w:val="auto"/>
    <w:pitch w:val="default"/>
    <w:sig w:usb0="00000000" w:usb1="00000000" w:usb2="00000000" w:usb3="00000000" w:csb0="00000000" w:csb1="00000000"/>
  </w:font>
  <w:font w:name="Aptos">
    <w:altName w:val="Segoe UI"/>
    <w:panose1 w:val="00000000000000000000"/>
    <w:charset w:val="00"/>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Symbol">
    <w:panose1 w:val="05050102010706020507"/>
    <w:charset w:val="02"/>
    <w:family w:val="auto"/>
    <w:pitch w:val="default"/>
    <w:sig w:usb0="00000000" w:usb1="00000000" w:usb2="00000000" w:usb3="00000000" w:csb0="80000000" w:csb1="0000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2"/>
      <w:tblW w:w="0" w:type="auto"/>
      <w:jc w:val="center"/>
      <w:tblLayout w:type="fixed"/>
      <w:tblCellMar>
        <w:top w:w="0" w:type="dxa"/>
        <w:left w:w="108" w:type="dxa"/>
        <w:bottom w:w="0" w:type="dxa"/>
        <w:right w:w="108" w:type="dxa"/>
      </w:tblCellMar>
    </w:tblPr>
    <w:tblGrid>
      <w:gridCol w:w="7654"/>
      <w:gridCol w:w="2211"/>
    </w:tblGrid>
    <w:tr w14:paraId="31935809">
      <w:tblPrEx>
        <w:tblCellMar>
          <w:top w:w="0" w:type="dxa"/>
          <w:left w:w="108" w:type="dxa"/>
          <w:bottom w:w="0" w:type="dxa"/>
          <w:right w:w="108" w:type="dxa"/>
        </w:tblCellMar>
      </w:tblPrEx>
      <w:trPr>
        <w:jc w:val="center"/>
      </w:trPr>
      <w:tc>
        <w:tcPr>
          <w:tcW w:w="4932" w:type="dxa"/>
          <w:tcMar>
            <w:top w:w="0" w:type="dxa"/>
            <w:left w:w="0" w:type="dxa"/>
            <w:bottom w:w="0" w:type="dxa"/>
            <w:right w:w="0" w:type="dxa"/>
          </w:tcMar>
        </w:tcPr>
        <w:p w14:paraId="3AA25293">
          <w:pPr>
            <w:jc w:val="left"/>
          </w:pPr>
          <w:r>
            <w:rPr>
              <w:rFonts w:ascii="Aptos" w:hAnsi="Aptos"/>
              <w:color w:val="5F6B73"/>
              <w:sz w:val="16"/>
            </w:rPr>
            <w:t>Fighting Malnutrition in 10 Villages of Nyanza</w:t>
          </w:r>
        </w:p>
      </w:tc>
      <w:tc>
        <w:tcPr>
          <w:tcW w:w="4932" w:type="dxa"/>
          <w:tcMar>
            <w:top w:w="0" w:type="dxa"/>
            <w:left w:w="0" w:type="dxa"/>
            <w:bottom w:w="0" w:type="dxa"/>
            <w:right w:w="0" w:type="dxa"/>
          </w:tcMar>
        </w:tcPr>
        <w:p w14:paraId="060EA9F5">
          <w:pPr>
            <w:jc w:val="right"/>
          </w:pPr>
          <w:r>
            <w:rPr>
              <w:rFonts w:ascii="Aptos" w:hAnsi="Aptos"/>
              <w:color w:val="5F6B73"/>
              <w:sz w:val="16"/>
            </w:rPr>
            <w:t xml:space="preserve">Page </w:t>
          </w:r>
          <w:r>
            <w:rPr>
              <w:rFonts w:ascii="Aptos" w:hAnsi="Aptos"/>
              <w:color w:val="5F6B73"/>
              <w:sz w:val="16"/>
            </w:rPr>
            <w:fldChar w:fldCharType="begin"/>
          </w:r>
          <w:r>
            <w:rPr>
              <w:rFonts w:ascii="Aptos" w:hAnsi="Aptos"/>
              <w:color w:val="5F6B73"/>
              <w:sz w:val="16"/>
            </w:rPr>
            <w:instrText xml:space="preserve">PAGE</w:instrText>
          </w:r>
          <w:r>
            <w:rPr>
              <w:rFonts w:ascii="Aptos" w:hAnsi="Aptos"/>
              <w:color w:val="5F6B73"/>
              <w:sz w:val="16"/>
            </w:rPr>
            <w:fldChar w:fldCharType="end"/>
          </w:r>
        </w:p>
      </w:tc>
    </w:tr>
  </w:tbl>
  <w:p w14:paraId="50227C2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BDC3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9" w:lineRule="auto"/>
      </w:pPr>
      <w:r>
        <w:separator/>
      </w:r>
    </w:p>
  </w:footnote>
  <w:footnote w:type="continuationSeparator" w:id="1">
    <w:p>
      <w:pPr>
        <w:spacing w:before="0" w:after="0" w:line="26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024FA">
    <w:pPr>
      <w:pStyle w:val="19"/>
      <w:pBdr>
        <w:bottom w:val="single" w:color="D8A23D" w:sz="6" w:space="2"/>
      </w:pBdr>
      <w:jc w:val="center"/>
    </w:pPr>
    <w:r>
      <w:rPr>
        <w:rFonts w:ascii="Aptos" w:hAnsi="Aptos"/>
        <w:b/>
        <w:color w:val="315A2D"/>
        <w:sz w:val="16"/>
      </w:rPr>
      <w:t>DUFATANYE ORGANIZATION  |  GLOBALGIVING QUARTERLY REPORT  |  APRIL–JUNE 2026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E0927">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7CD23EA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00" w:line="269" w:lineRule="auto"/>
    </w:pPr>
    <w:rPr>
      <w:rFonts w:ascii="Aptos" w:hAnsi="Aptos" w:eastAsia="Aptos" w:cstheme="minorBidi"/>
      <w:color w:val="25313B"/>
      <w:sz w:val="20"/>
      <w:szCs w:val="22"/>
      <w:lang w:val="en-US" w:eastAsia="en-US" w:bidi="ar-SA"/>
    </w:rPr>
  </w:style>
  <w:style w:type="paragraph" w:styleId="2">
    <w:name w:val="heading 1"/>
    <w:basedOn w:val="1"/>
    <w:next w:val="1"/>
    <w:link w:val="138"/>
    <w:qFormat/>
    <w:uiPriority w:val="9"/>
    <w:pPr>
      <w:keepNext/>
      <w:keepLines/>
      <w:spacing w:before="200" w:after="100"/>
      <w:outlineLvl w:val="0"/>
    </w:pPr>
    <w:rPr>
      <w:rFonts w:asciiTheme="majorHAnsi" w:hAnsiTheme="majorHAnsi" w:eastAsiaTheme="majorEastAsia" w:cstheme="majorBidi"/>
      <w:b/>
      <w:bCs/>
      <w:color w:val="315A2D"/>
      <w:sz w:val="32"/>
      <w:szCs w:val="28"/>
    </w:rPr>
  </w:style>
  <w:style w:type="paragraph" w:styleId="3">
    <w:name w:val="heading 2"/>
    <w:basedOn w:val="1"/>
    <w:next w:val="1"/>
    <w:link w:val="139"/>
    <w:unhideWhenUsed/>
    <w:qFormat/>
    <w:uiPriority w:val="9"/>
    <w:pPr>
      <w:keepNext/>
      <w:keepLines/>
      <w:spacing w:before="140" w:after="60"/>
      <w:outlineLvl w:val="1"/>
    </w:pPr>
    <w:rPr>
      <w:rFonts w:asciiTheme="majorHAnsi" w:hAnsiTheme="majorHAnsi" w:eastAsiaTheme="majorEastAsia" w:cstheme="majorBidi"/>
      <w:b/>
      <w:bCs/>
      <w:color w:val="244522"/>
      <w:sz w:val="25"/>
      <w:szCs w:val="26"/>
    </w:rPr>
  </w:style>
  <w:style w:type="paragraph" w:styleId="4">
    <w:name w:val="heading 3"/>
    <w:basedOn w:val="1"/>
    <w:next w:val="1"/>
    <w:link w:val="140"/>
    <w:unhideWhenUsed/>
    <w:qFormat/>
    <w:uiPriority w:val="9"/>
    <w:pPr>
      <w:keepNext/>
      <w:keepLines/>
      <w:spacing w:before="100" w:after="40"/>
      <w:outlineLvl w:val="2"/>
    </w:pPr>
    <w:rPr>
      <w:rFonts w:asciiTheme="majorHAnsi" w:hAnsiTheme="majorHAnsi" w:eastAsiaTheme="majorEastAsia" w:cstheme="majorBidi"/>
      <w:b/>
      <w:bCs/>
      <w:color w:val="315A2D"/>
      <w:sz w:val="22"/>
    </w:rPr>
  </w:style>
  <w:style w:type="paragraph" w:styleId="5">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ody Text"/>
    <w:basedOn w:val="1"/>
    <w:link w:val="144"/>
    <w:unhideWhenUsed/>
    <w:uiPriority w:val="99"/>
    <w:pPr>
      <w:spacing w:after="120"/>
    </w:pPr>
  </w:style>
  <w:style w:type="paragraph" w:styleId="14">
    <w:name w:val="Body Text 2"/>
    <w:basedOn w:val="1"/>
    <w:link w:val="145"/>
    <w:unhideWhenUsed/>
    <w:uiPriority w:val="99"/>
    <w:pPr>
      <w:spacing w:after="120" w:line="480" w:lineRule="auto"/>
    </w:pPr>
  </w:style>
  <w:style w:type="paragraph" w:styleId="15">
    <w:name w:val="Body Text 3"/>
    <w:basedOn w:val="1"/>
    <w:link w:val="146"/>
    <w:unhideWhenUsed/>
    <w:uiPriority w:val="99"/>
    <w:pPr>
      <w:spacing w:after="120"/>
    </w:pPr>
    <w:rPr>
      <w:sz w:val="16"/>
      <w:szCs w:val="16"/>
    </w:rPr>
  </w:style>
  <w:style w:type="paragraph" w:styleId="16">
    <w:name w:val="caption"/>
    <w:basedOn w:val="1"/>
    <w:next w:val="1"/>
    <w:semiHidden/>
    <w:unhideWhenUsed/>
    <w:qFormat/>
    <w:uiPriority w:val="35"/>
    <w:pPr>
      <w:spacing w:after="100" w:line="240" w:lineRule="auto"/>
      <w:jc w:val="center"/>
    </w:pPr>
    <w:rPr>
      <w:rFonts w:ascii="Aptos" w:hAnsi="Aptos" w:eastAsia="Aptos"/>
      <w:bCs/>
      <w:i/>
      <w:color w:val="5F6B73"/>
      <w:sz w:val="17"/>
      <w:szCs w:val="18"/>
    </w:rPr>
  </w:style>
  <w:style w:type="character" w:styleId="17">
    <w:name w:val="Emphasis"/>
    <w:basedOn w:val="11"/>
    <w:qFormat/>
    <w:uiPriority w:val="20"/>
    <w:rPr>
      <w:i/>
      <w:iCs/>
    </w:rPr>
  </w:style>
  <w:style w:type="paragraph" w:styleId="18">
    <w:name w:val="footer"/>
    <w:basedOn w:val="1"/>
    <w:link w:val="136"/>
    <w:unhideWhenUsed/>
    <w:qFormat/>
    <w:uiPriority w:val="99"/>
    <w:pPr>
      <w:tabs>
        <w:tab w:val="center" w:pos="4680"/>
        <w:tab w:val="right" w:pos="9360"/>
      </w:tabs>
      <w:spacing w:after="0" w:line="240" w:lineRule="auto"/>
    </w:pPr>
  </w:style>
  <w:style w:type="paragraph" w:styleId="19">
    <w:name w:val="header"/>
    <w:basedOn w:val="1"/>
    <w:link w:val="135"/>
    <w:unhideWhenUsed/>
    <w:uiPriority w:val="99"/>
    <w:pPr>
      <w:tabs>
        <w:tab w:val="center" w:pos="4680"/>
        <w:tab w:val="right" w:pos="9360"/>
      </w:tabs>
      <w:spacing w:after="0" w:line="240" w:lineRule="auto"/>
    </w:pPr>
  </w:style>
  <w:style w:type="paragraph" w:styleId="20">
    <w:name w:val="List"/>
    <w:basedOn w:val="1"/>
    <w:unhideWhenUsed/>
    <w:uiPriority w:val="99"/>
    <w:pPr>
      <w:ind w:left="360" w:hanging="360"/>
      <w:contextualSpacing/>
    </w:pPr>
  </w:style>
  <w:style w:type="paragraph" w:styleId="21">
    <w:name w:val="List 2"/>
    <w:basedOn w:val="1"/>
    <w:unhideWhenUsed/>
    <w:uiPriority w:val="99"/>
    <w:pPr>
      <w:ind w:left="720" w:hanging="360"/>
      <w:contextualSpacing/>
    </w:pPr>
  </w:style>
  <w:style w:type="paragraph" w:styleId="22">
    <w:name w:val="List 3"/>
    <w:basedOn w:val="1"/>
    <w:unhideWhenUsed/>
    <w:uiPriority w:val="99"/>
    <w:pPr>
      <w:ind w:left="1080" w:hanging="360"/>
      <w:contextualSpacing/>
    </w:pPr>
  </w:style>
  <w:style w:type="paragraph" w:styleId="23">
    <w:name w:val="List Bullet"/>
    <w:basedOn w:val="1"/>
    <w:unhideWhenUsed/>
    <w:uiPriority w:val="99"/>
    <w:pPr>
      <w:numPr>
        <w:ilvl w:val="0"/>
        <w:numId w:val="1"/>
      </w:numPr>
      <w:contextualSpacing/>
    </w:pPr>
  </w:style>
  <w:style w:type="paragraph" w:styleId="24">
    <w:name w:val="List Bullet 2"/>
    <w:basedOn w:val="1"/>
    <w:unhideWhenUsed/>
    <w:uiPriority w:val="99"/>
    <w:pPr>
      <w:numPr>
        <w:ilvl w:val="0"/>
        <w:numId w:val="2"/>
      </w:numPr>
      <w:contextualSpacing/>
    </w:pPr>
  </w:style>
  <w:style w:type="paragraph" w:styleId="25">
    <w:name w:val="List Bullet 3"/>
    <w:basedOn w:val="1"/>
    <w:unhideWhenUsed/>
    <w:uiPriority w:val="99"/>
    <w:pPr>
      <w:numPr>
        <w:ilvl w:val="0"/>
        <w:numId w:val="3"/>
      </w:numPr>
      <w:contextualSpacing/>
    </w:pPr>
  </w:style>
  <w:style w:type="paragraph" w:styleId="26">
    <w:name w:val="List Continue"/>
    <w:basedOn w:val="1"/>
    <w:unhideWhenUsed/>
    <w:uiPriority w:val="99"/>
    <w:pPr>
      <w:spacing w:after="120"/>
      <w:ind w:left="360"/>
      <w:contextualSpacing/>
    </w:pPr>
  </w:style>
  <w:style w:type="paragraph" w:styleId="27">
    <w:name w:val="List Continue 2"/>
    <w:basedOn w:val="1"/>
    <w:unhideWhenUsed/>
    <w:uiPriority w:val="99"/>
    <w:pPr>
      <w:spacing w:after="120"/>
      <w:ind w:left="720"/>
      <w:contextualSpacing/>
    </w:pPr>
  </w:style>
  <w:style w:type="paragraph" w:styleId="28">
    <w:name w:val="List Continue 3"/>
    <w:basedOn w:val="1"/>
    <w:unhideWhenUsed/>
    <w:uiPriority w:val="99"/>
    <w:pPr>
      <w:spacing w:after="120"/>
      <w:ind w:left="1080"/>
      <w:contextualSpacing/>
    </w:pPr>
  </w:style>
  <w:style w:type="paragraph" w:styleId="29">
    <w:name w:val="List Number"/>
    <w:basedOn w:val="1"/>
    <w:unhideWhenUsed/>
    <w:uiPriority w:val="99"/>
    <w:pPr>
      <w:numPr>
        <w:ilvl w:val="0"/>
        <w:numId w:val="4"/>
      </w:numPr>
      <w:contextualSpacing/>
    </w:pPr>
  </w:style>
  <w:style w:type="paragraph" w:styleId="30">
    <w:name w:val="List Number 2"/>
    <w:basedOn w:val="1"/>
    <w:unhideWhenUsed/>
    <w:uiPriority w:val="99"/>
    <w:pPr>
      <w:numPr>
        <w:ilvl w:val="0"/>
        <w:numId w:val="5"/>
      </w:numPr>
      <w:contextualSpacing/>
    </w:pPr>
  </w:style>
  <w:style w:type="paragraph" w:styleId="31">
    <w:name w:val="List Number 3"/>
    <w:basedOn w:val="1"/>
    <w:unhideWhenUsed/>
    <w:uiPriority w:val="99"/>
    <w:pPr>
      <w:numPr>
        <w:ilvl w:val="0"/>
        <w:numId w:val="6"/>
      </w:numPr>
      <w:contextualSpacing/>
    </w:pPr>
  </w:style>
  <w:style w:type="paragraph" w:styleId="3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3">
    <w:name w:val="Strong"/>
    <w:basedOn w:val="11"/>
    <w:qFormat/>
    <w:uiPriority w:val="22"/>
    <w:rPr>
      <w:b/>
      <w:bCs/>
    </w:rPr>
  </w:style>
  <w:style w:type="paragraph" w:styleId="34">
    <w:name w:val="Subtitle"/>
    <w:basedOn w:val="1"/>
    <w:next w:val="1"/>
    <w:link w:val="142"/>
    <w:qFormat/>
    <w:uiPriority w:val="11"/>
    <w:pPr>
      <w:keepNext/>
      <w:spacing w:before="0" w:after="80"/>
    </w:pPr>
    <w:rPr>
      <w:rFonts w:asciiTheme="majorHAnsi" w:hAnsiTheme="majorHAnsi" w:eastAsiaTheme="majorEastAsia" w:cstheme="majorBidi"/>
      <w:b/>
      <w:i/>
      <w:iCs/>
      <w:color w:val="FFFFFF"/>
      <w:spacing w:val="15"/>
      <w:sz w:val="26"/>
      <w:szCs w:val="24"/>
    </w:rPr>
  </w:style>
  <w:style w:type="table" w:styleId="35">
    <w:name w:val="Table Grid"/>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Title"/>
    <w:basedOn w:val="1"/>
    <w:next w:val="1"/>
    <w:link w:val="141"/>
    <w:qFormat/>
    <w:uiPriority w:val="10"/>
    <w:pPr>
      <w:keepNext/>
      <w:pBdr>
        <w:bottom w:val="single" w:color="4F81BD" w:themeColor="accent1" w:sz="8" w:space="4"/>
      </w:pBdr>
      <w:spacing w:before="0" w:after="120" w:line="240" w:lineRule="auto"/>
      <w:contextualSpacing/>
    </w:pPr>
    <w:rPr>
      <w:rFonts w:asciiTheme="majorHAnsi" w:hAnsiTheme="majorHAnsi" w:eastAsiaTheme="majorEastAsia" w:cstheme="majorBidi"/>
      <w:b/>
      <w:color w:val="FFFFFF"/>
      <w:spacing w:val="5"/>
      <w:kern w:val="28"/>
      <w:sz w:val="50"/>
      <w:szCs w:val="52"/>
    </w:rPr>
  </w:style>
  <w:style w:type="table" w:styleId="37">
    <w:name w:val="Light Shading"/>
    <w:basedOn w:val="1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1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1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1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1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1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1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1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1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1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1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1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1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1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1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1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1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1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1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1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1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1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1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1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1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1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1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1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1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1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1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1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1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1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1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1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1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1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1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1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1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1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1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1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1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1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5">
    <w:name w:val="Header Char"/>
    <w:basedOn w:val="11"/>
    <w:link w:val="19"/>
    <w:uiPriority w:val="99"/>
  </w:style>
  <w:style w:type="character" w:customStyle="1" w:styleId="136">
    <w:name w:val="Footer Char"/>
    <w:basedOn w:val="11"/>
    <w:link w:val="18"/>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1"/>
    <w:link w:val="2"/>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1"/>
    <w:link w:val="3"/>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1"/>
    <w:link w:val="4"/>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1"/>
    <w:link w:val="36"/>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1"/>
    <w:link w:val="34"/>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1"/>
    <w:link w:val="13"/>
    <w:uiPriority w:val="99"/>
  </w:style>
  <w:style w:type="character" w:customStyle="1" w:styleId="145">
    <w:name w:val="Body Text 2 Char"/>
    <w:basedOn w:val="11"/>
    <w:link w:val="14"/>
    <w:uiPriority w:val="99"/>
  </w:style>
  <w:style w:type="character" w:customStyle="1" w:styleId="146">
    <w:name w:val="Body Text 3 Char"/>
    <w:basedOn w:val="11"/>
    <w:link w:val="15"/>
    <w:uiPriority w:val="99"/>
    <w:rPr>
      <w:sz w:val="16"/>
      <w:szCs w:val="16"/>
    </w:rPr>
  </w:style>
  <w:style w:type="character" w:customStyle="1" w:styleId="147">
    <w:name w:val="Macro Text Char"/>
    <w:basedOn w:val="11"/>
    <w:link w:val="32"/>
    <w:uiPriority w:val="99"/>
    <w:rPr>
      <w:rFonts w:ascii="Courier" w:hAnsi="Courier"/>
      <w:sz w:val="20"/>
      <w:szCs w:val="20"/>
    </w:rPr>
  </w:style>
  <w:style w:type="paragraph" w:styleId="148">
    <w:name w:val="Quote"/>
    <w:basedOn w:val="1"/>
    <w:next w:val="1"/>
    <w:link w:val="149"/>
    <w:qFormat/>
    <w:uiPriority w:val="29"/>
    <w:pPr>
      <w:spacing w:after="100"/>
    </w:pPr>
    <w:rPr>
      <w:rFonts w:ascii="Aptos" w:hAnsi="Aptos" w:eastAsia="Aptos"/>
      <w:i/>
      <w:iCs/>
      <w:color w:val="244522"/>
      <w:sz w:val="21"/>
    </w:rPr>
  </w:style>
  <w:style w:type="character" w:customStyle="1" w:styleId="149">
    <w:name w:val="Quote Char"/>
    <w:basedOn w:val="11"/>
    <w:link w:val="148"/>
    <w:uiPriority w:val="29"/>
    <w:rPr>
      <w:i/>
      <w:iCs/>
      <w:color w:val="000000" w:themeColor="text1"/>
      <w14:textFill>
        <w14:solidFill>
          <w14:schemeClr w14:val="tx1"/>
        </w14:solidFill>
      </w14:textFill>
    </w:rPr>
  </w:style>
  <w:style w:type="character" w:customStyle="1" w:styleId="150">
    <w:name w:val="Heading 4 Char"/>
    <w:basedOn w:val="11"/>
    <w:link w:val="5"/>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1"/>
    <w:link w:val="6"/>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1"/>
    <w:link w:val="7"/>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1"/>
    <w:link w:val="8"/>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1"/>
    <w:link w:val="9"/>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1"/>
    <w:link w:val="10"/>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1"/>
    <w:link w:val="156"/>
    <w:uiPriority w:val="30"/>
    <w:rPr>
      <w:b/>
      <w:bCs/>
      <w:i/>
      <w:iCs/>
      <w:color w:val="4F81BD" w:themeColor="accent1"/>
      <w14:textFill>
        <w14:solidFill>
          <w14:schemeClr w14:val="accent1"/>
        </w14:solidFill>
      </w14:textFill>
    </w:rPr>
  </w:style>
  <w:style w:type="character" w:customStyle="1" w:styleId="158">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1"/>
    <w:qFormat/>
    <w:uiPriority w:val="21"/>
    <w:rPr>
      <w:b/>
      <w:bCs/>
      <w:i/>
      <w:iCs/>
      <w:color w:val="4F81BD" w:themeColor="accent1"/>
      <w14:textFill>
        <w14:solidFill>
          <w14:schemeClr w14:val="accent1"/>
        </w14:solidFill>
      </w14:textFill>
    </w:rPr>
  </w:style>
  <w:style w:type="character" w:customStyle="1" w:styleId="160">
    <w:name w:val="Subtle Reference"/>
    <w:basedOn w:val="11"/>
    <w:qFormat/>
    <w:uiPriority w:val="31"/>
    <w:rPr>
      <w:smallCaps/>
      <w:color w:val="C0504D" w:themeColor="accent2"/>
      <w:u w:val="single"/>
      <w14:textFill>
        <w14:solidFill>
          <w14:schemeClr w14:val="accent2"/>
        </w14:solidFill>
      </w14:textFill>
    </w:rPr>
  </w:style>
  <w:style w:type="character" w:customStyle="1" w:styleId="161">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1"/>
    <w:qFormat/>
    <w:uiPriority w:val="33"/>
    <w:rPr>
      <w:b/>
      <w:bCs/>
      <w:smallCaps/>
      <w:spacing w:val="5"/>
    </w:rPr>
  </w:style>
  <w:style w:type="paragraph" w:customStyle="1" w:styleId="163">
    <w:name w:val="TOC Heading"/>
    <w:basedOn w:val="2"/>
    <w:next w:val="1"/>
    <w:semiHidden/>
    <w:unhideWhenUsed/>
    <w:qFormat/>
    <w:uiPriority w:val="39"/>
    <w:pPr>
      <w:outlineLvl w:val="9"/>
    </w:pPr>
  </w:style>
  <w:style w:type="paragraph" w:customStyle="1" w:styleId="164">
    <w:name w:val="Cover Meta"/>
    <w:uiPriority w:val="0"/>
    <w:pPr>
      <w:spacing w:after="60" w:line="276" w:lineRule="auto"/>
      <w:jc w:val="center"/>
    </w:pPr>
    <w:rPr>
      <w:rFonts w:ascii="Aptos" w:hAnsi="Aptos" w:eastAsia="Aptos" w:cstheme="minorBidi"/>
      <w:color w:val="FFFFFF"/>
      <w:sz w:val="21"/>
      <w:szCs w:val="22"/>
      <w:lang w:val="en-US" w:eastAsia="en-US" w:bidi="ar-SA"/>
    </w:rPr>
  </w:style>
  <w:style w:type="paragraph" w:customStyle="1" w:styleId="165">
    <w:name w:val="Small Note"/>
    <w:uiPriority w:val="0"/>
    <w:pPr>
      <w:spacing w:after="60" w:line="276" w:lineRule="auto"/>
    </w:pPr>
    <w:rPr>
      <w:rFonts w:ascii="Aptos" w:hAnsi="Aptos" w:eastAsia="Aptos" w:cstheme="minorBidi"/>
      <w:i/>
      <w:color w:val="5F6B73"/>
      <w:sz w:val="16"/>
      <w:szCs w:val="22"/>
      <w:lang w:val="en-US" w:eastAsia="en-US" w:bidi="ar-SA"/>
    </w:rPr>
  </w:style>
  <w:style w:type="paragraph" w:customStyle="1" w:styleId="166">
    <w:name w:val="Key Figure"/>
    <w:uiPriority w:val="0"/>
    <w:pPr>
      <w:spacing w:after="0" w:line="276" w:lineRule="auto"/>
      <w:jc w:val="center"/>
    </w:pPr>
    <w:rPr>
      <w:rFonts w:ascii="Aptos" w:hAnsi="Aptos" w:eastAsia="Aptos" w:cstheme="minorBidi"/>
      <w:b/>
      <w:color w:val="315A2D"/>
      <w:sz w:val="38"/>
      <w:szCs w:val="22"/>
      <w:lang w:val="en-US" w:eastAsia="en-US" w:bidi="ar-SA"/>
    </w:rPr>
  </w:style>
  <w:style w:type="paragraph" w:customStyle="1" w:styleId="167">
    <w:name w:val="Key Label"/>
    <w:uiPriority w:val="0"/>
    <w:pPr>
      <w:spacing w:after="80" w:line="276" w:lineRule="auto"/>
      <w:jc w:val="center"/>
    </w:pPr>
    <w:rPr>
      <w:rFonts w:ascii="Aptos" w:hAnsi="Aptos" w:eastAsia="Aptos" w:cstheme="minorBidi"/>
      <w:b/>
      <w:color w:val="25313B"/>
      <w:sz w:val="17"/>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4.jpe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3007</Words>
  <Characters>20054</Characters>
  <Lines>0</Lines>
  <Paragraphs>0</Paragraphs>
  <TotalTime>10</TotalTime>
  <ScaleCrop>false</ScaleCrop>
  <LinksUpToDate>false</LinksUpToDate>
  <CharactersWithSpaces>22786</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Dufatanye Organization</dc:creator>
  <dc:description>Prepared from Nyanza-specific quarterly reports and the prior GlobalGiving update.</dc:description>
  <cp:keywords>GlobalGiving, malnutrition, Nyanza, ECD, nutrition, kitchen gardens</cp:keywords>
  <cp:lastModifiedBy>SEKAMANA ARCHIMEDE</cp:lastModifiedBy>
  <dcterms:modified xsi:type="dcterms:W3CDTF">2026-08-06T11:21:00Z</dcterms:modified>
  <dc:subject>April-June 2026</dc:subject>
  <dc:title>GlobalGiving Quarterly Report - Fighting Malnutrition in 10 Villages of Nyanza</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eyJoZGlkIjoiMWYyMTNjMjZiZGFjZjEyNzA1NGE1ZmYwZThhY2VhYjkiLCJ1c2VySWQiOiIxNjY2NTA1MTg4OTYyIn0=</vt:lpwstr>
  </property>
  <property fmtid="{D5CDD505-2E9C-101B-9397-08002B2CF9AE}" pid="3" name="KSOProductBuildVer">
    <vt:lpwstr>1033-12.1.0.28032</vt:lpwstr>
  </property>
  <property fmtid="{D5CDD505-2E9C-101B-9397-08002B2CF9AE}" pid="4" name="ICV">
    <vt:lpwstr>F88D0DDCE7CA40A89749E724A45CACDB_12</vt:lpwstr>
  </property>
</Properties>
</file>