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49" w:rsidRDefault="004F2349" w:rsidP="004F2349">
      <w:pPr>
        <w:rPr>
          <w:sz w:val="32"/>
          <w:szCs w:val="32"/>
        </w:rPr>
      </w:pPr>
      <w:r w:rsidRPr="004F2349">
        <w:rPr>
          <w:sz w:val="32"/>
          <w:szCs w:val="32"/>
        </w:rPr>
        <w:t>Strengthening Capacity</w:t>
      </w:r>
      <w:r>
        <w:rPr>
          <w:sz w:val="32"/>
          <w:szCs w:val="32"/>
        </w:rPr>
        <w:t xml:space="preserve">  for Mediator Practicioner in H</w:t>
      </w:r>
      <w:r w:rsidRPr="004F2349">
        <w:rPr>
          <w:sz w:val="32"/>
          <w:szCs w:val="32"/>
        </w:rPr>
        <w:t>andling Natural Resources Conflict Program</w:t>
      </w:r>
    </w:p>
    <w:p w:rsidR="004F2349" w:rsidRDefault="004F2349" w:rsidP="004F2349">
      <w:pPr>
        <w:jc w:val="both"/>
        <w:rPr>
          <w:rFonts w:ascii="Times New Roman" w:hAnsi="Times New Roman" w:cs="Times New Roman"/>
        </w:rPr>
      </w:pPr>
    </w:p>
    <w:p w:rsidR="004F2349" w:rsidRDefault="004F2349" w:rsidP="004F2349">
      <w:pPr>
        <w:jc w:val="both"/>
        <w:rPr>
          <w:rFonts w:ascii="Times New Roman" w:hAnsi="Times New Roman" w:cs="Times New Roman"/>
        </w:rPr>
      </w:pPr>
    </w:p>
    <w:p w:rsidR="004F2349" w:rsidRPr="004F2349" w:rsidRDefault="004F2349" w:rsidP="004F2349">
      <w:pPr>
        <w:jc w:val="both"/>
        <w:rPr>
          <w:rFonts w:ascii="Times New Roman" w:hAnsi="Times New Roman" w:cs="Times New Roman"/>
          <w:b/>
          <w:sz w:val="28"/>
          <w:szCs w:val="28"/>
        </w:rPr>
      </w:pPr>
      <w:r w:rsidRPr="004F2349">
        <w:rPr>
          <w:rFonts w:ascii="Times New Roman" w:hAnsi="Times New Roman" w:cs="Times New Roman"/>
          <w:b/>
          <w:sz w:val="28"/>
          <w:szCs w:val="28"/>
        </w:rPr>
        <w:t xml:space="preserve">Introduction </w:t>
      </w:r>
    </w:p>
    <w:p w:rsidR="004F2349" w:rsidRDefault="004F2349" w:rsidP="004F2349">
      <w:pPr>
        <w:jc w:val="both"/>
        <w:rPr>
          <w:rFonts w:ascii="Times New Roman" w:eastAsia="Times New Roman" w:hAnsi="Times New Roman" w:cs="Times New Roman"/>
          <w:color w:val="222222"/>
          <w:sz w:val="24"/>
          <w:szCs w:val="24"/>
          <w:lang w:eastAsia="id-ID"/>
        </w:rPr>
      </w:pPr>
      <w:r w:rsidRPr="004F2349">
        <w:rPr>
          <w:rFonts w:ascii="Times New Roman" w:hAnsi="Times New Roman" w:cs="Times New Roman"/>
        </w:rPr>
        <w:br/>
      </w:r>
      <w:r w:rsidRPr="004F2349">
        <w:rPr>
          <w:rFonts w:ascii="Times New Roman" w:hAnsi="Times New Roman" w:cs="Times New Roman"/>
          <w:color w:val="222222"/>
          <w:sz w:val="24"/>
          <w:szCs w:val="24"/>
          <w:shd w:val="clear" w:color="auto" w:fill="F8F9FA"/>
        </w:rPr>
        <w:t xml:space="preserve">Industrial forest plantations have caused controversy in many parts of the world. Indonesia is an interesting example, with a history of conflict, but has ambitious plans to expand the area of ​​industrial plantation forests as a source of foreign exchange in the future. According to KLHK data released in April 2019, the permit for industrial plantation forest concessions (HTI) is 11.44 million. This area is outside of </w:t>
      </w:r>
      <w:r>
        <w:rPr>
          <w:rFonts w:ascii="Times New Roman" w:hAnsi="Times New Roman" w:cs="Times New Roman"/>
          <w:color w:val="222222"/>
          <w:sz w:val="24"/>
          <w:szCs w:val="24"/>
          <w:shd w:val="clear" w:color="auto" w:fill="F8F9FA"/>
        </w:rPr>
        <w:t xml:space="preserve">Palm Oil </w:t>
      </w:r>
      <w:r w:rsidRPr="004F2349">
        <w:rPr>
          <w:rFonts w:ascii="Times New Roman" w:hAnsi="Times New Roman" w:cs="Times New Roman"/>
          <w:color w:val="222222"/>
          <w:sz w:val="24"/>
          <w:szCs w:val="24"/>
          <w:shd w:val="clear" w:color="auto" w:fill="F8F9FA"/>
        </w:rPr>
        <w:t xml:space="preserve"> plantations and other plantation crops.</w:t>
      </w:r>
      <w:r w:rsidRPr="004F2349">
        <w:rPr>
          <w:rFonts w:ascii="Times New Roman" w:hAnsi="Times New Roman" w:cs="Times New Roman"/>
        </w:rPr>
        <w:br/>
      </w:r>
      <w:r>
        <w:rPr>
          <w:rFonts w:ascii="Times New Roman" w:hAnsi="Times New Roman" w:cs="Times New Roman"/>
          <w:color w:val="222222"/>
          <w:sz w:val="24"/>
          <w:szCs w:val="24"/>
          <w:shd w:val="clear" w:color="auto" w:fill="F8F9FA"/>
        </w:rPr>
        <w:t xml:space="preserve">Indonesian </w:t>
      </w:r>
      <w:r w:rsidRPr="004F2349">
        <w:rPr>
          <w:rFonts w:ascii="Times New Roman" w:hAnsi="Times New Roman" w:cs="Times New Roman"/>
          <w:color w:val="222222"/>
          <w:sz w:val="24"/>
          <w:szCs w:val="24"/>
          <w:shd w:val="clear" w:color="auto" w:fill="F8F9FA"/>
        </w:rPr>
        <w:t>A</w:t>
      </w:r>
      <w:r>
        <w:rPr>
          <w:rFonts w:ascii="Times New Roman" w:hAnsi="Times New Roman" w:cs="Times New Roman"/>
          <w:color w:val="222222"/>
          <w:sz w:val="24"/>
          <w:szCs w:val="24"/>
          <w:shd w:val="clear" w:color="auto" w:fill="F8F9FA"/>
        </w:rPr>
        <w:t>grarian Reform C</w:t>
      </w:r>
      <w:r w:rsidRPr="004F2349">
        <w:rPr>
          <w:rFonts w:ascii="Times New Roman" w:hAnsi="Times New Roman" w:cs="Times New Roman"/>
          <w:color w:val="222222"/>
          <w:sz w:val="24"/>
          <w:szCs w:val="24"/>
          <w:shd w:val="clear" w:color="auto" w:fill="F8F9FA"/>
        </w:rPr>
        <w:t>ommission</w:t>
      </w:r>
      <w:r>
        <w:rPr>
          <w:rFonts w:ascii="Times New Roman" w:hAnsi="Times New Roman" w:cs="Times New Roman"/>
          <w:color w:val="222222"/>
          <w:sz w:val="24"/>
          <w:szCs w:val="24"/>
          <w:shd w:val="clear" w:color="auto" w:fill="F8F9FA"/>
        </w:rPr>
        <w:t xml:space="preserve"> ( KPA)  reports</w:t>
      </w:r>
      <w:r w:rsidRPr="004F2349">
        <w:rPr>
          <w:rFonts w:ascii="Times New Roman" w:eastAsia="Times New Roman" w:hAnsi="Times New Roman" w:cs="Times New Roman"/>
          <w:color w:val="222222"/>
          <w:sz w:val="24"/>
          <w:szCs w:val="24"/>
          <w:lang w:val="en" w:eastAsia="id-ID"/>
        </w:rPr>
        <w:t xml:space="preserve"> that the intensity of natural resource conflicts that occurred </w:t>
      </w:r>
      <w:r w:rsidRPr="004F2349">
        <w:rPr>
          <w:rFonts w:ascii="Times New Roman" w:eastAsia="Times New Roman" w:hAnsi="Times New Roman" w:cs="Times New Roman"/>
          <w:color w:val="222222"/>
          <w:sz w:val="24"/>
          <w:szCs w:val="24"/>
          <w:lang w:eastAsia="id-ID"/>
        </w:rPr>
        <w:t xml:space="preserve">in Indonesia </w:t>
      </w:r>
      <w:r w:rsidRPr="004F2349">
        <w:rPr>
          <w:rFonts w:ascii="Times New Roman" w:eastAsia="Times New Roman" w:hAnsi="Times New Roman" w:cs="Times New Roman"/>
          <w:color w:val="222222"/>
          <w:sz w:val="24"/>
          <w:szCs w:val="24"/>
          <w:lang w:val="en" w:eastAsia="id-ID"/>
        </w:rPr>
        <w:t>from 2016-2018 showed a tendency for the number of conflicts that fluctuated from 450 conflicts in 2016 to 659 in 2017, reduced to 410 cases in 2018</w:t>
      </w:r>
      <w:r>
        <w:rPr>
          <w:rFonts w:ascii="Times New Roman" w:eastAsia="Times New Roman" w:hAnsi="Times New Roman" w:cs="Times New Roman"/>
          <w:color w:val="222222"/>
          <w:sz w:val="24"/>
          <w:szCs w:val="24"/>
          <w:lang w:eastAsia="id-ID"/>
        </w:rPr>
        <w:t>.</w:t>
      </w:r>
    </w:p>
    <w:p w:rsidR="004F2349" w:rsidRPr="004F2349" w:rsidRDefault="004F2349" w:rsidP="004F2349">
      <w:pPr>
        <w:jc w:val="both"/>
        <w:rPr>
          <w:rFonts w:ascii="Times New Roman" w:eastAsia="Times New Roman" w:hAnsi="Times New Roman" w:cs="Times New Roman"/>
          <w:color w:val="222222"/>
          <w:sz w:val="24"/>
          <w:szCs w:val="24"/>
          <w:lang w:eastAsia="id-ID"/>
        </w:rPr>
      </w:pPr>
      <w:r w:rsidRPr="004F2349">
        <w:rPr>
          <w:rFonts w:ascii="Times New Roman" w:eastAsia="Times New Roman" w:hAnsi="Times New Roman" w:cs="Times New Roman"/>
          <w:color w:val="222222"/>
          <w:sz w:val="24"/>
          <w:szCs w:val="24"/>
          <w:lang w:val="en" w:eastAsia="id-ID"/>
        </w:rPr>
        <w:t>Similar conditions also occur</w:t>
      </w:r>
      <w:r>
        <w:rPr>
          <w:rFonts w:ascii="Times New Roman" w:eastAsia="Times New Roman" w:hAnsi="Times New Roman" w:cs="Times New Roman"/>
          <w:color w:val="222222"/>
          <w:sz w:val="24"/>
          <w:szCs w:val="24"/>
          <w:lang w:eastAsia="id-ID"/>
        </w:rPr>
        <w:t>ed</w:t>
      </w:r>
      <w:r w:rsidRPr="004F2349">
        <w:rPr>
          <w:rFonts w:ascii="Times New Roman" w:eastAsia="Times New Roman" w:hAnsi="Times New Roman" w:cs="Times New Roman"/>
          <w:color w:val="222222"/>
          <w:sz w:val="24"/>
          <w:szCs w:val="24"/>
          <w:lang w:val="en" w:eastAsia="id-ID"/>
        </w:rPr>
        <w:t xml:space="preserve"> in Riau, since 2003 until now the Province still keeps the highest national conflict, in 2018 there were 42 cases of the KPA version and 39 cases of the Scale Up version. </w:t>
      </w:r>
      <w:proofErr w:type="gramStart"/>
      <w:r w:rsidRPr="004F2349">
        <w:rPr>
          <w:rFonts w:ascii="Times New Roman" w:eastAsia="Times New Roman" w:hAnsi="Times New Roman" w:cs="Times New Roman"/>
          <w:color w:val="222222"/>
          <w:sz w:val="24"/>
          <w:szCs w:val="24"/>
          <w:lang w:val="en" w:eastAsia="id-ID"/>
        </w:rPr>
        <w:t>Compared to 9 other provinces.</w:t>
      </w:r>
      <w:proofErr w:type="gramEnd"/>
      <w:r w:rsidRPr="004F2349">
        <w:rPr>
          <w:rFonts w:ascii="Times New Roman" w:eastAsia="Times New Roman" w:hAnsi="Times New Roman" w:cs="Times New Roman"/>
          <w:color w:val="222222"/>
          <w:sz w:val="24"/>
          <w:szCs w:val="24"/>
          <w:lang w:val="en" w:eastAsia="id-ID"/>
        </w:rPr>
        <w:t xml:space="preserve"> East Java 35 cases, South Sumatra 28 cases, West Java 28 cases, Lampung 26 cases, North Sumatra 23 cases, </w:t>
      </w:r>
      <w:proofErr w:type="spellStart"/>
      <w:r w:rsidRPr="004F2349">
        <w:rPr>
          <w:rFonts w:ascii="Times New Roman" w:eastAsia="Times New Roman" w:hAnsi="Times New Roman" w:cs="Times New Roman"/>
          <w:color w:val="222222"/>
          <w:sz w:val="24"/>
          <w:szCs w:val="24"/>
          <w:lang w:val="en" w:eastAsia="id-ID"/>
        </w:rPr>
        <w:t>Banten</w:t>
      </w:r>
      <w:proofErr w:type="spellEnd"/>
      <w:r w:rsidRPr="004F2349">
        <w:rPr>
          <w:rFonts w:ascii="Times New Roman" w:eastAsia="Times New Roman" w:hAnsi="Times New Roman" w:cs="Times New Roman"/>
          <w:color w:val="222222"/>
          <w:sz w:val="24"/>
          <w:szCs w:val="24"/>
          <w:lang w:val="en" w:eastAsia="id-ID"/>
        </w:rPr>
        <w:t xml:space="preserve"> 22 cases, 21 cases, Central Kalimantan 17 cases and DKI Jakarta 17 cases.</w:t>
      </w:r>
    </w:p>
    <w:p w:rsidR="004F2349" w:rsidRPr="004F2349" w:rsidRDefault="004F2349" w:rsidP="004F2349">
      <w:pPr>
        <w:pStyle w:val="HTMLPreformatted"/>
        <w:shd w:val="clear" w:color="auto" w:fill="F8F9FA"/>
        <w:spacing w:line="360" w:lineRule="atLeast"/>
        <w:jc w:val="both"/>
        <w:rPr>
          <w:rFonts w:ascii="inherit" w:eastAsia="Times New Roman" w:hAnsi="inherit" w:cs="Courier New"/>
          <w:color w:val="222222"/>
          <w:sz w:val="24"/>
          <w:szCs w:val="24"/>
          <w:lang w:eastAsia="id-ID"/>
        </w:rPr>
      </w:pPr>
      <w:r w:rsidRPr="004F2349">
        <w:rPr>
          <w:rFonts w:ascii="inherit" w:eastAsia="Times New Roman" w:hAnsi="inherit" w:cs="Courier New"/>
          <w:color w:val="222222"/>
          <w:sz w:val="24"/>
          <w:szCs w:val="24"/>
          <w:lang w:val="en" w:eastAsia="id-ID"/>
        </w:rPr>
        <w:t xml:space="preserve">Since 2015, the central government has sought through state institutions to form a structure for handling conflict. The Ministry of Environment and Forestry (KLHK) established the Directorate of Customary </w:t>
      </w:r>
      <w:proofErr w:type="spellStart"/>
      <w:r w:rsidRPr="004F2349">
        <w:rPr>
          <w:rFonts w:ascii="inherit" w:eastAsia="Times New Roman" w:hAnsi="inherit" w:cs="Courier New"/>
          <w:color w:val="222222"/>
          <w:sz w:val="24"/>
          <w:szCs w:val="24"/>
          <w:lang w:val="en" w:eastAsia="id-ID"/>
        </w:rPr>
        <w:t>Tenurial</w:t>
      </w:r>
      <w:proofErr w:type="spellEnd"/>
      <w:r w:rsidRPr="004F2349">
        <w:rPr>
          <w:rFonts w:ascii="inherit" w:eastAsia="Times New Roman" w:hAnsi="inherit" w:cs="Courier New"/>
          <w:color w:val="222222"/>
          <w:sz w:val="24"/>
          <w:szCs w:val="24"/>
          <w:lang w:val="en" w:eastAsia="id-ID"/>
        </w:rPr>
        <w:t xml:space="preserve"> and Forest Conflict Management (PKTHA) as part of the Directorate General of Social Forestry and Environmental Partnership (PSKL) in 2015. Likewise with the Ministry of Agriculture the Presidential Regulation (</w:t>
      </w:r>
      <w:proofErr w:type="spellStart"/>
      <w:r w:rsidRPr="004F2349">
        <w:rPr>
          <w:rFonts w:ascii="inherit" w:eastAsia="Times New Roman" w:hAnsi="inherit" w:cs="Courier New"/>
          <w:color w:val="222222"/>
          <w:sz w:val="24"/>
          <w:szCs w:val="24"/>
          <w:lang w:val="en" w:eastAsia="id-ID"/>
        </w:rPr>
        <w:t>Perpes</w:t>
      </w:r>
      <w:proofErr w:type="spellEnd"/>
      <w:r w:rsidRPr="004F2349">
        <w:rPr>
          <w:rFonts w:ascii="inherit" w:eastAsia="Times New Roman" w:hAnsi="inherit" w:cs="Courier New"/>
          <w:color w:val="222222"/>
          <w:sz w:val="24"/>
          <w:szCs w:val="24"/>
          <w:lang w:val="en" w:eastAsia="id-ID"/>
        </w:rPr>
        <w:t xml:space="preserve">) NO 45 / 2015 concerning the Ministry of Agriculture is regulated by an echelon 2 equivalent organization, namely the Directorate of Plantation Protection, which specifically handles the problems of plantation business conflicts. Ministry of Agriculture to involve ATR / BPN, KLHK and the Ministry of Energy and Mineral Resources (ESDM), Ministry of Home Affairs, Republic of Indonesia Police and others. </w:t>
      </w:r>
      <w:proofErr w:type="gramStart"/>
      <w:r w:rsidRPr="004F2349">
        <w:rPr>
          <w:rFonts w:ascii="inherit" w:eastAsia="Times New Roman" w:hAnsi="inherit" w:cs="Courier New"/>
          <w:color w:val="222222"/>
          <w:sz w:val="24"/>
          <w:szCs w:val="24"/>
          <w:lang w:val="en" w:eastAsia="id-ID"/>
        </w:rPr>
        <w:t>Likewise in the ATR / BPN based on Presidential Regulation No. 20 of 2015 and Presidential Regulation No. 17 of 2015 concerning the Ministry of Agrarian Affairs and Spatial Planning authorizing the National Land Agency (BPN) to initiate a forum to prevent outside court disputes for land under the Director General VII.</w:t>
      </w:r>
      <w:proofErr w:type="gramEnd"/>
    </w:p>
    <w:p w:rsidR="004F2349" w:rsidRPr="004F2349" w:rsidRDefault="004F2349" w:rsidP="004F23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color w:val="222222"/>
          <w:sz w:val="24"/>
          <w:szCs w:val="24"/>
          <w:lang w:eastAsia="id-ID"/>
        </w:rPr>
      </w:pPr>
    </w:p>
    <w:p w:rsidR="004F2349" w:rsidRDefault="004F2349" w:rsidP="004F2349">
      <w:pPr>
        <w:jc w:val="both"/>
        <w:rPr>
          <w:rFonts w:ascii="Times New Roman" w:hAnsi="Times New Roman" w:cs="Times New Roman"/>
          <w:color w:val="222222"/>
          <w:sz w:val="24"/>
          <w:szCs w:val="24"/>
          <w:shd w:val="clear" w:color="auto" w:fill="F8F9FA"/>
        </w:rPr>
      </w:pPr>
      <w:r w:rsidRPr="004F2349">
        <w:rPr>
          <w:rFonts w:ascii="Times New Roman" w:hAnsi="Times New Roman" w:cs="Times New Roman"/>
          <w:color w:val="222222"/>
          <w:sz w:val="24"/>
          <w:szCs w:val="24"/>
          <w:shd w:val="clear" w:color="auto" w:fill="F8F9FA"/>
        </w:rPr>
        <w:t xml:space="preserve">Unfortunately, the efforts of the central government have not produced results proven to have not succeeded in systematically reducing or even eliminating conflict. One important factor is </w:t>
      </w:r>
      <w:r w:rsidRPr="004F2349">
        <w:rPr>
          <w:rFonts w:ascii="Times New Roman" w:hAnsi="Times New Roman" w:cs="Times New Roman"/>
          <w:color w:val="222222"/>
          <w:sz w:val="24"/>
          <w:szCs w:val="24"/>
          <w:shd w:val="clear" w:color="auto" w:fill="F8F9FA"/>
        </w:rPr>
        <w:lastRenderedPageBreak/>
        <w:t>the coordination of regional and central government that has not been in the same direction. Local governments still think that the burden of conflict should be a burden on the central government</w:t>
      </w:r>
      <w:r>
        <w:rPr>
          <w:rFonts w:ascii="Times New Roman" w:hAnsi="Times New Roman" w:cs="Times New Roman"/>
          <w:color w:val="222222"/>
          <w:sz w:val="24"/>
          <w:szCs w:val="24"/>
          <w:shd w:val="clear" w:color="auto" w:fill="F8F9FA"/>
        </w:rPr>
        <w:t>.</w:t>
      </w:r>
    </w:p>
    <w:p w:rsidR="004F2349" w:rsidRDefault="004F2349" w:rsidP="004F23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4"/>
          <w:szCs w:val="24"/>
          <w:lang w:eastAsia="id-ID"/>
        </w:rPr>
      </w:pPr>
      <w:r w:rsidRPr="004F2349">
        <w:rPr>
          <w:rFonts w:ascii="inherit" w:eastAsia="Times New Roman" w:hAnsi="inherit" w:cs="Courier New"/>
          <w:color w:val="222222"/>
          <w:sz w:val="24"/>
          <w:szCs w:val="24"/>
          <w:lang w:val="en" w:eastAsia="id-ID"/>
        </w:rPr>
        <w:t>Scale Up as a conflict resolution institution through A</w:t>
      </w:r>
      <w:r>
        <w:rPr>
          <w:rFonts w:ascii="inherit" w:eastAsia="Times New Roman" w:hAnsi="inherit" w:cs="Courier New"/>
          <w:color w:val="222222"/>
          <w:sz w:val="24"/>
          <w:szCs w:val="24"/>
          <w:lang w:eastAsia="id-ID"/>
        </w:rPr>
        <w:t xml:space="preserve">lternative Dispute Resolution </w:t>
      </w:r>
      <w:proofErr w:type="gramStart"/>
      <w:r>
        <w:rPr>
          <w:rFonts w:ascii="inherit" w:eastAsia="Times New Roman" w:hAnsi="inherit" w:cs="Courier New"/>
          <w:color w:val="222222"/>
          <w:sz w:val="24"/>
          <w:szCs w:val="24"/>
          <w:lang w:eastAsia="id-ID"/>
        </w:rPr>
        <w:t>( A</w:t>
      </w:r>
      <w:r w:rsidRPr="004F2349">
        <w:rPr>
          <w:rFonts w:ascii="inherit" w:eastAsia="Times New Roman" w:hAnsi="inherit" w:cs="Courier New"/>
          <w:color w:val="222222"/>
          <w:sz w:val="24"/>
          <w:szCs w:val="24"/>
          <w:lang w:val="en" w:eastAsia="id-ID"/>
        </w:rPr>
        <w:t>DR</w:t>
      </w:r>
      <w:proofErr w:type="gramEnd"/>
      <w:r>
        <w:rPr>
          <w:rFonts w:ascii="inherit" w:eastAsia="Times New Roman" w:hAnsi="inherit" w:cs="Courier New"/>
          <w:color w:val="222222"/>
          <w:sz w:val="24"/>
          <w:szCs w:val="24"/>
          <w:lang w:eastAsia="id-ID"/>
        </w:rPr>
        <w:t xml:space="preserve"> )</w:t>
      </w:r>
      <w:r w:rsidRPr="004F2349">
        <w:rPr>
          <w:rFonts w:ascii="inherit" w:eastAsia="Times New Roman" w:hAnsi="inherit" w:cs="Courier New"/>
          <w:color w:val="222222"/>
          <w:sz w:val="24"/>
          <w:szCs w:val="24"/>
          <w:lang w:val="en" w:eastAsia="id-ID"/>
        </w:rPr>
        <w:t xml:space="preserve"> since its establishment has solved 17 cases of natural resource conflicts between communities and the government and companies. The ability to resolve natural resource conflicts is caused more by market factors that encourage conflict-free products. One obstacle to Scale Up in conflict resolution efforts is the limited human funding sources that have mediation capabilities and have not been certified. To solve this problem Scale Up always strives to improve human resources for internal Scale Up staff and assisted communities to have certified mediation skills. So the conclusion of accelerating conflict resolution is market support and the availability of credible human resources that are recognized by various parties.</w:t>
      </w:r>
    </w:p>
    <w:p w:rsidR="004F2349" w:rsidRDefault="004F2349" w:rsidP="004F23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4"/>
          <w:szCs w:val="24"/>
          <w:lang w:eastAsia="id-ID"/>
        </w:rPr>
      </w:pPr>
    </w:p>
    <w:p w:rsidR="004F2349" w:rsidRPr="004F2349" w:rsidRDefault="004F2349" w:rsidP="004F23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color w:val="222222"/>
          <w:sz w:val="24"/>
          <w:szCs w:val="24"/>
          <w:lang w:eastAsia="id-ID"/>
        </w:rPr>
      </w:pPr>
      <w:r w:rsidRPr="004F2349">
        <w:rPr>
          <w:rFonts w:ascii="inherit" w:eastAsia="Times New Roman" w:hAnsi="inherit" w:cs="Courier New"/>
          <w:b/>
          <w:color w:val="222222"/>
          <w:sz w:val="28"/>
          <w:szCs w:val="28"/>
          <w:lang w:eastAsia="id-ID"/>
        </w:rPr>
        <w:t xml:space="preserve">Objective </w:t>
      </w:r>
      <w:r w:rsidRPr="004F2349">
        <w:rPr>
          <w:sz w:val="28"/>
          <w:szCs w:val="28"/>
        </w:rPr>
        <w:br/>
      </w:r>
      <w:r w:rsidRPr="004F2349">
        <w:rPr>
          <w:rFonts w:ascii="Times New Roman" w:hAnsi="Times New Roman" w:cs="Times New Roman"/>
          <w:color w:val="222222"/>
          <w:sz w:val="24"/>
          <w:szCs w:val="24"/>
          <w:shd w:val="clear" w:color="auto" w:fill="F8F9FA"/>
        </w:rPr>
        <w:t>The main objectives of this program are: Increase the number and capacity of certified facilitators and Certified  mediators in an effort to resolve natural resource conflicts.</w:t>
      </w:r>
    </w:p>
    <w:p w:rsidR="004F2349" w:rsidRDefault="004F2349" w:rsidP="004F2349">
      <w:pPr>
        <w:jc w:val="both"/>
        <w:rPr>
          <w:rFonts w:ascii="Times New Roman" w:hAnsi="Times New Roman" w:cs="Times New Roman"/>
          <w:sz w:val="24"/>
          <w:szCs w:val="24"/>
        </w:rPr>
      </w:pPr>
    </w:p>
    <w:p w:rsidR="004F2349" w:rsidRDefault="004F2349" w:rsidP="004F2349">
      <w:pPr>
        <w:jc w:val="both"/>
        <w:rPr>
          <w:rFonts w:ascii="Times New Roman" w:hAnsi="Times New Roman" w:cs="Times New Roman"/>
          <w:b/>
          <w:sz w:val="28"/>
          <w:szCs w:val="28"/>
        </w:rPr>
      </w:pPr>
      <w:r w:rsidRPr="004F2349">
        <w:rPr>
          <w:rFonts w:ascii="Times New Roman" w:hAnsi="Times New Roman" w:cs="Times New Roman"/>
          <w:b/>
          <w:sz w:val="28"/>
          <w:szCs w:val="28"/>
        </w:rPr>
        <w:t>Methodology</w:t>
      </w:r>
    </w:p>
    <w:p w:rsidR="004F2349" w:rsidRPr="004F2349" w:rsidRDefault="004F2349" w:rsidP="004F2349">
      <w:pPr>
        <w:jc w:val="both"/>
        <w:rPr>
          <w:rFonts w:ascii="Times New Roman" w:hAnsi="Times New Roman" w:cs="Times New Roman"/>
          <w:color w:val="222222"/>
          <w:sz w:val="24"/>
          <w:szCs w:val="24"/>
          <w:shd w:val="clear" w:color="auto" w:fill="F8F9FA"/>
        </w:rPr>
      </w:pPr>
      <w:r w:rsidRPr="004F2349">
        <w:rPr>
          <w:rFonts w:ascii="Times New Roman" w:hAnsi="Times New Roman" w:cs="Times New Roman"/>
          <w:color w:val="222222"/>
          <w:sz w:val="24"/>
          <w:szCs w:val="24"/>
          <w:shd w:val="clear" w:color="auto" w:fill="F8F9FA"/>
        </w:rPr>
        <w:t xml:space="preserve">1. This training is designed according to the principles of adult learning. This is to encourage active participation and learning and includes group work, case studies, scenarios, role play, etc. </w:t>
      </w:r>
    </w:p>
    <w:p w:rsidR="004F2349" w:rsidRPr="004F2349" w:rsidRDefault="004F2349" w:rsidP="004F2349">
      <w:pPr>
        <w:jc w:val="both"/>
        <w:rPr>
          <w:rFonts w:ascii="Times New Roman" w:hAnsi="Times New Roman" w:cs="Times New Roman"/>
          <w:sz w:val="24"/>
          <w:szCs w:val="24"/>
        </w:rPr>
      </w:pPr>
      <w:r w:rsidRPr="004F2349">
        <w:rPr>
          <w:rFonts w:ascii="Times New Roman" w:hAnsi="Times New Roman" w:cs="Times New Roman"/>
          <w:color w:val="222222"/>
          <w:sz w:val="24"/>
          <w:szCs w:val="24"/>
          <w:shd w:val="clear" w:color="auto" w:fill="F8F9FA"/>
        </w:rPr>
        <w:t>2. Competency Certification Exam for mediators candidate.</w:t>
      </w:r>
    </w:p>
    <w:p w:rsidR="004F2349" w:rsidRDefault="004F2349" w:rsidP="004F2349">
      <w:pPr>
        <w:rPr>
          <w:sz w:val="32"/>
          <w:szCs w:val="32"/>
        </w:rPr>
      </w:pPr>
    </w:p>
    <w:p w:rsidR="004F2349" w:rsidRDefault="004F2349" w:rsidP="004F2349">
      <w:pPr>
        <w:rPr>
          <w:rFonts w:ascii="Times New Roman" w:hAnsi="Times New Roman" w:cs="Times New Roman"/>
          <w:b/>
          <w:sz w:val="28"/>
          <w:szCs w:val="28"/>
        </w:rPr>
      </w:pPr>
      <w:r w:rsidRPr="004F2349">
        <w:rPr>
          <w:rFonts w:ascii="Times New Roman" w:hAnsi="Times New Roman" w:cs="Times New Roman"/>
          <w:b/>
          <w:sz w:val="28"/>
          <w:szCs w:val="28"/>
        </w:rPr>
        <w:t>Activities</w:t>
      </w:r>
    </w:p>
    <w:p w:rsidR="004F2349" w:rsidRPr="004F2349" w:rsidRDefault="004F2349" w:rsidP="004F2349">
      <w:pPr>
        <w:rPr>
          <w:rFonts w:ascii="Times New Roman" w:hAnsi="Times New Roman" w:cs="Times New Roman"/>
          <w:color w:val="222222"/>
          <w:sz w:val="24"/>
          <w:szCs w:val="24"/>
          <w:shd w:val="clear" w:color="auto" w:fill="F8F9FA"/>
        </w:rPr>
      </w:pPr>
      <w:r>
        <w:br/>
      </w:r>
      <w:r w:rsidRPr="004F2349">
        <w:rPr>
          <w:rFonts w:ascii="Times New Roman" w:hAnsi="Times New Roman" w:cs="Times New Roman"/>
          <w:color w:val="222222"/>
          <w:sz w:val="24"/>
          <w:szCs w:val="24"/>
          <w:shd w:val="clear" w:color="auto" w:fill="F8F9FA"/>
        </w:rPr>
        <w:t>1. Training Module on conflict resolution updating.</w:t>
      </w:r>
    </w:p>
    <w:p w:rsidR="004F2349" w:rsidRPr="004F2349" w:rsidRDefault="004F2349" w:rsidP="004F2349">
      <w:pPr>
        <w:rPr>
          <w:rFonts w:ascii="Times New Roman" w:hAnsi="Times New Roman" w:cs="Times New Roman"/>
          <w:color w:val="222222"/>
          <w:sz w:val="24"/>
          <w:szCs w:val="24"/>
          <w:shd w:val="clear" w:color="auto" w:fill="F8F9FA"/>
        </w:rPr>
      </w:pPr>
      <w:r w:rsidRPr="004F2349">
        <w:rPr>
          <w:rFonts w:ascii="Times New Roman" w:hAnsi="Times New Roman" w:cs="Times New Roman"/>
          <w:color w:val="222222"/>
          <w:sz w:val="24"/>
          <w:szCs w:val="24"/>
          <w:shd w:val="clear" w:color="auto" w:fill="F8F9FA"/>
        </w:rPr>
        <w:t xml:space="preserve">2. Training on mediation and negotiation on handling natural resource conflicts. </w:t>
      </w:r>
    </w:p>
    <w:p w:rsidR="004F2349" w:rsidRPr="004F2349" w:rsidRDefault="004F2349" w:rsidP="004F2349">
      <w:pPr>
        <w:rPr>
          <w:rFonts w:ascii="Times New Roman" w:hAnsi="Times New Roman" w:cs="Times New Roman"/>
          <w:color w:val="222222"/>
          <w:sz w:val="24"/>
          <w:szCs w:val="24"/>
          <w:shd w:val="clear" w:color="auto" w:fill="F8F9FA"/>
        </w:rPr>
      </w:pPr>
      <w:r w:rsidRPr="004F2349">
        <w:rPr>
          <w:rFonts w:ascii="Times New Roman" w:hAnsi="Times New Roman" w:cs="Times New Roman"/>
          <w:color w:val="222222"/>
          <w:sz w:val="24"/>
          <w:szCs w:val="24"/>
          <w:shd w:val="clear" w:color="auto" w:fill="F8F9FA"/>
        </w:rPr>
        <w:t xml:space="preserve">3. Mediator certification exam </w:t>
      </w:r>
    </w:p>
    <w:p w:rsidR="004F2349" w:rsidRPr="004F2349" w:rsidRDefault="004F2349" w:rsidP="004F2349">
      <w:pPr>
        <w:rPr>
          <w:rFonts w:ascii="Times New Roman" w:hAnsi="Times New Roman" w:cs="Times New Roman"/>
          <w:color w:val="222222"/>
          <w:sz w:val="24"/>
          <w:szCs w:val="24"/>
          <w:shd w:val="clear" w:color="auto" w:fill="F8F9FA"/>
        </w:rPr>
      </w:pPr>
      <w:r w:rsidRPr="004F2349">
        <w:rPr>
          <w:rFonts w:ascii="Times New Roman" w:hAnsi="Times New Roman" w:cs="Times New Roman"/>
          <w:color w:val="222222"/>
          <w:sz w:val="24"/>
          <w:szCs w:val="24"/>
          <w:shd w:val="clear" w:color="auto" w:fill="F8F9FA"/>
        </w:rPr>
        <w:t xml:space="preserve">4. Establishment of institutional local mediators </w:t>
      </w:r>
    </w:p>
    <w:p w:rsidR="004F2349" w:rsidRDefault="004F2349" w:rsidP="004F2349">
      <w:pPr>
        <w:rPr>
          <w:rFonts w:ascii="Times New Roman" w:hAnsi="Times New Roman" w:cs="Times New Roman"/>
          <w:color w:val="222222"/>
          <w:sz w:val="24"/>
          <w:szCs w:val="24"/>
          <w:shd w:val="clear" w:color="auto" w:fill="F8F9FA"/>
        </w:rPr>
      </w:pPr>
      <w:r w:rsidRPr="004F2349">
        <w:rPr>
          <w:rFonts w:ascii="Times New Roman" w:hAnsi="Times New Roman" w:cs="Times New Roman"/>
          <w:color w:val="222222"/>
          <w:sz w:val="24"/>
          <w:szCs w:val="24"/>
          <w:shd w:val="clear" w:color="auto" w:fill="F8F9FA"/>
        </w:rPr>
        <w:t>5. Monitoring and evaluation (M &amp; E)</w:t>
      </w:r>
    </w:p>
    <w:p w:rsidR="004F2349" w:rsidRDefault="004F2349" w:rsidP="004F2349">
      <w:pPr>
        <w:rPr>
          <w:rFonts w:ascii="Times New Roman" w:hAnsi="Times New Roman" w:cs="Times New Roman"/>
          <w:color w:val="222222"/>
          <w:sz w:val="24"/>
          <w:szCs w:val="24"/>
          <w:shd w:val="clear" w:color="auto" w:fill="F8F9FA"/>
        </w:rPr>
      </w:pPr>
    </w:p>
    <w:p w:rsidR="004F2349" w:rsidRDefault="004F2349" w:rsidP="004F2349">
      <w:pPr>
        <w:rPr>
          <w:rFonts w:ascii="Times New Roman" w:hAnsi="Times New Roman" w:cs="Times New Roman"/>
          <w:color w:val="222222"/>
          <w:sz w:val="24"/>
          <w:szCs w:val="24"/>
          <w:shd w:val="clear" w:color="auto" w:fill="F8F9FA"/>
        </w:rPr>
      </w:pPr>
    </w:p>
    <w:p w:rsidR="004F2349" w:rsidRDefault="004F2349" w:rsidP="004F2349">
      <w:pPr>
        <w:rPr>
          <w:rFonts w:ascii="Times New Roman" w:hAnsi="Times New Roman" w:cs="Times New Roman"/>
          <w:b/>
          <w:color w:val="222222"/>
          <w:sz w:val="28"/>
          <w:szCs w:val="28"/>
          <w:shd w:val="clear" w:color="auto" w:fill="F8F9FA"/>
        </w:rPr>
      </w:pPr>
      <w:r w:rsidRPr="004F2349">
        <w:rPr>
          <w:rFonts w:ascii="Times New Roman" w:hAnsi="Times New Roman" w:cs="Times New Roman"/>
          <w:b/>
          <w:color w:val="222222"/>
          <w:sz w:val="28"/>
          <w:szCs w:val="28"/>
          <w:shd w:val="clear" w:color="auto" w:fill="F8F9FA"/>
        </w:rPr>
        <w:lastRenderedPageBreak/>
        <w:t>Output</w:t>
      </w:r>
    </w:p>
    <w:p w:rsidR="004F2349" w:rsidRPr="004F2349" w:rsidRDefault="004F2349" w:rsidP="004F2349">
      <w:pPr>
        <w:rPr>
          <w:rFonts w:ascii="Times New Roman" w:hAnsi="Times New Roman" w:cs="Times New Roman"/>
          <w:color w:val="222222"/>
          <w:sz w:val="24"/>
          <w:szCs w:val="24"/>
          <w:shd w:val="clear" w:color="auto" w:fill="F8F9FA"/>
        </w:rPr>
      </w:pPr>
      <w:r>
        <w:br/>
      </w:r>
      <w:r w:rsidRPr="004F2349">
        <w:rPr>
          <w:rFonts w:ascii="Times New Roman" w:hAnsi="Times New Roman" w:cs="Times New Roman"/>
          <w:color w:val="222222"/>
          <w:sz w:val="24"/>
          <w:szCs w:val="24"/>
          <w:shd w:val="clear" w:color="auto" w:fill="F8F9FA"/>
        </w:rPr>
        <w:t>- Participants are expected to be able to understand the material about the flow of negotiation and mediation in dealing with natural resource conflicts.</w:t>
      </w:r>
    </w:p>
    <w:p w:rsidR="004F2349" w:rsidRPr="004F2349" w:rsidRDefault="004F2349" w:rsidP="004F2349">
      <w:pPr>
        <w:rPr>
          <w:rFonts w:ascii="Times New Roman" w:hAnsi="Times New Roman" w:cs="Times New Roman"/>
          <w:color w:val="222222"/>
          <w:sz w:val="24"/>
          <w:szCs w:val="24"/>
          <w:shd w:val="clear" w:color="auto" w:fill="F8F9FA"/>
        </w:rPr>
      </w:pPr>
      <w:r w:rsidRPr="004F2349">
        <w:rPr>
          <w:rFonts w:ascii="Times New Roman" w:hAnsi="Times New Roman" w:cs="Times New Roman"/>
          <w:color w:val="222222"/>
          <w:sz w:val="24"/>
          <w:szCs w:val="24"/>
          <w:shd w:val="clear" w:color="auto" w:fill="F8F9FA"/>
        </w:rPr>
        <w:t xml:space="preserve"> - Mediators are able to mediate on natural resource conflicts that occur in their territory.</w:t>
      </w:r>
    </w:p>
    <w:p w:rsidR="004F2349" w:rsidRPr="004F2349" w:rsidRDefault="004F2349" w:rsidP="004F2349">
      <w:pPr>
        <w:rPr>
          <w:rFonts w:ascii="Times New Roman" w:hAnsi="Times New Roman" w:cs="Times New Roman"/>
          <w:color w:val="222222"/>
          <w:sz w:val="24"/>
          <w:szCs w:val="24"/>
          <w:shd w:val="clear" w:color="auto" w:fill="F8F9FA"/>
        </w:rPr>
      </w:pPr>
      <w:r w:rsidRPr="004F2349">
        <w:rPr>
          <w:rFonts w:ascii="Times New Roman" w:hAnsi="Times New Roman" w:cs="Times New Roman"/>
          <w:color w:val="222222"/>
          <w:sz w:val="24"/>
          <w:szCs w:val="24"/>
          <w:shd w:val="clear" w:color="auto" w:fill="F8F9FA"/>
        </w:rPr>
        <w:t xml:space="preserve"> - Publication of up dating modules on conflict resolution. </w:t>
      </w:r>
    </w:p>
    <w:p w:rsidR="004F2349" w:rsidRPr="004F2349" w:rsidRDefault="004F2349" w:rsidP="004F2349">
      <w:pPr>
        <w:rPr>
          <w:rFonts w:ascii="Times New Roman" w:hAnsi="Times New Roman" w:cs="Times New Roman"/>
          <w:color w:val="222222"/>
          <w:sz w:val="24"/>
          <w:szCs w:val="24"/>
          <w:shd w:val="clear" w:color="auto" w:fill="F8F9FA"/>
        </w:rPr>
      </w:pPr>
      <w:r w:rsidRPr="004F2349">
        <w:rPr>
          <w:rFonts w:ascii="Times New Roman" w:hAnsi="Times New Roman" w:cs="Times New Roman"/>
          <w:color w:val="222222"/>
          <w:sz w:val="24"/>
          <w:szCs w:val="24"/>
          <w:shd w:val="clear" w:color="auto" w:fill="F8F9FA"/>
        </w:rPr>
        <w:t xml:space="preserve">- Establishment of an independent mediator institution in Riau </w:t>
      </w:r>
    </w:p>
    <w:p w:rsidR="004F2349" w:rsidRDefault="004F2349" w:rsidP="004F2349">
      <w:pPr>
        <w:rPr>
          <w:rFonts w:ascii="Times New Roman" w:hAnsi="Times New Roman" w:cs="Times New Roman"/>
          <w:color w:val="222222"/>
          <w:sz w:val="24"/>
          <w:szCs w:val="24"/>
          <w:shd w:val="clear" w:color="auto" w:fill="F8F9FA"/>
        </w:rPr>
      </w:pPr>
      <w:r w:rsidRPr="004F2349">
        <w:rPr>
          <w:rFonts w:ascii="Times New Roman" w:hAnsi="Times New Roman" w:cs="Times New Roman"/>
          <w:color w:val="222222"/>
          <w:sz w:val="24"/>
          <w:szCs w:val="24"/>
          <w:shd w:val="clear" w:color="auto" w:fill="F8F9FA"/>
        </w:rPr>
        <w:t>- The program runs according to planning.</w:t>
      </w:r>
    </w:p>
    <w:p w:rsidR="004F2349" w:rsidRDefault="004F2349" w:rsidP="004F2349">
      <w:pPr>
        <w:rPr>
          <w:rFonts w:ascii="Times New Roman" w:hAnsi="Times New Roman" w:cs="Times New Roman"/>
          <w:color w:val="222222"/>
          <w:sz w:val="24"/>
          <w:szCs w:val="24"/>
          <w:shd w:val="clear" w:color="auto" w:fill="F8F9FA"/>
        </w:rPr>
      </w:pPr>
    </w:p>
    <w:p w:rsidR="004F2349" w:rsidRDefault="004F2349" w:rsidP="004F2349">
      <w:pPr>
        <w:rPr>
          <w:rFonts w:ascii="Times New Roman" w:hAnsi="Times New Roman" w:cs="Times New Roman"/>
          <w:b/>
          <w:color w:val="222222"/>
          <w:sz w:val="28"/>
          <w:szCs w:val="28"/>
          <w:shd w:val="clear" w:color="auto" w:fill="F8F9FA"/>
        </w:rPr>
      </w:pPr>
      <w:r w:rsidRPr="004F2349">
        <w:rPr>
          <w:rFonts w:ascii="Times New Roman" w:hAnsi="Times New Roman" w:cs="Times New Roman"/>
          <w:b/>
          <w:color w:val="222222"/>
          <w:sz w:val="28"/>
          <w:szCs w:val="28"/>
          <w:shd w:val="clear" w:color="auto" w:fill="F8F9FA"/>
        </w:rPr>
        <w:t>Indicators</w:t>
      </w:r>
    </w:p>
    <w:p w:rsidR="004F2349" w:rsidRPr="004F2349" w:rsidRDefault="004F2349" w:rsidP="004F2349">
      <w:pPr>
        <w:rPr>
          <w:rFonts w:ascii="Times New Roman" w:hAnsi="Times New Roman" w:cs="Times New Roman"/>
          <w:color w:val="222222"/>
          <w:sz w:val="24"/>
          <w:szCs w:val="24"/>
          <w:shd w:val="clear" w:color="auto" w:fill="F8F9FA"/>
        </w:rPr>
      </w:pPr>
      <w:r>
        <w:br/>
      </w:r>
      <w:r w:rsidRPr="004F2349">
        <w:rPr>
          <w:rFonts w:ascii="Times New Roman" w:hAnsi="Times New Roman" w:cs="Times New Roman"/>
          <w:color w:val="222222"/>
          <w:sz w:val="24"/>
          <w:szCs w:val="24"/>
          <w:shd w:val="clear" w:color="auto" w:fill="F8F9FA"/>
        </w:rPr>
        <w:t xml:space="preserve">1. There is an increase in knowledge for 30 trainees. </w:t>
      </w:r>
    </w:p>
    <w:p w:rsidR="004F2349" w:rsidRPr="004F2349" w:rsidRDefault="004F2349" w:rsidP="004F2349">
      <w:pPr>
        <w:rPr>
          <w:rFonts w:ascii="Times New Roman" w:hAnsi="Times New Roman" w:cs="Times New Roman"/>
          <w:color w:val="222222"/>
          <w:sz w:val="24"/>
          <w:szCs w:val="24"/>
          <w:shd w:val="clear" w:color="auto" w:fill="F8F9FA"/>
        </w:rPr>
      </w:pPr>
      <w:r w:rsidRPr="004F2349">
        <w:rPr>
          <w:rFonts w:ascii="Times New Roman" w:hAnsi="Times New Roman" w:cs="Times New Roman"/>
          <w:color w:val="222222"/>
          <w:sz w:val="24"/>
          <w:szCs w:val="24"/>
          <w:shd w:val="clear" w:color="auto" w:fill="F8F9FA"/>
        </w:rPr>
        <w:t>2. Decreasing number of natural resource conflicts in Riau.</w:t>
      </w:r>
    </w:p>
    <w:p w:rsidR="004F2349" w:rsidRPr="004F2349" w:rsidRDefault="004F2349" w:rsidP="004F2349">
      <w:pPr>
        <w:rPr>
          <w:rFonts w:ascii="Times New Roman" w:hAnsi="Times New Roman" w:cs="Times New Roman"/>
          <w:color w:val="222222"/>
          <w:sz w:val="24"/>
          <w:szCs w:val="24"/>
          <w:shd w:val="clear" w:color="auto" w:fill="F8F9FA"/>
        </w:rPr>
      </w:pPr>
      <w:r w:rsidRPr="004F2349">
        <w:rPr>
          <w:rFonts w:ascii="Times New Roman" w:hAnsi="Times New Roman" w:cs="Times New Roman"/>
          <w:color w:val="222222"/>
          <w:sz w:val="24"/>
          <w:szCs w:val="24"/>
          <w:shd w:val="clear" w:color="auto" w:fill="F8F9FA"/>
        </w:rPr>
        <w:t xml:space="preserve"> 3. Increased number of certified mediators. </w:t>
      </w:r>
    </w:p>
    <w:p w:rsidR="004F2349" w:rsidRPr="004F2349" w:rsidRDefault="004F2349" w:rsidP="004F2349">
      <w:pPr>
        <w:rPr>
          <w:rFonts w:ascii="Times New Roman" w:hAnsi="Times New Roman" w:cs="Times New Roman"/>
          <w:color w:val="222222"/>
          <w:sz w:val="24"/>
          <w:szCs w:val="24"/>
          <w:shd w:val="clear" w:color="auto" w:fill="F8F9FA"/>
        </w:rPr>
      </w:pPr>
      <w:r w:rsidRPr="004F2349">
        <w:rPr>
          <w:rFonts w:ascii="Times New Roman" w:hAnsi="Times New Roman" w:cs="Times New Roman"/>
          <w:color w:val="222222"/>
          <w:sz w:val="24"/>
          <w:szCs w:val="24"/>
          <w:shd w:val="clear" w:color="auto" w:fill="F8F9FA"/>
        </w:rPr>
        <w:t xml:space="preserve">4. Establishment of 1 (one) independent mediator institution in Riau. </w:t>
      </w:r>
    </w:p>
    <w:p w:rsidR="004F2349" w:rsidRPr="004F2349" w:rsidRDefault="004F2349" w:rsidP="004F2349">
      <w:pPr>
        <w:rPr>
          <w:rFonts w:ascii="Times New Roman" w:hAnsi="Times New Roman" w:cs="Times New Roman"/>
          <w:color w:val="222222"/>
          <w:sz w:val="24"/>
          <w:szCs w:val="24"/>
          <w:shd w:val="clear" w:color="auto" w:fill="F8F9FA"/>
        </w:rPr>
      </w:pPr>
      <w:r w:rsidRPr="004F2349">
        <w:rPr>
          <w:rFonts w:ascii="Times New Roman" w:hAnsi="Times New Roman" w:cs="Times New Roman"/>
          <w:color w:val="222222"/>
          <w:sz w:val="24"/>
          <w:szCs w:val="24"/>
          <w:shd w:val="clear" w:color="auto" w:fill="F8F9FA"/>
        </w:rPr>
        <w:t>5. Achievement of the objectives of the program</w:t>
      </w:r>
    </w:p>
    <w:p w:rsidR="004F2349" w:rsidRDefault="004F2349" w:rsidP="004F2349">
      <w:pPr>
        <w:rPr>
          <w:rFonts w:ascii="Arial" w:hAnsi="Arial" w:cs="Arial"/>
          <w:color w:val="222222"/>
          <w:shd w:val="clear" w:color="auto" w:fill="F8F9FA"/>
        </w:rPr>
      </w:pPr>
    </w:p>
    <w:p w:rsidR="004F2349" w:rsidRDefault="004F2349" w:rsidP="004F2349">
      <w:pPr>
        <w:rPr>
          <w:rFonts w:ascii="Times New Roman" w:hAnsi="Times New Roman" w:cs="Times New Roman"/>
          <w:b/>
          <w:color w:val="222222"/>
          <w:sz w:val="28"/>
          <w:szCs w:val="28"/>
          <w:shd w:val="clear" w:color="auto" w:fill="F8F9FA"/>
        </w:rPr>
      </w:pPr>
      <w:r w:rsidRPr="004F2349">
        <w:rPr>
          <w:rFonts w:ascii="Times New Roman" w:hAnsi="Times New Roman" w:cs="Times New Roman"/>
          <w:b/>
          <w:color w:val="222222"/>
          <w:sz w:val="28"/>
          <w:szCs w:val="28"/>
          <w:shd w:val="clear" w:color="auto" w:fill="F8F9FA"/>
        </w:rPr>
        <w:t>Training</w:t>
      </w:r>
    </w:p>
    <w:p w:rsidR="004F2349" w:rsidRDefault="004F2349" w:rsidP="004F2349">
      <w:pPr>
        <w:rPr>
          <w:rFonts w:ascii="Arial" w:hAnsi="Arial" w:cs="Arial"/>
          <w:color w:val="222222"/>
          <w:shd w:val="clear" w:color="auto" w:fill="F8F9FA"/>
        </w:rPr>
      </w:pPr>
      <w:r>
        <w:br/>
      </w:r>
      <w:r>
        <w:rPr>
          <w:rFonts w:ascii="Arial" w:hAnsi="Arial" w:cs="Arial"/>
          <w:color w:val="222222"/>
          <w:shd w:val="clear" w:color="auto" w:fill="F8F9FA"/>
        </w:rPr>
        <w:t xml:space="preserve">The scope of training material are : </w:t>
      </w:r>
    </w:p>
    <w:p w:rsidR="004F2349" w:rsidRDefault="004F2349" w:rsidP="004F2349">
      <w:pPr>
        <w:rPr>
          <w:rFonts w:ascii="Arial" w:hAnsi="Arial" w:cs="Arial"/>
          <w:color w:val="222222"/>
          <w:shd w:val="clear" w:color="auto" w:fill="F8F9FA"/>
        </w:rPr>
      </w:pPr>
      <w:r>
        <w:rPr>
          <w:rFonts w:ascii="Arial" w:hAnsi="Arial" w:cs="Arial"/>
          <w:color w:val="222222"/>
          <w:shd w:val="clear" w:color="auto" w:fill="F8F9FA"/>
        </w:rPr>
        <w:t xml:space="preserve">1. Introduction to Natural Resource Conflict </w:t>
      </w:r>
    </w:p>
    <w:p w:rsidR="004F2349" w:rsidRDefault="004F2349" w:rsidP="004F2349">
      <w:pPr>
        <w:rPr>
          <w:rFonts w:ascii="Arial" w:hAnsi="Arial" w:cs="Arial"/>
          <w:color w:val="222222"/>
          <w:shd w:val="clear" w:color="auto" w:fill="F8F9FA"/>
        </w:rPr>
      </w:pPr>
      <w:r>
        <w:rPr>
          <w:rFonts w:ascii="Arial" w:hAnsi="Arial" w:cs="Arial"/>
          <w:color w:val="222222"/>
          <w:shd w:val="clear" w:color="auto" w:fill="F8F9FA"/>
        </w:rPr>
        <w:t xml:space="preserve">2. Natural Resource Conflict Analysis </w:t>
      </w:r>
    </w:p>
    <w:p w:rsidR="004F2349" w:rsidRDefault="004F2349" w:rsidP="004F2349">
      <w:pPr>
        <w:rPr>
          <w:rFonts w:ascii="Arial" w:hAnsi="Arial" w:cs="Arial"/>
          <w:color w:val="222222"/>
          <w:shd w:val="clear" w:color="auto" w:fill="F8F9FA"/>
        </w:rPr>
      </w:pPr>
      <w:r>
        <w:rPr>
          <w:rFonts w:ascii="Arial" w:hAnsi="Arial" w:cs="Arial"/>
          <w:color w:val="222222"/>
          <w:shd w:val="clear" w:color="auto" w:fill="F8F9FA"/>
        </w:rPr>
        <w:t xml:space="preserve">3. Forms of Natural Resource Conflict Resolution </w:t>
      </w:r>
    </w:p>
    <w:p w:rsidR="004F2349" w:rsidRDefault="004F2349" w:rsidP="004F2349">
      <w:pPr>
        <w:rPr>
          <w:rFonts w:ascii="Arial" w:hAnsi="Arial" w:cs="Arial"/>
          <w:color w:val="222222"/>
          <w:shd w:val="clear" w:color="auto" w:fill="F8F9FA"/>
        </w:rPr>
      </w:pPr>
      <w:r>
        <w:rPr>
          <w:rFonts w:ascii="Arial" w:hAnsi="Arial" w:cs="Arial"/>
          <w:color w:val="222222"/>
          <w:shd w:val="clear" w:color="auto" w:fill="F8F9FA"/>
        </w:rPr>
        <w:t>4. Effective Negotiation Strategy</w:t>
      </w:r>
    </w:p>
    <w:p w:rsidR="004F2349" w:rsidRDefault="004F2349" w:rsidP="004F2349">
      <w:pPr>
        <w:rPr>
          <w:rFonts w:ascii="Arial" w:hAnsi="Arial" w:cs="Arial"/>
          <w:color w:val="222222"/>
          <w:shd w:val="clear" w:color="auto" w:fill="F8F9FA"/>
        </w:rPr>
      </w:pPr>
      <w:r>
        <w:rPr>
          <w:rFonts w:ascii="Arial" w:hAnsi="Arial" w:cs="Arial"/>
          <w:color w:val="222222"/>
          <w:shd w:val="clear" w:color="auto" w:fill="F8F9FA"/>
        </w:rPr>
        <w:t xml:space="preserve"> 5. Building an Agreement. </w:t>
      </w:r>
    </w:p>
    <w:p w:rsidR="004F2349" w:rsidRDefault="004F2349" w:rsidP="004F2349">
      <w:pPr>
        <w:rPr>
          <w:rFonts w:ascii="Arial" w:hAnsi="Arial" w:cs="Arial"/>
          <w:color w:val="222222"/>
          <w:shd w:val="clear" w:color="auto" w:fill="F8F9FA"/>
        </w:rPr>
      </w:pPr>
      <w:r>
        <w:rPr>
          <w:rFonts w:ascii="Arial" w:hAnsi="Arial" w:cs="Arial"/>
          <w:color w:val="222222"/>
          <w:shd w:val="clear" w:color="auto" w:fill="F8F9FA"/>
        </w:rPr>
        <w:t>6. Managing roles in multi-party negotiations.</w:t>
      </w:r>
    </w:p>
    <w:p w:rsidR="004F2349" w:rsidRDefault="004F2349" w:rsidP="004F2349">
      <w:pPr>
        <w:rPr>
          <w:rFonts w:ascii="Arial" w:hAnsi="Arial" w:cs="Arial"/>
          <w:color w:val="222222"/>
          <w:shd w:val="clear" w:color="auto" w:fill="F8F9FA"/>
        </w:rPr>
      </w:pPr>
      <w:r>
        <w:rPr>
          <w:rFonts w:ascii="Arial" w:hAnsi="Arial" w:cs="Arial"/>
          <w:color w:val="222222"/>
          <w:shd w:val="clear" w:color="auto" w:fill="F8F9FA"/>
        </w:rPr>
        <w:t xml:space="preserve"> 7. Equip participants with a framework for understanding, diagnosing, and leading the negotiation process.</w:t>
      </w:r>
    </w:p>
    <w:p w:rsidR="004F2349" w:rsidRDefault="004F2349" w:rsidP="004F2349">
      <w:pPr>
        <w:rPr>
          <w:rFonts w:ascii="Arial" w:hAnsi="Arial" w:cs="Arial"/>
          <w:color w:val="222222"/>
          <w:shd w:val="clear" w:color="auto" w:fill="F8F9FA"/>
        </w:rPr>
      </w:pPr>
      <w:r>
        <w:rPr>
          <w:rFonts w:ascii="Arial" w:hAnsi="Arial" w:cs="Arial"/>
          <w:color w:val="222222"/>
          <w:shd w:val="clear" w:color="auto" w:fill="F8F9FA"/>
        </w:rPr>
        <w:t xml:space="preserve"> 8. Mediation case studies in the field of conflict territories for one month.</w:t>
      </w:r>
    </w:p>
    <w:p w:rsidR="004F2349" w:rsidRDefault="004F2349" w:rsidP="004F2349">
      <w:pPr>
        <w:rPr>
          <w:rFonts w:ascii="Times New Roman" w:hAnsi="Times New Roman" w:cs="Times New Roman"/>
          <w:b/>
          <w:color w:val="222222"/>
          <w:sz w:val="28"/>
          <w:szCs w:val="28"/>
          <w:shd w:val="clear" w:color="auto" w:fill="F8F9FA"/>
        </w:rPr>
      </w:pPr>
      <w:r>
        <w:rPr>
          <w:rFonts w:ascii="Times New Roman" w:hAnsi="Times New Roman" w:cs="Times New Roman"/>
          <w:b/>
          <w:color w:val="222222"/>
          <w:sz w:val="28"/>
          <w:szCs w:val="28"/>
          <w:shd w:val="clear" w:color="auto" w:fill="F8F9FA"/>
        </w:rPr>
        <w:lastRenderedPageBreak/>
        <w:t>Program Durat</w:t>
      </w:r>
      <w:r w:rsidRPr="004F2349">
        <w:rPr>
          <w:rFonts w:ascii="Times New Roman" w:hAnsi="Times New Roman" w:cs="Times New Roman"/>
          <w:b/>
          <w:color w:val="222222"/>
          <w:sz w:val="28"/>
          <w:szCs w:val="28"/>
          <w:shd w:val="clear" w:color="auto" w:fill="F8F9FA"/>
        </w:rPr>
        <w:t>ion</w:t>
      </w:r>
    </w:p>
    <w:p w:rsidR="004F2349" w:rsidRPr="004F2349" w:rsidRDefault="004F2349" w:rsidP="004F2349">
      <w:pPr>
        <w:rPr>
          <w:rFonts w:ascii="Times New Roman" w:hAnsi="Times New Roman" w:cs="Times New Roman"/>
          <w:color w:val="222222"/>
          <w:sz w:val="24"/>
          <w:szCs w:val="24"/>
          <w:shd w:val="clear" w:color="auto" w:fill="F8F9FA"/>
        </w:rPr>
      </w:pPr>
      <w:r w:rsidRPr="004F2349">
        <w:rPr>
          <w:rFonts w:ascii="Times New Roman" w:hAnsi="Times New Roman" w:cs="Times New Roman"/>
          <w:sz w:val="24"/>
          <w:szCs w:val="24"/>
        </w:rPr>
        <w:br/>
      </w:r>
      <w:r w:rsidRPr="004F2349">
        <w:rPr>
          <w:rFonts w:ascii="Times New Roman" w:hAnsi="Times New Roman" w:cs="Times New Roman"/>
          <w:color w:val="222222"/>
          <w:sz w:val="24"/>
          <w:szCs w:val="24"/>
          <w:shd w:val="clear" w:color="auto" w:fill="F8F9FA"/>
        </w:rPr>
        <w:t>Program implementation is effective for 6 months after signing a contract with a donor agency.</w:t>
      </w:r>
    </w:p>
    <w:p w:rsidR="004F2349" w:rsidRPr="004F2349" w:rsidRDefault="004F2349" w:rsidP="004F2349">
      <w:pPr>
        <w:rPr>
          <w:rFonts w:ascii="Times New Roman" w:hAnsi="Times New Roman" w:cs="Times New Roman"/>
          <w:b/>
          <w:color w:val="222222"/>
          <w:sz w:val="28"/>
          <w:szCs w:val="28"/>
          <w:shd w:val="clear" w:color="auto" w:fill="F8F9FA"/>
        </w:rPr>
      </w:pPr>
    </w:p>
    <w:p w:rsidR="004F2349" w:rsidRDefault="004F2349" w:rsidP="004F2349">
      <w:pPr>
        <w:rPr>
          <w:rFonts w:ascii="Times New Roman" w:hAnsi="Times New Roman" w:cs="Times New Roman"/>
          <w:b/>
          <w:color w:val="222222"/>
          <w:sz w:val="28"/>
          <w:szCs w:val="28"/>
          <w:shd w:val="clear" w:color="auto" w:fill="F8F9FA"/>
        </w:rPr>
      </w:pPr>
      <w:r w:rsidRPr="004F2349">
        <w:rPr>
          <w:rFonts w:ascii="Times New Roman" w:hAnsi="Times New Roman" w:cs="Times New Roman"/>
          <w:b/>
          <w:color w:val="222222"/>
          <w:sz w:val="28"/>
          <w:szCs w:val="28"/>
          <w:shd w:val="clear" w:color="auto" w:fill="F8F9FA"/>
        </w:rPr>
        <w:t>Workplan</w:t>
      </w:r>
    </w:p>
    <w:tbl>
      <w:tblPr>
        <w:tblStyle w:val="TableGrid"/>
        <w:tblW w:w="9356" w:type="dxa"/>
        <w:tblInd w:w="108" w:type="dxa"/>
        <w:tblLayout w:type="fixed"/>
        <w:tblLook w:val="04A0" w:firstRow="1" w:lastRow="0" w:firstColumn="1" w:lastColumn="0" w:noHBand="0" w:noVBand="1"/>
      </w:tblPr>
      <w:tblGrid>
        <w:gridCol w:w="5954"/>
        <w:gridCol w:w="567"/>
        <w:gridCol w:w="567"/>
        <w:gridCol w:w="567"/>
        <w:gridCol w:w="567"/>
        <w:gridCol w:w="567"/>
        <w:gridCol w:w="567"/>
      </w:tblGrid>
      <w:tr w:rsidR="004F2349" w:rsidTr="00350EDE">
        <w:tc>
          <w:tcPr>
            <w:tcW w:w="5954" w:type="dxa"/>
            <w:shd w:val="clear" w:color="auto" w:fill="A6A6A6" w:themeFill="background1" w:themeFillShade="A6"/>
          </w:tcPr>
          <w:p w:rsidR="004F2349" w:rsidRPr="00605316" w:rsidRDefault="004F2349" w:rsidP="00350EDE">
            <w:pPr>
              <w:spacing w:line="360" w:lineRule="auto"/>
              <w:jc w:val="center"/>
              <w:rPr>
                <w:rFonts w:ascii="Cambria" w:hAnsi="Cambria"/>
                <w:b/>
                <w:lang w:val="id-ID"/>
              </w:rPr>
            </w:pPr>
          </w:p>
          <w:p w:rsidR="004F2349" w:rsidRPr="00605316" w:rsidRDefault="004F2349" w:rsidP="00350EDE">
            <w:pPr>
              <w:spacing w:line="360" w:lineRule="auto"/>
              <w:jc w:val="center"/>
              <w:rPr>
                <w:rFonts w:ascii="Cambria" w:hAnsi="Cambria"/>
                <w:b/>
                <w:lang w:val="id-ID"/>
              </w:rPr>
            </w:pPr>
            <w:r w:rsidRPr="00605316">
              <w:rPr>
                <w:rFonts w:ascii="Cambria" w:hAnsi="Cambria"/>
                <w:b/>
                <w:lang w:val="id-ID"/>
              </w:rPr>
              <w:t>Aktivitas</w:t>
            </w:r>
          </w:p>
        </w:tc>
        <w:tc>
          <w:tcPr>
            <w:tcW w:w="3402" w:type="dxa"/>
            <w:gridSpan w:val="6"/>
            <w:shd w:val="clear" w:color="auto" w:fill="A6A6A6" w:themeFill="background1" w:themeFillShade="A6"/>
          </w:tcPr>
          <w:p w:rsidR="004F2349" w:rsidRPr="00605316" w:rsidRDefault="004F2349" w:rsidP="00350EDE">
            <w:pPr>
              <w:spacing w:line="360" w:lineRule="auto"/>
              <w:jc w:val="center"/>
              <w:rPr>
                <w:rFonts w:ascii="Cambria" w:hAnsi="Cambria"/>
                <w:b/>
                <w:lang w:val="id-ID"/>
              </w:rPr>
            </w:pPr>
          </w:p>
          <w:p w:rsidR="004F2349" w:rsidRPr="00605316" w:rsidRDefault="004F2349" w:rsidP="00350EDE">
            <w:pPr>
              <w:spacing w:line="360" w:lineRule="auto"/>
              <w:jc w:val="center"/>
              <w:rPr>
                <w:rFonts w:ascii="Cambria" w:hAnsi="Cambria"/>
                <w:b/>
                <w:lang w:val="id-ID"/>
              </w:rPr>
            </w:pPr>
            <w:r w:rsidRPr="00605316">
              <w:rPr>
                <w:rFonts w:ascii="Cambria" w:hAnsi="Cambria"/>
                <w:b/>
                <w:lang w:val="id-ID"/>
              </w:rPr>
              <w:t>Bulan</w:t>
            </w:r>
          </w:p>
        </w:tc>
      </w:tr>
      <w:tr w:rsidR="004F2349" w:rsidTr="00350EDE">
        <w:tc>
          <w:tcPr>
            <w:tcW w:w="5954" w:type="dxa"/>
          </w:tcPr>
          <w:p w:rsidR="004F2349" w:rsidRPr="00605316" w:rsidRDefault="004F2349" w:rsidP="00350EDE">
            <w:pPr>
              <w:pStyle w:val="ListParagraph"/>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r>
              <w:rPr>
                <w:rFonts w:ascii="Cambria" w:hAnsi="Cambria"/>
                <w:lang w:val="id-ID"/>
              </w:rPr>
              <w:t>1</w:t>
            </w:r>
          </w:p>
        </w:tc>
        <w:tc>
          <w:tcPr>
            <w:tcW w:w="567" w:type="dxa"/>
          </w:tcPr>
          <w:p w:rsidR="004F2349" w:rsidRDefault="004F2349" w:rsidP="00350EDE">
            <w:pPr>
              <w:spacing w:line="360" w:lineRule="auto"/>
              <w:jc w:val="both"/>
              <w:rPr>
                <w:rFonts w:ascii="Cambria" w:hAnsi="Cambria"/>
                <w:lang w:val="id-ID"/>
              </w:rPr>
            </w:pPr>
            <w:r>
              <w:rPr>
                <w:rFonts w:ascii="Cambria" w:hAnsi="Cambria"/>
                <w:lang w:val="id-ID"/>
              </w:rPr>
              <w:t>2</w:t>
            </w:r>
          </w:p>
        </w:tc>
        <w:tc>
          <w:tcPr>
            <w:tcW w:w="567" w:type="dxa"/>
          </w:tcPr>
          <w:p w:rsidR="004F2349" w:rsidRDefault="004F2349" w:rsidP="00350EDE">
            <w:pPr>
              <w:spacing w:line="360" w:lineRule="auto"/>
              <w:jc w:val="both"/>
              <w:rPr>
                <w:rFonts w:ascii="Cambria" w:hAnsi="Cambria"/>
                <w:lang w:val="id-ID"/>
              </w:rPr>
            </w:pPr>
            <w:r>
              <w:rPr>
                <w:rFonts w:ascii="Cambria" w:hAnsi="Cambria"/>
                <w:lang w:val="id-ID"/>
              </w:rPr>
              <w:t>3</w:t>
            </w:r>
          </w:p>
        </w:tc>
        <w:tc>
          <w:tcPr>
            <w:tcW w:w="567" w:type="dxa"/>
          </w:tcPr>
          <w:p w:rsidR="004F2349" w:rsidRDefault="004F2349" w:rsidP="00350EDE">
            <w:pPr>
              <w:spacing w:line="360" w:lineRule="auto"/>
              <w:jc w:val="both"/>
              <w:rPr>
                <w:rFonts w:ascii="Cambria" w:hAnsi="Cambria"/>
                <w:lang w:val="id-ID"/>
              </w:rPr>
            </w:pPr>
            <w:r>
              <w:rPr>
                <w:rFonts w:ascii="Cambria" w:hAnsi="Cambria"/>
                <w:lang w:val="id-ID"/>
              </w:rPr>
              <w:t>4</w:t>
            </w:r>
          </w:p>
        </w:tc>
        <w:tc>
          <w:tcPr>
            <w:tcW w:w="567" w:type="dxa"/>
          </w:tcPr>
          <w:p w:rsidR="004F2349" w:rsidRDefault="004F2349" w:rsidP="00350EDE">
            <w:pPr>
              <w:spacing w:line="360" w:lineRule="auto"/>
              <w:jc w:val="both"/>
              <w:rPr>
                <w:rFonts w:ascii="Cambria" w:hAnsi="Cambria"/>
                <w:lang w:val="id-ID"/>
              </w:rPr>
            </w:pPr>
            <w:r>
              <w:rPr>
                <w:rFonts w:ascii="Cambria" w:hAnsi="Cambria"/>
                <w:lang w:val="id-ID"/>
              </w:rPr>
              <w:t>5</w:t>
            </w:r>
          </w:p>
        </w:tc>
        <w:tc>
          <w:tcPr>
            <w:tcW w:w="567" w:type="dxa"/>
          </w:tcPr>
          <w:p w:rsidR="004F2349" w:rsidRDefault="004F2349" w:rsidP="00350EDE">
            <w:pPr>
              <w:spacing w:line="360" w:lineRule="auto"/>
              <w:jc w:val="both"/>
              <w:rPr>
                <w:rFonts w:ascii="Cambria" w:hAnsi="Cambria"/>
                <w:lang w:val="id-ID"/>
              </w:rPr>
            </w:pPr>
            <w:r>
              <w:rPr>
                <w:rFonts w:ascii="Cambria" w:hAnsi="Cambria"/>
                <w:lang w:val="id-ID"/>
              </w:rPr>
              <w:t>6</w:t>
            </w:r>
          </w:p>
        </w:tc>
      </w:tr>
      <w:tr w:rsidR="004F2349" w:rsidTr="00350EDE">
        <w:tc>
          <w:tcPr>
            <w:tcW w:w="5954" w:type="dxa"/>
          </w:tcPr>
          <w:p w:rsidR="004F2349" w:rsidRPr="004F2349" w:rsidRDefault="004F2349" w:rsidP="004F2349">
            <w:pPr>
              <w:pStyle w:val="ListParagraph"/>
              <w:numPr>
                <w:ilvl w:val="0"/>
                <w:numId w:val="1"/>
              </w:numPr>
              <w:spacing w:line="360" w:lineRule="auto"/>
              <w:rPr>
                <w:rFonts w:ascii="Cambria" w:hAnsi="Cambria"/>
                <w:lang w:val="id-ID"/>
              </w:rPr>
            </w:pPr>
            <w:r w:rsidRPr="004F2349">
              <w:rPr>
                <w:rFonts w:ascii="Cambria" w:hAnsi="Cambria"/>
                <w:lang w:val="id-ID"/>
              </w:rPr>
              <w:t xml:space="preserve">Trainee identification and preparation </w:t>
            </w:r>
          </w:p>
        </w:tc>
        <w:tc>
          <w:tcPr>
            <w:tcW w:w="567" w:type="dxa"/>
            <w:shd w:val="clear" w:color="auto" w:fill="A6A6A6" w:themeFill="background1" w:themeFillShade="A6"/>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r>
      <w:tr w:rsidR="004F2349" w:rsidTr="00350EDE">
        <w:tc>
          <w:tcPr>
            <w:tcW w:w="5954" w:type="dxa"/>
          </w:tcPr>
          <w:p w:rsidR="004F2349" w:rsidRPr="004F2349" w:rsidRDefault="004F2349" w:rsidP="004F2349">
            <w:pPr>
              <w:pStyle w:val="ListParagraph"/>
              <w:numPr>
                <w:ilvl w:val="0"/>
                <w:numId w:val="1"/>
              </w:numPr>
              <w:spacing w:line="360" w:lineRule="auto"/>
              <w:rPr>
                <w:rFonts w:ascii="Cambria" w:hAnsi="Cambria"/>
                <w:lang w:val="id-ID"/>
              </w:rPr>
            </w:pPr>
            <w:r w:rsidRPr="004F2349">
              <w:rPr>
                <w:rFonts w:ascii="Cambria" w:hAnsi="Cambria"/>
                <w:lang w:val="id-ID"/>
              </w:rPr>
              <w:t xml:space="preserve">Training Modul development Updating </w:t>
            </w:r>
          </w:p>
        </w:tc>
        <w:tc>
          <w:tcPr>
            <w:tcW w:w="567" w:type="dxa"/>
            <w:shd w:val="clear" w:color="auto" w:fill="A6A6A6" w:themeFill="background1" w:themeFillShade="A6"/>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r>
      <w:tr w:rsidR="004F2349" w:rsidTr="00350EDE">
        <w:tc>
          <w:tcPr>
            <w:tcW w:w="5954" w:type="dxa"/>
          </w:tcPr>
          <w:p w:rsidR="004F2349" w:rsidRDefault="004F2349" w:rsidP="004F2349">
            <w:pPr>
              <w:pStyle w:val="ListParagraph"/>
              <w:numPr>
                <w:ilvl w:val="0"/>
                <w:numId w:val="1"/>
              </w:numPr>
              <w:spacing w:line="360" w:lineRule="auto"/>
              <w:rPr>
                <w:rFonts w:ascii="Cambria" w:hAnsi="Cambria"/>
                <w:lang w:val="id-ID"/>
              </w:rPr>
            </w:pPr>
            <w:r>
              <w:rPr>
                <w:rFonts w:ascii="Cambria" w:hAnsi="Cambria"/>
                <w:lang w:val="id-ID"/>
              </w:rPr>
              <w:t>Mediaation  &amp; Negotiation training</w:t>
            </w:r>
          </w:p>
        </w:tc>
        <w:tc>
          <w:tcPr>
            <w:tcW w:w="567" w:type="dxa"/>
          </w:tcPr>
          <w:p w:rsidR="004F2349" w:rsidRDefault="004F2349" w:rsidP="00350EDE">
            <w:pPr>
              <w:spacing w:line="360" w:lineRule="auto"/>
              <w:jc w:val="both"/>
              <w:rPr>
                <w:rFonts w:ascii="Cambria" w:hAnsi="Cambria"/>
                <w:lang w:val="id-ID"/>
              </w:rPr>
            </w:pPr>
          </w:p>
        </w:tc>
        <w:tc>
          <w:tcPr>
            <w:tcW w:w="567" w:type="dxa"/>
            <w:shd w:val="clear" w:color="auto" w:fill="A6A6A6" w:themeFill="background1" w:themeFillShade="A6"/>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r>
      <w:tr w:rsidR="004F2349" w:rsidTr="00350EDE">
        <w:tc>
          <w:tcPr>
            <w:tcW w:w="5954" w:type="dxa"/>
          </w:tcPr>
          <w:p w:rsidR="004F2349" w:rsidRDefault="004F2349" w:rsidP="004F2349">
            <w:pPr>
              <w:pStyle w:val="ListParagraph"/>
              <w:numPr>
                <w:ilvl w:val="0"/>
                <w:numId w:val="1"/>
              </w:numPr>
              <w:spacing w:line="360" w:lineRule="auto"/>
              <w:rPr>
                <w:rFonts w:ascii="Cambria" w:hAnsi="Cambria"/>
                <w:lang w:val="id-ID"/>
              </w:rPr>
            </w:pPr>
            <w:r>
              <w:rPr>
                <w:rFonts w:ascii="Cambria" w:hAnsi="Cambria"/>
                <w:lang w:val="id-ID"/>
              </w:rPr>
              <w:t>Mediation learning in  conflict area</w:t>
            </w:r>
          </w:p>
        </w:tc>
        <w:tc>
          <w:tcPr>
            <w:tcW w:w="567" w:type="dxa"/>
          </w:tcPr>
          <w:p w:rsidR="004F2349" w:rsidRDefault="004F2349" w:rsidP="00350EDE">
            <w:pPr>
              <w:spacing w:line="360" w:lineRule="auto"/>
              <w:jc w:val="both"/>
              <w:rPr>
                <w:rFonts w:ascii="Cambria" w:hAnsi="Cambria"/>
                <w:lang w:val="id-ID"/>
              </w:rPr>
            </w:pPr>
          </w:p>
        </w:tc>
        <w:tc>
          <w:tcPr>
            <w:tcW w:w="567" w:type="dxa"/>
            <w:shd w:val="clear" w:color="auto" w:fill="FFFFFF" w:themeFill="background1"/>
          </w:tcPr>
          <w:p w:rsidR="004F2349" w:rsidRDefault="004F2349" w:rsidP="00350EDE">
            <w:pPr>
              <w:spacing w:line="360" w:lineRule="auto"/>
              <w:jc w:val="both"/>
              <w:rPr>
                <w:rFonts w:ascii="Cambria" w:hAnsi="Cambria"/>
                <w:lang w:val="id-ID"/>
              </w:rPr>
            </w:pPr>
          </w:p>
        </w:tc>
        <w:tc>
          <w:tcPr>
            <w:tcW w:w="567" w:type="dxa"/>
            <w:shd w:val="clear" w:color="auto" w:fill="BFBFBF" w:themeFill="background1" w:themeFillShade="BF"/>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r>
      <w:tr w:rsidR="004F2349" w:rsidTr="00350EDE">
        <w:trPr>
          <w:trHeight w:val="497"/>
        </w:trPr>
        <w:tc>
          <w:tcPr>
            <w:tcW w:w="5954" w:type="dxa"/>
          </w:tcPr>
          <w:p w:rsidR="004F2349" w:rsidRDefault="004F2349" w:rsidP="004F2349">
            <w:pPr>
              <w:pStyle w:val="ListParagraph"/>
              <w:numPr>
                <w:ilvl w:val="0"/>
                <w:numId w:val="1"/>
              </w:numPr>
              <w:spacing w:line="360" w:lineRule="auto"/>
              <w:rPr>
                <w:rFonts w:ascii="Cambria" w:hAnsi="Cambria"/>
                <w:lang w:val="id-ID"/>
              </w:rPr>
            </w:pPr>
            <w:r>
              <w:rPr>
                <w:rFonts w:ascii="Cambria" w:hAnsi="Cambria"/>
                <w:lang w:val="id-ID"/>
              </w:rPr>
              <w:t>Recruitment of Mediation exam certification .</w:t>
            </w:r>
          </w:p>
        </w:tc>
        <w:tc>
          <w:tcPr>
            <w:tcW w:w="567" w:type="dxa"/>
          </w:tcPr>
          <w:p w:rsidR="004F2349" w:rsidRDefault="004F2349" w:rsidP="00350EDE">
            <w:pPr>
              <w:spacing w:line="360" w:lineRule="auto"/>
              <w:jc w:val="both"/>
              <w:rPr>
                <w:rFonts w:ascii="Cambria" w:hAnsi="Cambria"/>
                <w:lang w:val="id-ID"/>
              </w:rPr>
            </w:pPr>
          </w:p>
        </w:tc>
        <w:tc>
          <w:tcPr>
            <w:tcW w:w="567" w:type="dxa"/>
            <w:shd w:val="clear" w:color="auto" w:fill="FFFFFF" w:themeFill="background1"/>
          </w:tcPr>
          <w:p w:rsidR="004F2349" w:rsidRDefault="004F2349" w:rsidP="00350EDE">
            <w:pPr>
              <w:spacing w:line="360" w:lineRule="auto"/>
              <w:jc w:val="both"/>
              <w:rPr>
                <w:rFonts w:ascii="Cambria" w:hAnsi="Cambria"/>
                <w:lang w:val="id-ID"/>
              </w:rPr>
            </w:pPr>
          </w:p>
        </w:tc>
        <w:tc>
          <w:tcPr>
            <w:tcW w:w="567" w:type="dxa"/>
            <w:shd w:val="clear" w:color="auto" w:fill="FFFFFF" w:themeFill="background1"/>
          </w:tcPr>
          <w:p w:rsidR="004F2349" w:rsidRDefault="004F2349" w:rsidP="00350EDE">
            <w:pPr>
              <w:spacing w:line="360" w:lineRule="auto"/>
              <w:jc w:val="both"/>
              <w:rPr>
                <w:rFonts w:ascii="Cambria" w:hAnsi="Cambria"/>
                <w:lang w:val="id-ID"/>
              </w:rPr>
            </w:pPr>
          </w:p>
        </w:tc>
        <w:tc>
          <w:tcPr>
            <w:tcW w:w="567" w:type="dxa"/>
            <w:shd w:val="clear" w:color="auto" w:fill="BFBFBF" w:themeFill="background1" w:themeFillShade="BF"/>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r>
      <w:tr w:rsidR="004F2349" w:rsidTr="00350EDE">
        <w:tc>
          <w:tcPr>
            <w:tcW w:w="5954" w:type="dxa"/>
          </w:tcPr>
          <w:p w:rsidR="004F2349" w:rsidRDefault="004F2349" w:rsidP="004F2349">
            <w:pPr>
              <w:pStyle w:val="ListParagraph"/>
              <w:numPr>
                <w:ilvl w:val="0"/>
                <w:numId w:val="1"/>
              </w:numPr>
              <w:spacing w:line="360" w:lineRule="auto"/>
              <w:rPr>
                <w:rFonts w:ascii="Cambria" w:hAnsi="Cambria"/>
                <w:lang w:val="id-ID"/>
              </w:rPr>
            </w:pPr>
            <w:r>
              <w:rPr>
                <w:rFonts w:ascii="Cambria" w:hAnsi="Cambria"/>
                <w:lang w:val="id-ID"/>
              </w:rPr>
              <w:t>Mediator Certification Ecamination</w:t>
            </w:r>
          </w:p>
        </w:tc>
        <w:tc>
          <w:tcPr>
            <w:tcW w:w="567" w:type="dxa"/>
          </w:tcPr>
          <w:p w:rsidR="004F2349" w:rsidRDefault="004F2349" w:rsidP="00350EDE">
            <w:pPr>
              <w:spacing w:line="360" w:lineRule="auto"/>
              <w:jc w:val="both"/>
              <w:rPr>
                <w:rFonts w:ascii="Cambria" w:hAnsi="Cambria"/>
                <w:lang w:val="id-ID"/>
              </w:rPr>
            </w:pPr>
          </w:p>
        </w:tc>
        <w:tc>
          <w:tcPr>
            <w:tcW w:w="567" w:type="dxa"/>
            <w:shd w:val="clear" w:color="auto" w:fill="FFFFFF" w:themeFill="background1"/>
          </w:tcPr>
          <w:p w:rsidR="004F2349" w:rsidRDefault="004F2349" w:rsidP="00350EDE">
            <w:pPr>
              <w:spacing w:line="360" w:lineRule="auto"/>
              <w:jc w:val="both"/>
              <w:rPr>
                <w:rFonts w:ascii="Cambria" w:hAnsi="Cambria"/>
                <w:lang w:val="id-ID"/>
              </w:rPr>
            </w:pPr>
          </w:p>
        </w:tc>
        <w:tc>
          <w:tcPr>
            <w:tcW w:w="567" w:type="dxa"/>
            <w:shd w:val="clear" w:color="auto" w:fill="FFFFFF" w:themeFill="background1"/>
          </w:tcPr>
          <w:p w:rsidR="004F2349" w:rsidRDefault="004F2349" w:rsidP="00350EDE">
            <w:pPr>
              <w:spacing w:line="360" w:lineRule="auto"/>
              <w:jc w:val="both"/>
              <w:rPr>
                <w:rFonts w:ascii="Cambria" w:hAnsi="Cambria"/>
                <w:lang w:val="id-ID"/>
              </w:rPr>
            </w:pPr>
          </w:p>
        </w:tc>
        <w:tc>
          <w:tcPr>
            <w:tcW w:w="567" w:type="dxa"/>
            <w:shd w:val="clear" w:color="auto" w:fill="FFFFFF" w:themeFill="background1"/>
          </w:tcPr>
          <w:p w:rsidR="004F2349" w:rsidRDefault="004F2349" w:rsidP="00350EDE">
            <w:pPr>
              <w:spacing w:line="360" w:lineRule="auto"/>
              <w:jc w:val="both"/>
              <w:rPr>
                <w:rFonts w:ascii="Cambria" w:hAnsi="Cambria"/>
                <w:lang w:val="id-ID"/>
              </w:rPr>
            </w:pPr>
          </w:p>
        </w:tc>
        <w:tc>
          <w:tcPr>
            <w:tcW w:w="567" w:type="dxa"/>
            <w:shd w:val="clear" w:color="auto" w:fill="BFBFBF" w:themeFill="background1" w:themeFillShade="BF"/>
          </w:tcPr>
          <w:p w:rsidR="004F2349" w:rsidRDefault="004F2349" w:rsidP="00350EDE">
            <w:pPr>
              <w:spacing w:line="360" w:lineRule="auto"/>
              <w:jc w:val="both"/>
              <w:rPr>
                <w:rFonts w:ascii="Cambria" w:hAnsi="Cambria"/>
                <w:lang w:val="id-ID"/>
              </w:rPr>
            </w:pPr>
          </w:p>
        </w:tc>
        <w:tc>
          <w:tcPr>
            <w:tcW w:w="567" w:type="dxa"/>
          </w:tcPr>
          <w:p w:rsidR="004F2349" w:rsidRDefault="004F2349" w:rsidP="00350EDE">
            <w:pPr>
              <w:spacing w:line="360" w:lineRule="auto"/>
              <w:jc w:val="both"/>
              <w:rPr>
                <w:rFonts w:ascii="Cambria" w:hAnsi="Cambria"/>
                <w:lang w:val="id-ID"/>
              </w:rPr>
            </w:pPr>
          </w:p>
        </w:tc>
      </w:tr>
      <w:tr w:rsidR="004F2349" w:rsidTr="00350EDE">
        <w:tc>
          <w:tcPr>
            <w:tcW w:w="5954" w:type="dxa"/>
          </w:tcPr>
          <w:p w:rsidR="004F2349" w:rsidRDefault="004F2349" w:rsidP="004F2349">
            <w:pPr>
              <w:pStyle w:val="ListParagraph"/>
              <w:numPr>
                <w:ilvl w:val="0"/>
                <w:numId w:val="1"/>
              </w:numPr>
              <w:spacing w:line="360" w:lineRule="auto"/>
              <w:rPr>
                <w:rFonts w:ascii="Cambria" w:hAnsi="Cambria"/>
                <w:lang w:val="id-ID"/>
              </w:rPr>
            </w:pPr>
            <w:r>
              <w:rPr>
                <w:rFonts w:ascii="Cambria" w:hAnsi="Cambria"/>
                <w:lang w:val="id-ID"/>
              </w:rPr>
              <w:t>Establishment Mediator association</w:t>
            </w:r>
          </w:p>
        </w:tc>
        <w:tc>
          <w:tcPr>
            <w:tcW w:w="567" w:type="dxa"/>
          </w:tcPr>
          <w:p w:rsidR="004F2349" w:rsidRDefault="004F2349" w:rsidP="00350EDE">
            <w:pPr>
              <w:spacing w:line="360" w:lineRule="auto"/>
              <w:jc w:val="both"/>
              <w:rPr>
                <w:rFonts w:ascii="Cambria" w:hAnsi="Cambria"/>
                <w:lang w:val="id-ID"/>
              </w:rPr>
            </w:pPr>
          </w:p>
        </w:tc>
        <w:tc>
          <w:tcPr>
            <w:tcW w:w="567" w:type="dxa"/>
            <w:shd w:val="clear" w:color="auto" w:fill="FFFFFF" w:themeFill="background1"/>
          </w:tcPr>
          <w:p w:rsidR="004F2349" w:rsidRDefault="004F2349" w:rsidP="00350EDE">
            <w:pPr>
              <w:spacing w:line="360" w:lineRule="auto"/>
              <w:jc w:val="both"/>
              <w:rPr>
                <w:rFonts w:ascii="Cambria" w:hAnsi="Cambria"/>
                <w:lang w:val="id-ID"/>
              </w:rPr>
            </w:pPr>
          </w:p>
        </w:tc>
        <w:tc>
          <w:tcPr>
            <w:tcW w:w="567" w:type="dxa"/>
            <w:shd w:val="clear" w:color="auto" w:fill="FFFFFF" w:themeFill="background1"/>
          </w:tcPr>
          <w:p w:rsidR="004F2349" w:rsidRDefault="004F2349" w:rsidP="00350EDE">
            <w:pPr>
              <w:spacing w:line="360" w:lineRule="auto"/>
              <w:jc w:val="both"/>
              <w:rPr>
                <w:rFonts w:ascii="Cambria" w:hAnsi="Cambria"/>
                <w:lang w:val="id-ID"/>
              </w:rPr>
            </w:pPr>
          </w:p>
        </w:tc>
        <w:tc>
          <w:tcPr>
            <w:tcW w:w="567" w:type="dxa"/>
            <w:shd w:val="clear" w:color="auto" w:fill="FFFFFF" w:themeFill="background1"/>
          </w:tcPr>
          <w:p w:rsidR="004F2349" w:rsidRDefault="004F2349" w:rsidP="00350EDE">
            <w:pPr>
              <w:spacing w:line="360" w:lineRule="auto"/>
              <w:jc w:val="both"/>
              <w:rPr>
                <w:rFonts w:ascii="Cambria" w:hAnsi="Cambria"/>
                <w:lang w:val="id-ID"/>
              </w:rPr>
            </w:pPr>
          </w:p>
        </w:tc>
        <w:tc>
          <w:tcPr>
            <w:tcW w:w="567" w:type="dxa"/>
            <w:shd w:val="clear" w:color="auto" w:fill="FFFFFF" w:themeFill="background1"/>
          </w:tcPr>
          <w:p w:rsidR="004F2349" w:rsidRDefault="004F2349" w:rsidP="00350EDE">
            <w:pPr>
              <w:spacing w:line="360" w:lineRule="auto"/>
              <w:jc w:val="both"/>
              <w:rPr>
                <w:rFonts w:ascii="Cambria" w:hAnsi="Cambria"/>
                <w:lang w:val="id-ID"/>
              </w:rPr>
            </w:pPr>
          </w:p>
        </w:tc>
        <w:tc>
          <w:tcPr>
            <w:tcW w:w="567" w:type="dxa"/>
            <w:shd w:val="clear" w:color="auto" w:fill="A6A6A6" w:themeFill="background1" w:themeFillShade="A6"/>
          </w:tcPr>
          <w:p w:rsidR="004F2349" w:rsidRDefault="004F2349" w:rsidP="00350EDE">
            <w:pPr>
              <w:spacing w:line="360" w:lineRule="auto"/>
              <w:jc w:val="both"/>
              <w:rPr>
                <w:rFonts w:ascii="Cambria" w:hAnsi="Cambria"/>
                <w:lang w:val="id-ID"/>
              </w:rPr>
            </w:pPr>
          </w:p>
        </w:tc>
      </w:tr>
      <w:tr w:rsidR="004F2349" w:rsidTr="00350EDE">
        <w:tc>
          <w:tcPr>
            <w:tcW w:w="5954" w:type="dxa"/>
          </w:tcPr>
          <w:p w:rsidR="004F2349" w:rsidRDefault="004F2349" w:rsidP="004F2349">
            <w:pPr>
              <w:pStyle w:val="ListParagraph"/>
              <w:numPr>
                <w:ilvl w:val="0"/>
                <w:numId w:val="1"/>
              </w:numPr>
              <w:spacing w:line="360" w:lineRule="auto"/>
              <w:rPr>
                <w:rFonts w:ascii="Cambria" w:hAnsi="Cambria"/>
                <w:lang w:val="id-ID"/>
              </w:rPr>
            </w:pPr>
            <w:r>
              <w:rPr>
                <w:rFonts w:ascii="Cambria" w:hAnsi="Cambria"/>
                <w:lang w:val="id-ID"/>
              </w:rPr>
              <w:t>Monitoring &amp; Evaluation</w:t>
            </w:r>
          </w:p>
        </w:tc>
        <w:tc>
          <w:tcPr>
            <w:tcW w:w="567" w:type="dxa"/>
          </w:tcPr>
          <w:p w:rsidR="004F2349" w:rsidRDefault="004F2349" w:rsidP="00350EDE">
            <w:pPr>
              <w:spacing w:line="360" w:lineRule="auto"/>
              <w:jc w:val="both"/>
              <w:rPr>
                <w:rFonts w:ascii="Cambria" w:hAnsi="Cambria"/>
                <w:lang w:val="id-ID"/>
              </w:rPr>
            </w:pPr>
          </w:p>
        </w:tc>
        <w:tc>
          <w:tcPr>
            <w:tcW w:w="567" w:type="dxa"/>
            <w:shd w:val="clear" w:color="auto" w:fill="FFFFFF" w:themeFill="background1"/>
          </w:tcPr>
          <w:p w:rsidR="004F2349" w:rsidRDefault="004F2349" w:rsidP="00350EDE">
            <w:pPr>
              <w:spacing w:line="360" w:lineRule="auto"/>
              <w:jc w:val="both"/>
              <w:rPr>
                <w:rFonts w:ascii="Cambria" w:hAnsi="Cambria"/>
                <w:lang w:val="id-ID"/>
              </w:rPr>
            </w:pPr>
          </w:p>
        </w:tc>
        <w:tc>
          <w:tcPr>
            <w:tcW w:w="567" w:type="dxa"/>
            <w:shd w:val="clear" w:color="auto" w:fill="A6A6A6" w:themeFill="background1" w:themeFillShade="A6"/>
          </w:tcPr>
          <w:p w:rsidR="004F2349" w:rsidRDefault="004F2349" w:rsidP="00350EDE">
            <w:pPr>
              <w:spacing w:line="360" w:lineRule="auto"/>
              <w:jc w:val="both"/>
              <w:rPr>
                <w:rFonts w:ascii="Cambria" w:hAnsi="Cambria"/>
                <w:lang w:val="id-ID"/>
              </w:rPr>
            </w:pPr>
          </w:p>
        </w:tc>
        <w:tc>
          <w:tcPr>
            <w:tcW w:w="567" w:type="dxa"/>
            <w:shd w:val="clear" w:color="auto" w:fill="FFFFFF" w:themeFill="background1"/>
          </w:tcPr>
          <w:p w:rsidR="004F2349" w:rsidRDefault="004F2349" w:rsidP="00350EDE">
            <w:pPr>
              <w:spacing w:line="360" w:lineRule="auto"/>
              <w:jc w:val="both"/>
              <w:rPr>
                <w:rFonts w:ascii="Cambria" w:hAnsi="Cambria"/>
                <w:lang w:val="id-ID"/>
              </w:rPr>
            </w:pPr>
          </w:p>
        </w:tc>
        <w:tc>
          <w:tcPr>
            <w:tcW w:w="567" w:type="dxa"/>
            <w:shd w:val="clear" w:color="auto" w:fill="FFFFFF" w:themeFill="background1"/>
          </w:tcPr>
          <w:p w:rsidR="004F2349" w:rsidRDefault="004F2349" w:rsidP="00350EDE">
            <w:pPr>
              <w:spacing w:line="360" w:lineRule="auto"/>
              <w:jc w:val="both"/>
              <w:rPr>
                <w:rFonts w:ascii="Cambria" w:hAnsi="Cambria"/>
                <w:lang w:val="id-ID"/>
              </w:rPr>
            </w:pPr>
          </w:p>
        </w:tc>
        <w:tc>
          <w:tcPr>
            <w:tcW w:w="567" w:type="dxa"/>
            <w:shd w:val="clear" w:color="auto" w:fill="A6A6A6" w:themeFill="background1" w:themeFillShade="A6"/>
          </w:tcPr>
          <w:p w:rsidR="004F2349" w:rsidRDefault="004F2349" w:rsidP="00350EDE">
            <w:pPr>
              <w:spacing w:line="360" w:lineRule="auto"/>
              <w:jc w:val="both"/>
              <w:rPr>
                <w:rFonts w:ascii="Cambria" w:hAnsi="Cambria"/>
                <w:lang w:val="id-ID"/>
              </w:rPr>
            </w:pPr>
          </w:p>
        </w:tc>
      </w:tr>
    </w:tbl>
    <w:p w:rsidR="004F2349" w:rsidRDefault="004F2349" w:rsidP="004F2349">
      <w:pPr>
        <w:rPr>
          <w:rFonts w:ascii="Times New Roman" w:hAnsi="Times New Roman" w:cs="Times New Roman"/>
          <w:b/>
          <w:sz w:val="28"/>
          <w:szCs w:val="28"/>
        </w:rPr>
      </w:pPr>
    </w:p>
    <w:p w:rsidR="004F2349" w:rsidRDefault="004F2349" w:rsidP="004F2349">
      <w:pPr>
        <w:rPr>
          <w:rFonts w:ascii="Times New Roman" w:hAnsi="Times New Roman" w:cs="Times New Roman"/>
          <w:b/>
          <w:sz w:val="28"/>
          <w:szCs w:val="28"/>
        </w:rPr>
      </w:pPr>
    </w:p>
    <w:p w:rsidR="004F2349" w:rsidRDefault="004F2349" w:rsidP="004F2349">
      <w:pPr>
        <w:rPr>
          <w:rFonts w:ascii="Times New Roman" w:hAnsi="Times New Roman" w:cs="Times New Roman"/>
          <w:b/>
          <w:sz w:val="28"/>
          <w:szCs w:val="28"/>
        </w:rPr>
      </w:pPr>
      <w:r>
        <w:rPr>
          <w:rFonts w:ascii="Times New Roman" w:hAnsi="Times New Roman" w:cs="Times New Roman"/>
          <w:b/>
          <w:sz w:val="28"/>
          <w:szCs w:val="28"/>
        </w:rPr>
        <w:t>Budget</w:t>
      </w:r>
    </w:p>
    <w:p w:rsidR="004F2349" w:rsidRPr="004F2349" w:rsidRDefault="004F2349" w:rsidP="004F2349">
      <w:pPr>
        <w:rPr>
          <w:rFonts w:ascii="Times New Roman" w:hAnsi="Times New Roman" w:cs="Times New Roman"/>
          <w:sz w:val="24"/>
          <w:szCs w:val="24"/>
        </w:rPr>
      </w:pPr>
      <w:r>
        <w:rPr>
          <w:rFonts w:ascii="Times New Roman" w:hAnsi="Times New Roman" w:cs="Times New Roman"/>
          <w:sz w:val="24"/>
          <w:szCs w:val="24"/>
        </w:rPr>
        <w:t xml:space="preserve">Total budget propose to donor is </w:t>
      </w:r>
      <w:r w:rsidR="00271672">
        <w:rPr>
          <w:rFonts w:ascii="Times New Roman" w:hAnsi="Times New Roman" w:cs="Times New Roman"/>
          <w:b/>
          <w:sz w:val="24"/>
          <w:szCs w:val="24"/>
        </w:rPr>
        <w:t>38,130</w:t>
      </w:r>
      <w:bookmarkStart w:id="0" w:name="_GoBack"/>
      <w:bookmarkEnd w:id="0"/>
      <w:r w:rsidRPr="004F41BF">
        <w:rPr>
          <w:rFonts w:ascii="Times New Roman" w:hAnsi="Times New Roman" w:cs="Times New Roman"/>
          <w:b/>
          <w:sz w:val="24"/>
          <w:szCs w:val="24"/>
        </w:rPr>
        <w:t xml:space="preserve"> US Dollar</w:t>
      </w:r>
      <w:r>
        <w:rPr>
          <w:rFonts w:ascii="Times New Roman" w:hAnsi="Times New Roman" w:cs="Times New Roman"/>
          <w:sz w:val="24"/>
          <w:szCs w:val="24"/>
        </w:rPr>
        <w:t xml:space="preserve"> ( </w:t>
      </w:r>
      <w:r w:rsidRPr="004F41BF">
        <w:rPr>
          <w:rFonts w:ascii="Times New Roman" w:hAnsi="Times New Roman" w:cs="Times New Roman"/>
          <w:i/>
          <w:sz w:val="24"/>
          <w:szCs w:val="24"/>
        </w:rPr>
        <w:t>see attachment</w:t>
      </w:r>
      <w:r>
        <w:rPr>
          <w:rFonts w:ascii="Times New Roman" w:hAnsi="Times New Roman" w:cs="Times New Roman"/>
          <w:sz w:val="24"/>
          <w:szCs w:val="24"/>
        </w:rPr>
        <w:t xml:space="preserve"> ) .  Scale Up  will bear the cost for office and  stationary.</w:t>
      </w:r>
    </w:p>
    <w:sectPr w:rsidR="004F2349" w:rsidRPr="004F2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B6C96"/>
    <w:multiLevelType w:val="hybridMultilevel"/>
    <w:tmpl w:val="8A484F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49"/>
    <w:rsid w:val="00271672"/>
    <w:rsid w:val="004F2349"/>
    <w:rsid w:val="004F41BF"/>
    <w:rsid w:val="00FF29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234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F2349"/>
    <w:rPr>
      <w:rFonts w:ascii="Consolas" w:hAnsi="Consolas" w:cs="Consolas"/>
      <w:sz w:val="20"/>
      <w:szCs w:val="20"/>
    </w:rPr>
  </w:style>
  <w:style w:type="table" w:styleId="TableGrid">
    <w:name w:val="Table Grid"/>
    <w:basedOn w:val="TableNormal"/>
    <w:uiPriority w:val="59"/>
    <w:rsid w:val="004F234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2349"/>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234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F2349"/>
    <w:rPr>
      <w:rFonts w:ascii="Consolas" w:hAnsi="Consolas" w:cs="Consolas"/>
      <w:sz w:val="20"/>
      <w:szCs w:val="20"/>
    </w:rPr>
  </w:style>
  <w:style w:type="table" w:styleId="TableGrid">
    <w:name w:val="Table Grid"/>
    <w:basedOn w:val="TableNormal"/>
    <w:uiPriority w:val="59"/>
    <w:rsid w:val="004F234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2349"/>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57931">
      <w:bodyDiv w:val="1"/>
      <w:marLeft w:val="0"/>
      <w:marRight w:val="0"/>
      <w:marTop w:val="0"/>
      <w:marBottom w:val="0"/>
      <w:divBdr>
        <w:top w:val="none" w:sz="0" w:space="0" w:color="auto"/>
        <w:left w:val="none" w:sz="0" w:space="0" w:color="auto"/>
        <w:bottom w:val="none" w:sz="0" w:space="0" w:color="auto"/>
        <w:right w:val="none" w:sz="0" w:space="0" w:color="auto"/>
      </w:divBdr>
    </w:div>
    <w:div w:id="736827756">
      <w:bodyDiv w:val="1"/>
      <w:marLeft w:val="0"/>
      <w:marRight w:val="0"/>
      <w:marTop w:val="0"/>
      <w:marBottom w:val="0"/>
      <w:divBdr>
        <w:top w:val="none" w:sz="0" w:space="0" w:color="auto"/>
        <w:left w:val="none" w:sz="0" w:space="0" w:color="auto"/>
        <w:bottom w:val="none" w:sz="0" w:space="0" w:color="auto"/>
        <w:right w:val="none" w:sz="0" w:space="0" w:color="auto"/>
      </w:divBdr>
    </w:div>
    <w:div w:id="912282079">
      <w:bodyDiv w:val="1"/>
      <w:marLeft w:val="0"/>
      <w:marRight w:val="0"/>
      <w:marTop w:val="0"/>
      <w:marBottom w:val="0"/>
      <w:divBdr>
        <w:top w:val="none" w:sz="0" w:space="0" w:color="auto"/>
        <w:left w:val="none" w:sz="0" w:space="0" w:color="auto"/>
        <w:bottom w:val="none" w:sz="0" w:space="0" w:color="auto"/>
        <w:right w:val="none" w:sz="0" w:space="0" w:color="auto"/>
      </w:divBdr>
    </w:div>
    <w:div w:id="934215987">
      <w:bodyDiv w:val="1"/>
      <w:marLeft w:val="0"/>
      <w:marRight w:val="0"/>
      <w:marTop w:val="0"/>
      <w:marBottom w:val="0"/>
      <w:divBdr>
        <w:top w:val="none" w:sz="0" w:space="0" w:color="auto"/>
        <w:left w:val="none" w:sz="0" w:space="0" w:color="auto"/>
        <w:bottom w:val="none" w:sz="0" w:space="0" w:color="auto"/>
        <w:right w:val="none" w:sz="0" w:space="0" w:color="auto"/>
      </w:divBdr>
    </w:div>
    <w:div w:id="1232421775">
      <w:bodyDiv w:val="1"/>
      <w:marLeft w:val="0"/>
      <w:marRight w:val="0"/>
      <w:marTop w:val="0"/>
      <w:marBottom w:val="0"/>
      <w:divBdr>
        <w:top w:val="none" w:sz="0" w:space="0" w:color="auto"/>
        <w:left w:val="none" w:sz="0" w:space="0" w:color="auto"/>
        <w:bottom w:val="none" w:sz="0" w:space="0" w:color="auto"/>
        <w:right w:val="none" w:sz="0" w:space="0" w:color="auto"/>
      </w:divBdr>
    </w:div>
    <w:div w:id="1642074453">
      <w:bodyDiv w:val="1"/>
      <w:marLeft w:val="0"/>
      <w:marRight w:val="0"/>
      <w:marTop w:val="0"/>
      <w:marBottom w:val="0"/>
      <w:divBdr>
        <w:top w:val="none" w:sz="0" w:space="0" w:color="auto"/>
        <w:left w:val="none" w:sz="0" w:space="0" w:color="auto"/>
        <w:bottom w:val="none" w:sz="0" w:space="0" w:color="auto"/>
        <w:right w:val="none" w:sz="0" w:space="0" w:color="auto"/>
      </w:divBdr>
    </w:div>
    <w:div w:id="19891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dc:creator>
  <cp:lastModifiedBy>F-HP</cp:lastModifiedBy>
  <cp:revision>2</cp:revision>
  <dcterms:created xsi:type="dcterms:W3CDTF">2019-08-25T13:24:00Z</dcterms:created>
  <dcterms:modified xsi:type="dcterms:W3CDTF">2019-08-25T13:24:00Z</dcterms:modified>
</cp:coreProperties>
</file>