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C2" w:rsidRDefault="003A6FC2">
      <w:pPr>
        <w:pStyle w:val="BodyText"/>
        <w:spacing w:before="5"/>
        <w:ind w:left="0" w:firstLine="0"/>
        <w:rPr>
          <w:rFonts w:ascii="Times New Roman"/>
          <w:sz w:val="16"/>
        </w:rPr>
      </w:pPr>
    </w:p>
    <w:p w:rsidR="003A6FC2" w:rsidRDefault="000426F1" w:rsidP="000426F1">
      <w:pPr>
        <w:ind w:left="3802"/>
        <w:rPr>
          <w:b/>
          <w:sz w:val="32"/>
        </w:rPr>
      </w:pPr>
      <w:r>
        <w:rPr>
          <w:b/>
          <w:color w:val="808080"/>
          <w:sz w:val="32"/>
        </w:rPr>
        <w:t xml:space="preserve">    ALUMNI PROGRAMME</w:t>
      </w:r>
    </w:p>
    <w:p w:rsidR="003A6FC2" w:rsidRDefault="002110E4" w:rsidP="000426F1">
      <w:pPr>
        <w:pStyle w:val="Heading1"/>
        <w:spacing w:before="120"/>
        <w:ind w:left="3298" w:firstLine="0"/>
      </w:pPr>
      <w:r>
        <w:rPr>
          <w:color w:val="808080"/>
        </w:rPr>
        <w:t>A BRIEF OVERVIEW FOR PROSPECTIVE DONORS</w:t>
      </w:r>
    </w:p>
    <w:p w:rsidR="003A6FC2" w:rsidRPr="002110E4" w:rsidRDefault="003A6FC2">
      <w:pPr>
        <w:pStyle w:val="BodyText"/>
        <w:spacing w:before="2"/>
        <w:ind w:left="0" w:firstLine="0"/>
        <w:rPr>
          <w:b/>
          <w:sz w:val="28"/>
        </w:rPr>
      </w:pPr>
    </w:p>
    <w:p w:rsidR="003A6FC2" w:rsidRDefault="002110E4" w:rsidP="000426F1">
      <w:pPr>
        <w:ind w:left="900" w:right="830"/>
        <w:rPr>
          <w:b/>
        </w:rPr>
      </w:pPr>
      <w:r>
        <w:rPr>
          <w:b/>
          <w:color w:val="808080"/>
        </w:rPr>
        <w:t>WHAT IS GREAT GIRLS?</w:t>
      </w:r>
    </w:p>
    <w:p w:rsidR="003A6FC2" w:rsidRDefault="009D6177" w:rsidP="000426F1">
      <w:pPr>
        <w:spacing w:before="1"/>
        <w:ind w:left="900" w:right="830"/>
        <w:rPr>
          <w:b/>
        </w:rPr>
      </w:pPr>
      <w:hyperlink r:id="rId8">
        <w:r w:rsidR="002110E4">
          <w:rPr>
            <w:b/>
            <w:color w:val="0000FF"/>
            <w:u w:val="thick" w:color="0000FF"/>
          </w:rPr>
          <w:t>Watch</w:t>
        </w:r>
        <w:r w:rsidR="000426F1">
          <w:rPr>
            <w:b/>
            <w:color w:val="0000FF"/>
            <w:u w:val="thick" w:color="0000FF"/>
          </w:rPr>
          <w:t xml:space="preserve"> Video</w:t>
        </w:r>
        <w:r w:rsidR="002110E4">
          <w:rPr>
            <w:b/>
            <w:color w:val="0000FF"/>
            <w:u w:val="thick" w:color="0000FF"/>
          </w:rPr>
          <w:t xml:space="preserve">: A Look </w:t>
        </w:r>
        <w:proofErr w:type="gramStart"/>
        <w:r w:rsidR="002110E4">
          <w:rPr>
            <w:b/>
            <w:color w:val="0000FF"/>
            <w:u w:val="thick" w:color="0000FF"/>
          </w:rPr>
          <w:t>Into</w:t>
        </w:r>
        <w:proofErr w:type="gramEnd"/>
        <w:r w:rsidR="002110E4">
          <w:rPr>
            <w:b/>
            <w:color w:val="0000FF"/>
            <w:u w:val="thick" w:color="0000FF"/>
          </w:rPr>
          <w:t xml:space="preserve"> What Great Girls Is All About</w:t>
        </w:r>
      </w:hyperlink>
    </w:p>
    <w:p w:rsidR="003A6FC2" w:rsidRDefault="003A6FC2" w:rsidP="000426F1">
      <w:pPr>
        <w:pStyle w:val="BodyText"/>
        <w:spacing w:before="1"/>
        <w:ind w:left="900" w:right="830" w:firstLine="0"/>
        <w:rPr>
          <w:b/>
          <w:sz w:val="14"/>
        </w:rPr>
      </w:pPr>
    </w:p>
    <w:p w:rsidR="003A6FC2" w:rsidRDefault="002110E4" w:rsidP="000426F1">
      <w:pPr>
        <w:pStyle w:val="BodyText"/>
        <w:spacing w:before="94"/>
        <w:ind w:left="900" w:right="830" w:firstLine="0"/>
        <w:jc w:val="both"/>
      </w:pPr>
      <w:r>
        <w:rPr>
          <w:color w:val="808080"/>
        </w:rPr>
        <w:t xml:space="preserve">Great Girls is a non-profit project run by a diverse group of women in Cape </w:t>
      </w:r>
      <w:r w:rsidR="000426F1">
        <w:rPr>
          <w:color w:val="808080"/>
        </w:rPr>
        <w:t>Town, which</w:t>
      </w:r>
      <w:r>
        <w:rPr>
          <w:color w:val="808080"/>
        </w:rPr>
        <w:t xml:space="preserve"> aims to bridge the gap between high-school education and full-time employment for disadvantaged girls.</w:t>
      </w:r>
    </w:p>
    <w:p w:rsidR="003A6FC2" w:rsidRDefault="003A6FC2" w:rsidP="000426F1">
      <w:pPr>
        <w:pStyle w:val="BodyText"/>
        <w:spacing w:before="9"/>
        <w:ind w:left="900" w:right="830" w:firstLine="0"/>
        <w:rPr>
          <w:sz w:val="21"/>
        </w:rPr>
      </w:pPr>
    </w:p>
    <w:p w:rsidR="003A6FC2" w:rsidRDefault="002110E4" w:rsidP="000426F1">
      <w:pPr>
        <w:pStyle w:val="BodyText"/>
        <w:ind w:left="900" w:right="830" w:firstLine="0"/>
        <w:jc w:val="both"/>
      </w:pPr>
      <w:r>
        <w:rPr>
          <w:color w:val="808080"/>
        </w:rPr>
        <w:t>We volunteer our time and expertise with young women in grade 11 and 12 who are looking for support. Our goal is to ensure that South African girls leave high school equipped with the skills to either find meaningful full-time employment or to pursue further studies.</w:t>
      </w:r>
    </w:p>
    <w:p w:rsidR="003A6FC2" w:rsidRDefault="003A6FC2" w:rsidP="000426F1">
      <w:pPr>
        <w:pStyle w:val="BodyText"/>
        <w:spacing w:before="3"/>
        <w:ind w:left="900" w:right="830" w:firstLine="0"/>
      </w:pPr>
    </w:p>
    <w:p w:rsidR="003A6FC2" w:rsidRDefault="002110E4" w:rsidP="000426F1">
      <w:pPr>
        <w:pStyle w:val="BodyText"/>
        <w:ind w:left="900" w:right="830" w:firstLine="0"/>
        <w:jc w:val="both"/>
      </w:pPr>
      <w:r>
        <w:rPr>
          <w:color w:val="808080"/>
        </w:rPr>
        <w:t>Through practical workshops and mentoring, Great Girls coaches its participants on elements that range from interview technique and CV writing to budgeting, eloquence, confidence-building and assertiveness, paving the way for a well-rounded individual capable of carving out their own successful career path, regardless of their background.</w:t>
      </w:r>
    </w:p>
    <w:p w:rsidR="003A6FC2" w:rsidRDefault="003A6FC2" w:rsidP="000426F1">
      <w:pPr>
        <w:pStyle w:val="BodyText"/>
        <w:spacing w:before="9"/>
        <w:ind w:left="900" w:right="830" w:firstLine="0"/>
        <w:rPr>
          <w:sz w:val="21"/>
        </w:rPr>
      </w:pPr>
    </w:p>
    <w:p w:rsidR="003A6FC2" w:rsidRDefault="002110E4" w:rsidP="000426F1">
      <w:pPr>
        <w:pStyle w:val="BodyText"/>
        <w:ind w:left="900" w:right="830" w:firstLine="0"/>
        <w:jc w:val="both"/>
      </w:pPr>
      <w:r>
        <w:rPr>
          <w:color w:val="808080"/>
        </w:rPr>
        <w:t>Great Girls nourishes ambition, assists girls who wish to study further, and helps participants search successfully for jobs and bursaries.</w:t>
      </w:r>
    </w:p>
    <w:p w:rsidR="003A6FC2" w:rsidRDefault="002110E4" w:rsidP="008F38F5">
      <w:pPr>
        <w:pStyle w:val="Heading1"/>
        <w:spacing w:before="200"/>
        <w:ind w:left="180" w:right="830" w:firstLine="720"/>
        <w:jc w:val="both"/>
      </w:pPr>
      <w:bookmarkStart w:id="0" w:name="_GoBack"/>
      <w:bookmarkEnd w:id="0"/>
      <w:r>
        <w:rPr>
          <w:color w:val="808080"/>
        </w:rPr>
        <w:t>HOW GREAT GIRLS WORKS</w:t>
      </w:r>
    </w:p>
    <w:p w:rsidR="003A6FC2" w:rsidRDefault="002110E4" w:rsidP="000426F1">
      <w:pPr>
        <w:pStyle w:val="BodyText"/>
        <w:spacing w:before="5"/>
        <w:ind w:left="900" w:right="830" w:firstLine="0"/>
        <w:jc w:val="both"/>
      </w:pPr>
      <w:proofErr w:type="gramStart"/>
      <w:r>
        <w:rPr>
          <w:color w:val="808080"/>
        </w:rPr>
        <w:t xml:space="preserve">Great Girls partners with high schools </w:t>
      </w:r>
      <w:r>
        <w:rPr>
          <w:color w:val="808080"/>
          <w:spacing w:val="-3"/>
        </w:rPr>
        <w:t xml:space="preserve">in </w:t>
      </w:r>
      <w:r>
        <w:rPr>
          <w:color w:val="808080"/>
        </w:rPr>
        <w:t xml:space="preserve">disadvantaged communities, offering grade 11 and </w:t>
      </w:r>
      <w:r w:rsidR="000426F1">
        <w:rPr>
          <w:color w:val="808080"/>
        </w:rPr>
        <w:t>12 girls</w:t>
      </w:r>
      <w:r>
        <w:rPr>
          <w:color w:val="808080"/>
        </w:rPr>
        <w:t xml:space="preserve"> the chance to </w:t>
      </w:r>
      <w:r w:rsidR="000426F1">
        <w:rPr>
          <w:color w:val="808080"/>
        </w:rPr>
        <w:t>enroll</w:t>
      </w:r>
      <w:r>
        <w:rPr>
          <w:color w:val="808080"/>
        </w:rPr>
        <w:t xml:space="preserve"> </w:t>
      </w:r>
      <w:r>
        <w:rPr>
          <w:color w:val="808080"/>
          <w:spacing w:val="-3"/>
        </w:rPr>
        <w:t xml:space="preserve">in </w:t>
      </w:r>
      <w:r>
        <w:rPr>
          <w:color w:val="808080"/>
        </w:rPr>
        <w:t xml:space="preserve">a two-month ‘main’ </w:t>
      </w:r>
      <w:proofErr w:type="spellStart"/>
      <w:r>
        <w:rPr>
          <w:color w:val="808080"/>
        </w:rPr>
        <w:t>programme</w:t>
      </w:r>
      <w:proofErr w:type="spellEnd"/>
      <w:r>
        <w:rPr>
          <w:color w:val="808080"/>
        </w:rPr>
        <w:t>.</w:t>
      </w:r>
      <w:proofErr w:type="gramEnd"/>
      <w:r>
        <w:rPr>
          <w:color w:val="808080"/>
        </w:rPr>
        <w:t xml:space="preserve"> Participants attend the modules (five modules over two months), work on homework and assignments between modules, and are mentored throughout by a Great Girls ambassador</w:t>
      </w:r>
      <w:r w:rsidR="000426F1">
        <w:rPr>
          <w:color w:val="808080"/>
        </w:rPr>
        <w:t xml:space="preserve"> known as a Pod Mentor</w:t>
      </w:r>
      <w:r>
        <w:rPr>
          <w:color w:val="808080"/>
        </w:rPr>
        <w:t>. Topics</w:t>
      </w:r>
      <w:r>
        <w:rPr>
          <w:color w:val="808080"/>
          <w:spacing w:val="-24"/>
        </w:rPr>
        <w:t xml:space="preserve"> </w:t>
      </w:r>
      <w:r>
        <w:rPr>
          <w:color w:val="808080"/>
        </w:rPr>
        <w:t>include:</w:t>
      </w:r>
    </w:p>
    <w:p w:rsidR="000426F1" w:rsidRDefault="002110E4" w:rsidP="000426F1">
      <w:pPr>
        <w:pStyle w:val="ListParagraph"/>
        <w:numPr>
          <w:ilvl w:val="0"/>
          <w:numId w:val="2"/>
        </w:numPr>
        <w:tabs>
          <w:tab w:val="left" w:pos="1980"/>
        </w:tabs>
        <w:spacing w:line="269" w:lineRule="exact"/>
        <w:ind w:left="1800"/>
      </w:pPr>
      <w:r>
        <w:rPr>
          <w:color w:val="808080"/>
        </w:rPr>
        <w:t>How to create a strong</w:t>
      </w:r>
      <w:r>
        <w:rPr>
          <w:color w:val="808080"/>
          <w:spacing w:val="-6"/>
        </w:rPr>
        <w:t xml:space="preserve"> </w:t>
      </w:r>
      <w:r>
        <w:rPr>
          <w:color w:val="808080"/>
          <w:spacing w:val="-3"/>
        </w:rPr>
        <w:t>CV</w:t>
      </w:r>
      <w:r w:rsidR="000426F1">
        <w:rPr>
          <w:color w:val="808080"/>
          <w:spacing w:val="-3"/>
        </w:rPr>
        <w:t xml:space="preserve"> and </w:t>
      </w:r>
      <w:r w:rsidR="000426F1">
        <w:rPr>
          <w:color w:val="808080"/>
        </w:rPr>
        <w:t>How to identify appropriate jobs and apply for</w:t>
      </w:r>
      <w:r w:rsidR="000426F1">
        <w:rPr>
          <w:color w:val="808080"/>
          <w:spacing w:val="-32"/>
        </w:rPr>
        <w:t xml:space="preserve"> </w:t>
      </w:r>
      <w:r w:rsidR="000426F1">
        <w:rPr>
          <w:color w:val="808080"/>
        </w:rPr>
        <w:t>them</w:t>
      </w:r>
    </w:p>
    <w:p w:rsidR="000426F1" w:rsidRDefault="002110E4" w:rsidP="000426F1">
      <w:pPr>
        <w:pStyle w:val="ListParagraph"/>
        <w:numPr>
          <w:ilvl w:val="0"/>
          <w:numId w:val="2"/>
        </w:numPr>
        <w:tabs>
          <w:tab w:val="left" w:pos="1980"/>
        </w:tabs>
        <w:spacing w:line="269" w:lineRule="exact"/>
        <w:ind w:left="1800" w:right="560"/>
      </w:pPr>
      <w:r>
        <w:rPr>
          <w:color w:val="808080"/>
        </w:rPr>
        <w:t>Interview</w:t>
      </w:r>
      <w:r>
        <w:rPr>
          <w:color w:val="808080"/>
          <w:spacing w:val="-6"/>
        </w:rPr>
        <w:t xml:space="preserve"> </w:t>
      </w:r>
      <w:r>
        <w:rPr>
          <w:color w:val="808080"/>
        </w:rPr>
        <w:t>technique</w:t>
      </w:r>
      <w:r w:rsidR="000426F1">
        <w:rPr>
          <w:color w:val="808080"/>
        </w:rPr>
        <w:t>s and Workplace</w:t>
      </w:r>
      <w:r w:rsidR="000426F1">
        <w:rPr>
          <w:color w:val="808080"/>
          <w:spacing w:val="-15"/>
        </w:rPr>
        <w:t xml:space="preserve"> </w:t>
      </w:r>
      <w:r w:rsidR="000426F1">
        <w:rPr>
          <w:color w:val="808080"/>
        </w:rPr>
        <w:t>communication</w:t>
      </w:r>
    </w:p>
    <w:p w:rsidR="003A6FC2" w:rsidRDefault="002110E4" w:rsidP="000426F1">
      <w:pPr>
        <w:pStyle w:val="ListParagraph"/>
        <w:numPr>
          <w:ilvl w:val="0"/>
          <w:numId w:val="2"/>
        </w:numPr>
        <w:tabs>
          <w:tab w:val="left" w:pos="1980"/>
        </w:tabs>
        <w:spacing w:line="266" w:lineRule="exact"/>
        <w:ind w:left="1800" w:right="740"/>
      </w:pPr>
      <w:r w:rsidRPr="000426F1">
        <w:rPr>
          <w:color w:val="808080"/>
        </w:rPr>
        <w:t xml:space="preserve">Basic </w:t>
      </w:r>
      <w:proofErr w:type="spellStart"/>
      <w:r w:rsidRPr="000426F1">
        <w:rPr>
          <w:color w:val="808080"/>
        </w:rPr>
        <w:t>labour</w:t>
      </w:r>
      <w:proofErr w:type="spellEnd"/>
      <w:r w:rsidRPr="000426F1">
        <w:rPr>
          <w:color w:val="808080"/>
        </w:rPr>
        <w:t xml:space="preserve"> law and introduction to the working</w:t>
      </w:r>
      <w:r w:rsidRPr="000426F1">
        <w:rPr>
          <w:color w:val="808080"/>
          <w:spacing w:val="-32"/>
        </w:rPr>
        <w:t xml:space="preserve"> </w:t>
      </w:r>
      <w:r w:rsidRPr="000426F1">
        <w:rPr>
          <w:color w:val="808080"/>
        </w:rPr>
        <w:t>environment</w:t>
      </w:r>
      <w:r w:rsidR="000426F1" w:rsidRPr="000426F1">
        <w:rPr>
          <w:color w:val="808080"/>
        </w:rPr>
        <w:t xml:space="preserve"> with </w:t>
      </w:r>
      <w:r w:rsidRPr="000426F1">
        <w:rPr>
          <w:color w:val="808080"/>
        </w:rPr>
        <w:t>Employment DOs and</w:t>
      </w:r>
      <w:r w:rsidRPr="000426F1">
        <w:rPr>
          <w:color w:val="808080"/>
          <w:spacing w:val="-11"/>
        </w:rPr>
        <w:t xml:space="preserve"> </w:t>
      </w:r>
      <w:r w:rsidRPr="000426F1">
        <w:rPr>
          <w:color w:val="808080"/>
        </w:rPr>
        <w:t>DON’Ts</w:t>
      </w:r>
    </w:p>
    <w:p w:rsidR="003A6FC2" w:rsidRDefault="002110E4" w:rsidP="000426F1">
      <w:pPr>
        <w:pStyle w:val="ListParagraph"/>
        <w:numPr>
          <w:ilvl w:val="0"/>
          <w:numId w:val="2"/>
        </w:numPr>
        <w:tabs>
          <w:tab w:val="left" w:pos="1980"/>
        </w:tabs>
        <w:spacing w:line="269" w:lineRule="exact"/>
        <w:ind w:left="1800"/>
      </w:pPr>
      <w:r>
        <w:rPr>
          <w:color w:val="808080"/>
        </w:rPr>
        <w:t>Personal grooming and appropriate workplace</w:t>
      </w:r>
      <w:r>
        <w:rPr>
          <w:color w:val="808080"/>
          <w:spacing w:val="-34"/>
        </w:rPr>
        <w:t xml:space="preserve"> </w:t>
      </w:r>
      <w:r>
        <w:rPr>
          <w:color w:val="808080"/>
        </w:rPr>
        <w:t>attire</w:t>
      </w:r>
    </w:p>
    <w:p w:rsidR="003A6FC2" w:rsidRDefault="002110E4" w:rsidP="000426F1">
      <w:pPr>
        <w:pStyle w:val="ListParagraph"/>
        <w:numPr>
          <w:ilvl w:val="0"/>
          <w:numId w:val="2"/>
        </w:numPr>
        <w:tabs>
          <w:tab w:val="left" w:pos="1980"/>
        </w:tabs>
        <w:spacing w:line="266" w:lineRule="exact"/>
        <w:ind w:left="1800"/>
      </w:pPr>
      <w:r>
        <w:rPr>
          <w:color w:val="808080"/>
        </w:rPr>
        <w:t>Further education, how to apply for bursaries and tertiary study</w:t>
      </w:r>
      <w:r>
        <w:rPr>
          <w:color w:val="808080"/>
          <w:spacing w:val="-35"/>
        </w:rPr>
        <w:t xml:space="preserve"> </w:t>
      </w:r>
      <w:r>
        <w:rPr>
          <w:color w:val="808080"/>
        </w:rPr>
        <w:t>options</w:t>
      </w:r>
    </w:p>
    <w:p w:rsidR="003A6FC2" w:rsidRDefault="002110E4" w:rsidP="000426F1">
      <w:pPr>
        <w:pStyle w:val="ListParagraph"/>
        <w:numPr>
          <w:ilvl w:val="0"/>
          <w:numId w:val="2"/>
        </w:numPr>
        <w:tabs>
          <w:tab w:val="left" w:pos="1980"/>
        </w:tabs>
        <w:spacing w:line="267" w:lineRule="exact"/>
        <w:ind w:left="1800"/>
      </w:pPr>
      <w:r>
        <w:rPr>
          <w:color w:val="808080"/>
        </w:rPr>
        <w:t>Basic</w:t>
      </w:r>
      <w:r>
        <w:rPr>
          <w:color w:val="808080"/>
          <w:spacing w:val="-7"/>
        </w:rPr>
        <w:t xml:space="preserve"> </w:t>
      </w:r>
      <w:r>
        <w:rPr>
          <w:color w:val="808080"/>
        </w:rPr>
        <w:t>budgeting</w:t>
      </w:r>
    </w:p>
    <w:p w:rsidR="003A6FC2" w:rsidRDefault="003A6FC2">
      <w:pPr>
        <w:pStyle w:val="BodyText"/>
        <w:ind w:left="0" w:firstLine="0"/>
      </w:pPr>
    </w:p>
    <w:p w:rsidR="003A6FC2" w:rsidRDefault="002110E4" w:rsidP="000426F1">
      <w:pPr>
        <w:pStyle w:val="BodyText"/>
        <w:ind w:left="900" w:right="740" w:firstLine="0"/>
        <w:jc w:val="both"/>
      </w:pPr>
      <w:r>
        <w:rPr>
          <w:color w:val="808080"/>
        </w:rPr>
        <w:t xml:space="preserve">Following on from completion of the main </w:t>
      </w:r>
      <w:proofErr w:type="spellStart"/>
      <w:r>
        <w:rPr>
          <w:color w:val="808080"/>
        </w:rPr>
        <w:t>programme</w:t>
      </w:r>
      <w:proofErr w:type="spellEnd"/>
      <w:r>
        <w:rPr>
          <w:color w:val="808080"/>
        </w:rPr>
        <w:t xml:space="preserve">, participants are invited to join our alumni community and alumni </w:t>
      </w:r>
      <w:proofErr w:type="spellStart"/>
      <w:r>
        <w:rPr>
          <w:color w:val="808080"/>
        </w:rPr>
        <w:t>programme</w:t>
      </w:r>
      <w:proofErr w:type="spellEnd"/>
      <w:r>
        <w:rPr>
          <w:color w:val="808080"/>
        </w:rPr>
        <w:t xml:space="preserve">. Participants are also directly mentored by their assigned Pod Mentor for two years after the main </w:t>
      </w:r>
      <w:proofErr w:type="spellStart"/>
      <w:r>
        <w:rPr>
          <w:color w:val="808080"/>
        </w:rPr>
        <w:t>programme</w:t>
      </w:r>
      <w:proofErr w:type="spellEnd"/>
      <w:r>
        <w:rPr>
          <w:color w:val="808080"/>
        </w:rPr>
        <w:t>.</w:t>
      </w:r>
    </w:p>
    <w:p w:rsidR="000426F1" w:rsidRPr="002110E4" w:rsidRDefault="000426F1" w:rsidP="000426F1">
      <w:pPr>
        <w:ind w:left="900"/>
        <w:jc w:val="both"/>
        <w:rPr>
          <w:sz w:val="36"/>
        </w:rPr>
      </w:pPr>
    </w:p>
    <w:p w:rsidR="000426F1" w:rsidRDefault="000426F1" w:rsidP="000426F1">
      <w:pPr>
        <w:pStyle w:val="Heading1"/>
        <w:numPr>
          <w:ilvl w:val="0"/>
          <w:numId w:val="1"/>
        </w:numPr>
        <w:tabs>
          <w:tab w:val="left" w:pos="1417"/>
        </w:tabs>
        <w:ind w:left="1170" w:hanging="283"/>
      </w:pPr>
      <w:r>
        <w:rPr>
          <w:color w:val="808080"/>
        </w:rPr>
        <w:t>ALUMNI PROGRAMME</w:t>
      </w:r>
      <w:r>
        <w:rPr>
          <w:color w:val="808080"/>
          <w:spacing w:val="-16"/>
        </w:rPr>
        <w:t xml:space="preserve"> </w:t>
      </w:r>
      <w:r>
        <w:rPr>
          <w:color w:val="808080"/>
        </w:rPr>
        <w:t>OUTLINE</w:t>
      </w:r>
    </w:p>
    <w:p w:rsidR="000426F1" w:rsidRDefault="000426F1" w:rsidP="000426F1">
      <w:pPr>
        <w:pStyle w:val="ListParagraph"/>
        <w:numPr>
          <w:ilvl w:val="0"/>
          <w:numId w:val="2"/>
        </w:numPr>
        <w:tabs>
          <w:tab w:val="left" w:pos="1980"/>
        </w:tabs>
        <w:spacing w:line="269" w:lineRule="exact"/>
        <w:ind w:left="1800" w:right="1010"/>
        <w:rPr>
          <w:color w:val="808080"/>
        </w:rPr>
      </w:pPr>
      <w:r w:rsidRPr="00C91060">
        <w:rPr>
          <w:color w:val="808080"/>
        </w:rPr>
        <w:t>Four workshops annually (quarterly) on Saturdays at the New World Foundation, Lavender Hill.</w:t>
      </w:r>
      <w:r w:rsidR="00C91060" w:rsidRPr="00C91060">
        <w:rPr>
          <w:color w:val="808080"/>
        </w:rPr>
        <w:t xml:space="preserve"> </w:t>
      </w:r>
      <w:r w:rsidR="00C91060">
        <w:rPr>
          <w:color w:val="808080"/>
        </w:rPr>
        <w:t>Workshop</w:t>
      </w:r>
      <w:r w:rsidRPr="00C91060">
        <w:rPr>
          <w:color w:val="808080"/>
        </w:rPr>
        <w:t xml:space="preserve"> content ranges from motivational talks by local female business leaders to CV clinics, goal-mapping sessions and more.</w:t>
      </w:r>
    </w:p>
    <w:p w:rsidR="00C91060" w:rsidRPr="00C91060" w:rsidRDefault="00C91060" w:rsidP="000426F1">
      <w:pPr>
        <w:pStyle w:val="ListParagraph"/>
        <w:numPr>
          <w:ilvl w:val="0"/>
          <w:numId w:val="2"/>
        </w:numPr>
        <w:tabs>
          <w:tab w:val="left" w:pos="1980"/>
        </w:tabs>
        <w:spacing w:line="269" w:lineRule="exact"/>
        <w:ind w:left="1800" w:right="1010"/>
        <w:rPr>
          <w:color w:val="808080"/>
        </w:rPr>
      </w:pPr>
      <w:r>
        <w:rPr>
          <w:color w:val="808080"/>
        </w:rPr>
        <w:t>Ongoing mentoring through face-to-face / telephonic mentor check-ins and meet ups.</w:t>
      </w:r>
    </w:p>
    <w:p w:rsidR="000426F1" w:rsidRPr="000426F1" w:rsidRDefault="000426F1" w:rsidP="000426F1">
      <w:pPr>
        <w:pStyle w:val="ListParagraph"/>
        <w:numPr>
          <w:ilvl w:val="0"/>
          <w:numId w:val="2"/>
        </w:numPr>
        <w:tabs>
          <w:tab w:val="left" w:pos="1980"/>
        </w:tabs>
        <w:spacing w:line="269" w:lineRule="exact"/>
        <w:ind w:left="1800" w:right="1010"/>
        <w:rPr>
          <w:color w:val="808080"/>
        </w:rPr>
      </w:pPr>
      <w:r>
        <w:rPr>
          <w:color w:val="808080"/>
        </w:rPr>
        <w:t>Outings throughout the year aimed at nurturing the alumni community while providing access to events and experiences otherwise outside of most alumni members’</w:t>
      </w:r>
      <w:r w:rsidRPr="000426F1">
        <w:rPr>
          <w:color w:val="808080"/>
        </w:rPr>
        <w:t xml:space="preserve"> </w:t>
      </w:r>
      <w:r>
        <w:rPr>
          <w:color w:val="808080"/>
        </w:rPr>
        <w:t>reach.</w:t>
      </w:r>
    </w:p>
    <w:p w:rsidR="000426F1" w:rsidRPr="000426F1" w:rsidRDefault="000426F1" w:rsidP="000426F1">
      <w:pPr>
        <w:pStyle w:val="ListParagraph"/>
        <w:numPr>
          <w:ilvl w:val="2"/>
          <w:numId w:val="1"/>
        </w:numPr>
        <w:tabs>
          <w:tab w:val="left" w:pos="2856"/>
          <w:tab w:val="left" w:pos="2857"/>
        </w:tabs>
        <w:spacing w:before="3" w:line="250" w:lineRule="exact"/>
        <w:ind w:right="1010"/>
      </w:pPr>
      <w:r>
        <w:rPr>
          <w:color w:val="808080"/>
        </w:rPr>
        <w:t xml:space="preserve">Examples of previous outings: </w:t>
      </w:r>
      <w:r w:rsidR="008F38F5">
        <w:rPr>
          <w:color w:val="808080"/>
        </w:rPr>
        <w:t xml:space="preserve">Learning to code, </w:t>
      </w:r>
      <w:r>
        <w:rPr>
          <w:color w:val="808080"/>
        </w:rPr>
        <w:t>swing-dance lessons, trips to the theatre etc.</w:t>
      </w:r>
    </w:p>
    <w:p w:rsidR="000426F1" w:rsidRDefault="000426F1" w:rsidP="000426F1">
      <w:pPr>
        <w:pStyle w:val="ListParagraph"/>
        <w:numPr>
          <w:ilvl w:val="2"/>
          <w:numId w:val="1"/>
        </w:numPr>
        <w:tabs>
          <w:tab w:val="left" w:pos="2856"/>
          <w:tab w:val="left" w:pos="2857"/>
        </w:tabs>
        <w:spacing w:before="3" w:line="250" w:lineRule="exact"/>
        <w:ind w:right="1010"/>
      </w:pPr>
      <w:r>
        <w:rPr>
          <w:color w:val="808080"/>
        </w:rPr>
        <w:t>Annual Outing to Green Point Park to network with new and old Great Girls</w:t>
      </w:r>
    </w:p>
    <w:p w:rsidR="000426F1" w:rsidRPr="000426F1" w:rsidRDefault="000426F1" w:rsidP="000426F1">
      <w:pPr>
        <w:pStyle w:val="ListParagraph"/>
        <w:numPr>
          <w:ilvl w:val="0"/>
          <w:numId w:val="2"/>
        </w:numPr>
        <w:tabs>
          <w:tab w:val="left" w:pos="1980"/>
        </w:tabs>
        <w:spacing w:line="269" w:lineRule="exact"/>
        <w:ind w:left="1800" w:right="1010"/>
        <w:rPr>
          <w:color w:val="808080"/>
        </w:rPr>
      </w:pPr>
      <w:r>
        <w:rPr>
          <w:color w:val="808080"/>
        </w:rPr>
        <w:t>Annual festive-season party to unite everyone and celebrate the end of the year, and to encourage goal-setting for the coming new</w:t>
      </w:r>
      <w:r w:rsidRPr="000426F1">
        <w:rPr>
          <w:color w:val="808080"/>
        </w:rPr>
        <w:t xml:space="preserve"> </w:t>
      </w:r>
      <w:r>
        <w:rPr>
          <w:color w:val="808080"/>
        </w:rPr>
        <w:t>year. Girls also receive goodie bags at this event.</w:t>
      </w:r>
    </w:p>
    <w:p w:rsidR="000426F1" w:rsidRDefault="000426F1">
      <w:pPr>
        <w:jc w:val="both"/>
        <w:sectPr w:rsidR="000426F1">
          <w:headerReference w:type="default" r:id="rId9"/>
          <w:footerReference w:type="default" r:id="rId10"/>
          <w:type w:val="continuous"/>
          <w:pgSz w:w="11900" w:h="16840"/>
          <w:pgMar w:top="1820" w:right="0" w:bottom="1500" w:left="0" w:header="278" w:footer="1301" w:gutter="0"/>
          <w:cols w:space="720"/>
        </w:sectPr>
      </w:pPr>
    </w:p>
    <w:p w:rsidR="003A6FC2" w:rsidRDefault="000426F1">
      <w:pPr>
        <w:pStyle w:val="Heading1"/>
        <w:numPr>
          <w:ilvl w:val="0"/>
          <w:numId w:val="1"/>
        </w:numPr>
        <w:tabs>
          <w:tab w:val="left" w:pos="1417"/>
        </w:tabs>
        <w:spacing w:before="94"/>
        <w:ind w:hanging="283"/>
      </w:pPr>
      <w:r>
        <w:rPr>
          <w:color w:val="808080"/>
        </w:rPr>
        <w:lastRenderedPageBreak/>
        <w:t>PURPOSE OF</w:t>
      </w:r>
      <w:r w:rsidR="002110E4">
        <w:rPr>
          <w:color w:val="808080"/>
        </w:rPr>
        <w:t xml:space="preserve"> THE </w:t>
      </w:r>
      <w:r w:rsidR="002110E4">
        <w:rPr>
          <w:color w:val="808080"/>
          <w:spacing w:val="-3"/>
        </w:rPr>
        <w:t>ALUMNI</w:t>
      </w:r>
      <w:r w:rsidR="002110E4">
        <w:rPr>
          <w:color w:val="808080"/>
          <w:spacing w:val="-8"/>
        </w:rPr>
        <w:t xml:space="preserve"> </w:t>
      </w:r>
      <w:r w:rsidR="002110E4">
        <w:rPr>
          <w:color w:val="808080"/>
        </w:rPr>
        <w:t>PROGRAMME</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 xml:space="preserve">Open to all participants who have completed the main Great Girls </w:t>
      </w:r>
      <w:proofErr w:type="spellStart"/>
      <w:r w:rsidR="000426F1">
        <w:rPr>
          <w:color w:val="808080"/>
        </w:rPr>
        <w:t>programme</w:t>
      </w:r>
      <w:proofErr w:type="spellEnd"/>
      <w:r w:rsidR="000426F1">
        <w:rPr>
          <w:color w:val="808080"/>
        </w:rPr>
        <w:t xml:space="preserve"> previously</w:t>
      </w:r>
      <w:r>
        <w:rPr>
          <w:color w:val="808080"/>
        </w:rPr>
        <w:t>.</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 xml:space="preserve">To provide continued monitoring and accountability to Great Girls </w:t>
      </w:r>
      <w:proofErr w:type="spellStart"/>
      <w:r>
        <w:rPr>
          <w:color w:val="808080"/>
        </w:rPr>
        <w:t>programme</w:t>
      </w:r>
      <w:proofErr w:type="spellEnd"/>
      <w:r>
        <w:rPr>
          <w:color w:val="808080"/>
        </w:rPr>
        <w:t xml:space="preserve"> graduates beyond their main </w:t>
      </w:r>
      <w:proofErr w:type="spellStart"/>
      <w:r>
        <w:rPr>
          <w:color w:val="808080"/>
        </w:rPr>
        <w:t>programme</w:t>
      </w:r>
      <w:proofErr w:type="spellEnd"/>
      <w:r w:rsidRPr="000426F1">
        <w:rPr>
          <w:color w:val="808080"/>
        </w:rPr>
        <w:t xml:space="preserve"> </w:t>
      </w:r>
      <w:r>
        <w:rPr>
          <w:color w:val="808080"/>
        </w:rPr>
        <w:t>completion.</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To track our alumni community and understand their successes and challenges since their graduation from the main</w:t>
      </w:r>
      <w:r w:rsidRPr="000426F1">
        <w:rPr>
          <w:color w:val="808080"/>
        </w:rPr>
        <w:t xml:space="preserve"> </w:t>
      </w:r>
      <w:proofErr w:type="spellStart"/>
      <w:r>
        <w:rPr>
          <w:color w:val="808080"/>
        </w:rPr>
        <w:t>programme</w:t>
      </w:r>
      <w:proofErr w:type="spellEnd"/>
      <w:r>
        <w:rPr>
          <w:color w:val="808080"/>
        </w:rPr>
        <w:t>.</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To encourage networking and peer motivation and accountability amongst alumni through creating a consistent community space in which issues surrounding their career and further study progress and challenges are the main</w:t>
      </w:r>
      <w:r w:rsidRPr="000426F1">
        <w:rPr>
          <w:color w:val="808080"/>
        </w:rPr>
        <w:t xml:space="preserve"> </w:t>
      </w:r>
      <w:r>
        <w:rPr>
          <w:color w:val="808080"/>
        </w:rPr>
        <w:t>focus.</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Allow Pod Mentors to check in with their mentees over and above the mandatory quarterly</w:t>
      </w:r>
      <w:r w:rsidRPr="000426F1">
        <w:rPr>
          <w:color w:val="808080"/>
        </w:rPr>
        <w:t xml:space="preserve"> </w:t>
      </w:r>
      <w:r>
        <w:rPr>
          <w:color w:val="808080"/>
        </w:rPr>
        <w:t>feedback.</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 xml:space="preserve">To feed additional career- and study-orientated content to our alumni that there was either limited time for in the main </w:t>
      </w:r>
      <w:proofErr w:type="spellStart"/>
      <w:r>
        <w:rPr>
          <w:color w:val="808080"/>
        </w:rPr>
        <w:t>programme</w:t>
      </w:r>
      <w:proofErr w:type="spellEnd"/>
      <w:r>
        <w:rPr>
          <w:color w:val="808080"/>
        </w:rPr>
        <w:t>, or that has only become relevant since their matriculation from high</w:t>
      </w:r>
      <w:r w:rsidRPr="000426F1">
        <w:rPr>
          <w:color w:val="808080"/>
        </w:rPr>
        <w:t xml:space="preserve"> </w:t>
      </w:r>
      <w:r>
        <w:rPr>
          <w:color w:val="808080"/>
        </w:rPr>
        <w:t>school.</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To enhance the prestige and pride associated with being a Great Girls graduate and alumni member and, in doing so, to increase participation and success across all Great Girls</w:t>
      </w:r>
      <w:r w:rsidRPr="000426F1">
        <w:rPr>
          <w:color w:val="808080"/>
        </w:rPr>
        <w:t xml:space="preserve"> </w:t>
      </w:r>
      <w:proofErr w:type="spellStart"/>
      <w:r>
        <w:rPr>
          <w:color w:val="808080"/>
        </w:rPr>
        <w:t>programmes</w:t>
      </w:r>
      <w:proofErr w:type="spellEnd"/>
      <w:r>
        <w:rPr>
          <w:color w:val="808080"/>
        </w:rPr>
        <w:t>.</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To nourish and engaged alumni community that through workshops, social media and outings remains plugged into the resources of Great Girls and continues to benefit from mentorship, guidance and access to further career and study</w:t>
      </w:r>
      <w:r w:rsidRPr="000426F1">
        <w:rPr>
          <w:color w:val="808080"/>
        </w:rPr>
        <w:t xml:space="preserve"> </w:t>
      </w:r>
      <w:r>
        <w:rPr>
          <w:color w:val="808080"/>
        </w:rPr>
        <w:t>opportunities.</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 xml:space="preserve">To ultimately foster new, young leaders and speakers for future Great Girls </w:t>
      </w:r>
      <w:proofErr w:type="spellStart"/>
      <w:r>
        <w:rPr>
          <w:color w:val="808080"/>
        </w:rPr>
        <w:t>programmes</w:t>
      </w:r>
      <w:proofErr w:type="spellEnd"/>
      <w:r>
        <w:rPr>
          <w:color w:val="808080"/>
        </w:rPr>
        <w:t xml:space="preserve"> from</w:t>
      </w:r>
      <w:r w:rsidRPr="000426F1">
        <w:rPr>
          <w:color w:val="808080"/>
        </w:rPr>
        <w:t xml:space="preserve"> </w:t>
      </w:r>
      <w:r>
        <w:rPr>
          <w:color w:val="808080"/>
        </w:rPr>
        <w:t>within</w:t>
      </w:r>
      <w:r w:rsidRPr="000426F1">
        <w:rPr>
          <w:color w:val="808080"/>
        </w:rPr>
        <w:t xml:space="preserve"> </w:t>
      </w:r>
      <w:r>
        <w:rPr>
          <w:color w:val="808080"/>
        </w:rPr>
        <w:t>the</w:t>
      </w:r>
      <w:r w:rsidRPr="000426F1">
        <w:rPr>
          <w:color w:val="808080"/>
        </w:rPr>
        <w:t xml:space="preserve"> </w:t>
      </w:r>
      <w:r>
        <w:rPr>
          <w:color w:val="808080"/>
        </w:rPr>
        <w:t>communities</w:t>
      </w:r>
      <w:r w:rsidRPr="000426F1">
        <w:rPr>
          <w:color w:val="808080"/>
        </w:rPr>
        <w:t xml:space="preserve"> </w:t>
      </w:r>
      <w:r>
        <w:rPr>
          <w:color w:val="808080"/>
        </w:rPr>
        <w:t>being</w:t>
      </w:r>
      <w:r w:rsidRPr="000426F1">
        <w:rPr>
          <w:color w:val="808080"/>
        </w:rPr>
        <w:t xml:space="preserve"> </w:t>
      </w:r>
      <w:r>
        <w:rPr>
          <w:color w:val="808080"/>
        </w:rPr>
        <w:t>directly</w:t>
      </w:r>
      <w:r w:rsidRPr="000426F1">
        <w:rPr>
          <w:color w:val="808080"/>
        </w:rPr>
        <w:t xml:space="preserve"> </w:t>
      </w:r>
      <w:r>
        <w:rPr>
          <w:color w:val="808080"/>
        </w:rPr>
        <w:t>impacted</w:t>
      </w:r>
      <w:r w:rsidRPr="000426F1">
        <w:rPr>
          <w:color w:val="808080"/>
        </w:rPr>
        <w:t xml:space="preserve"> </w:t>
      </w:r>
      <w:r>
        <w:rPr>
          <w:color w:val="808080"/>
        </w:rPr>
        <w:t>by</w:t>
      </w:r>
      <w:r w:rsidRPr="000426F1">
        <w:rPr>
          <w:color w:val="808080"/>
        </w:rPr>
        <w:t xml:space="preserve"> </w:t>
      </w:r>
      <w:r>
        <w:rPr>
          <w:color w:val="808080"/>
        </w:rPr>
        <w:t>current</w:t>
      </w:r>
      <w:r w:rsidRPr="000426F1">
        <w:rPr>
          <w:color w:val="808080"/>
        </w:rPr>
        <w:t xml:space="preserve"> </w:t>
      </w:r>
      <w:proofErr w:type="spellStart"/>
      <w:r>
        <w:rPr>
          <w:color w:val="808080"/>
        </w:rPr>
        <w:t>programmes</w:t>
      </w:r>
      <w:proofErr w:type="spellEnd"/>
      <w:r>
        <w:rPr>
          <w:color w:val="808080"/>
        </w:rPr>
        <w:t>.</w:t>
      </w:r>
    </w:p>
    <w:p w:rsidR="003A6FC2" w:rsidRPr="002110E4" w:rsidRDefault="003A6FC2" w:rsidP="000426F1">
      <w:pPr>
        <w:pStyle w:val="BodyText"/>
        <w:spacing w:before="4"/>
        <w:ind w:left="0" w:right="830" w:firstLine="0"/>
        <w:rPr>
          <w:sz w:val="28"/>
        </w:rPr>
      </w:pPr>
    </w:p>
    <w:p w:rsidR="003A6FC2" w:rsidRDefault="000426F1">
      <w:pPr>
        <w:pStyle w:val="Heading1"/>
        <w:numPr>
          <w:ilvl w:val="0"/>
          <w:numId w:val="1"/>
        </w:numPr>
        <w:tabs>
          <w:tab w:val="left" w:pos="1417"/>
        </w:tabs>
        <w:ind w:hanging="283"/>
      </w:pPr>
      <w:r>
        <w:rPr>
          <w:color w:val="808080"/>
        </w:rPr>
        <w:t xml:space="preserve">ALUMNI </w:t>
      </w:r>
      <w:r w:rsidR="002110E4">
        <w:rPr>
          <w:color w:val="808080"/>
        </w:rPr>
        <w:t>KEY PROJECTED</w:t>
      </w:r>
      <w:r w:rsidR="002110E4">
        <w:rPr>
          <w:color w:val="808080"/>
          <w:spacing w:val="-5"/>
        </w:rPr>
        <w:t xml:space="preserve"> </w:t>
      </w:r>
      <w:r w:rsidR="002110E4">
        <w:rPr>
          <w:color w:val="808080"/>
        </w:rPr>
        <w:t>COSTS</w:t>
      </w:r>
    </w:p>
    <w:p w:rsidR="003A6FC2" w:rsidRDefault="002110E4" w:rsidP="002110E4">
      <w:pPr>
        <w:tabs>
          <w:tab w:val="left" w:pos="1980"/>
        </w:tabs>
        <w:spacing w:line="269" w:lineRule="exact"/>
        <w:ind w:left="1170" w:right="830"/>
        <w:rPr>
          <w:color w:val="808080"/>
        </w:rPr>
      </w:pPr>
      <w:r w:rsidRPr="00C91060">
        <w:rPr>
          <w:color w:val="808080"/>
        </w:rPr>
        <w:t>Please note, almost all speakers and volunteers give of their time and skills for free. It is extremely exceptional for Great Girls to remunerate volunteers for their time.</w:t>
      </w:r>
    </w:p>
    <w:p w:rsidR="00C91060" w:rsidRDefault="00C91060" w:rsidP="002110E4">
      <w:pPr>
        <w:tabs>
          <w:tab w:val="left" w:pos="1980"/>
        </w:tabs>
        <w:spacing w:line="269" w:lineRule="exact"/>
        <w:ind w:left="1170" w:right="830"/>
        <w:rPr>
          <w:color w:val="808080"/>
        </w:rPr>
      </w:pPr>
    </w:p>
    <w:p w:rsidR="00C91060" w:rsidRPr="00C91060" w:rsidRDefault="00C91060" w:rsidP="002110E4">
      <w:pPr>
        <w:tabs>
          <w:tab w:val="left" w:pos="1980"/>
        </w:tabs>
        <w:spacing w:line="269" w:lineRule="exact"/>
        <w:ind w:left="1170" w:right="830"/>
        <w:rPr>
          <w:color w:val="808080"/>
        </w:rPr>
      </w:pPr>
      <w:r>
        <w:rPr>
          <w:color w:val="808080"/>
        </w:rPr>
        <w:t>Expenses incurred are allocated to catering, learner materials, transport and general outing expenses. Speakers are given a small gift as a token of thanks and volunteer Pod Mentors may claim for face-to-face meet up expenses in line with the Claims Procedure which limits each Pod Mentor to R280 per girl per year for her four meet ups (R70 per meet up).</w:t>
      </w:r>
    </w:p>
    <w:p w:rsidR="00C91060" w:rsidRDefault="00C91060" w:rsidP="00C91060">
      <w:pPr>
        <w:pStyle w:val="ListParagraph"/>
        <w:tabs>
          <w:tab w:val="left" w:pos="1980"/>
        </w:tabs>
        <w:spacing w:line="269" w:lineRule="exact"/>
        <w:ind w:left="1800" w:right="830" w:firstLine="0"/>
        <w:rPr>
          <w:color w:val="808080"/>
        </w:rPr>
      </w:pPr>
    </w:p>
    <w:tbl>
      <w:tblPr>
        <w:tblStyle w:val="TableGrid"/>
        <w:tblW w:w="9478" w:type="dxa"/>
        <w:tblInd w:w="14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60"/>
        <w:gridCol w:w="1918"/>
      </w:tblGrid>
      <w:tr w:rsidR="000426F1" w:rsidTr="002110E4">
        <w:tc>
          <w:tcPr>
            <w:tcW w:w="7560" w:type="dxa"/>
          </w:tcPr>
          <w:p w:rsidR="000426F1" w:rsidRDefault="00DA7DD9" w:rsidP="002110E4">
            <w:pPr>
              <w:tabs>
                <w:tab w:val="left" w:pos="1980"/>
              </w:tabs>
              <w:spacing w:before="40" w:after="40" w:line="269" w:lineRule="exact"/>
              <w:ind w:right="-198"/>
              <w:rPr>
                <w:color w:val="808080"/>
              </w:rPr>
            </w:pPr>
            <w:r>
              <w:rPr>
                <w:color w:val="808080"/>
              </w:rPr>
              <w:t>Entire 2019</w:t>
            </w:r>
            <w:r w:rsidR="00C91060">
              <w:rPr>
                <w:color w:val="808080"/>
              </w:rPr>
              <w:t xml:space="preserve"> Alumni </w:t>
            </w:r>
            <w:proofErr w:type="spellStart"/>
            <w:r w:rsidR="00C91060">
              <w:rPr>
                <w:color w:val="808080"/>
              </w:rPr>
              <w:t>Programme</w:t>
            </w:r>
            <w:proofErr w:type="spellEnd"/>
            <w:r w:rsidR="00C91060">
              <w:rPr>
                <w:color w:val="808080"/>
              </w:rPr>
              <w:t xml:space="preserve"> Costs</w:t>
            </w:r>
            <w:r>
              <w:rPr>
                <w:color w:val="808080"/>
              </w:rPr>
              <w:t xml:space="preserve"> (projection based on 2017/8</w:t>
            </w:r>
            <w:r w:rsidR="002110E4">
              <w:rPr>
                <w:color w:val="808080"/>
              </w:rPr>
              <w:t xml:space="preserve"> costs)</w:t>
            </w:r>
          </w:p>
        </w:tc>
        <w:tc>
          <w:tcPr>
            <w:tcW w:w="1918" w:type="dxa"/>
          </w:tcPr>
          <w:p w:rsidR="000426F1" w:rsidRDefault="00C91060" w:rsidP="003705BC">
            <w:pPr>
              <w:tabs>
                <w:tab w:val="left" w:pos="1980"/>
              </w:tabs>
              <w:spacing w:before="40" w:after="40" w:line="269" w:lineRule="exact"/>
              <w:ind w:right="190"/>
              <w:rPr>
                <w:color w:val="808080"/>
              </w:rPr>
            </w:pPr>
            <w:r>
              <w:rPr>
                <w:color w:val="808080"/>
              </w:rPr>
              <w:t xml:space="preserve">R </w:t>
            </w:r>
            <w:r w:rsidR="003705BC">
              <w:rPr>
                <w:color w:val="808080"/>
              </w:rPr>
              <w:t>46,353</w:t>
            </w:r>
            <w:r>
              <w:rPr>
                <w:color w:val="808080"/>
              </w:rPr>
              <w:t>.00</w:t>
            </w:r>
          </w:p>
        </w:tc>
      </w:tr>
      <w:tr w:rsidR="000426F1" w:rsidTr="002110E4">
        <w:tc>
          <w:tcPr>
            <w:tcW w:w="7560" w:type="dxa"/>
          </w:tcPr>
          <w:p w:rsidR="000426F1" w:rsidRDefault="00C91060" w:rsidP="00C91060">
            <w:pPr>
              <w:tabs>
                <w:tab w:val="left" w:pos="1980"/>
              </w:tabs>
              <w:spacing w:before="40" w:after="40" w:line="269" w:lineRule="exact"/>
              <w:ind w:right="835"/>
              <w:rPr>
                <w:color w:val="808080"/>
              </w:rPr>
            </w:pPr>
            <w:r>
              <w:rPr>
                <w:color w:val="808080"/>
              </w:rPr>
              <w:t>Cost per head based on average attendance in previous years</w:t>
            </w:r>
          </w:p>
        </w:tc>
        <w:tc>
          <w:tcPr>
            <w:tcW w:w="1918" w:type="dxa"/>
          </w:tcPr>
          <w:p w:rsidR="000426F1" w:rsidRDefault="00C91060" w:rsidP="003705BC">
            <w:pPr>
              <w:tabs>
                <w:tab w:val="left" w:pos="1980"/>
              </w:tabs>
              <w:spacing w:before="40" w:after="40" w:line="269" w:lineRule="exact"/>
              <w:ind w:right="-80"/>
              <w:rPr>
                <w:color w:val="808080"/>
              </w:rPr>
            </w:pPr>
            <w:r>
              <w:rPr>
                <w:color w:val="808080"/>
              </w:rPr>
              <w:t xml:space="preserve">R </w:t>
            </w:r>
            <w:r w:rsidR="003705BC">
              <w:rPr>
                <w:color w:val="808080"/>
              </w:rPr>
              <w:t>54</w:t>
            </w:r>
            <w:r w:rsidR="002110E4">
              <w:rPr>
                <w:color w:val="808080"/>
              </w:rPr>
              <w:t>5 per girl</w:t>
            </w:r>
          </w:p>
        </w:tc>
      </w:tr>
    </w:tbl>
    <w:p w:rsidR="000426F1" w:rsidRPr="000426F1" w:rsidRDefault="000426F1" w:rsidP="000426F1">
      <w:pPr>
        <w:tabs>
          <w:tab w:val="left" w:pos="1980"/>
        </w:tabs>
        <w:spacing w:line="269" w:lineRule="exact"/>
        <w:ind w:right="830"/>
        <w:rPr>
          <w:color w:val="808080"/>
        </w:rPr>
      </w:pPr>
    </w:p>
    <w:p w:rsidR="003A6FC2" w:rsidRPr="002110E4" w:rsidRDefault="003A6FC2">
      <w:pPr>
        <w:pStyle w:val="BodyText"/>
        <w:spacing w:before="5"/>
        <w:ind w:left="0" w:firstLine="0"/>
        <w:rPr>
          <w:sz w:val="14"/>
        </w:rPr>
      </w:pPr>
    </w:p>
    <w:p w:rsidR="003A6FC2" w:rsidRDefault="002110E4">
      <w:pPr>
        <w:pStyle w:val="Heading1"/>
        <w:numPr>
          <w:ilvl w:val="0"/>
          <w:numId w:val="1"/>
        </w:numPr>
        <w:tabs>
          <w:tab w:val="left" w:pos="1417"/>
        </w:tabs>
        <w:ind w:hanging="283"/>
      </w:pPr>
      <w:r>
        <w:rPr>
          <w:color w:val="808080"/>
        </w:rPr>
        <w:t>REPORTING &amp;</w:t>
      </w:r>
      <w:r>
        <w:rPr>
          <w:color w:val="808080"/>
          <w:spacing w:val="-12"/>
        </w:rPr>
        <w:t xml:space="preserve"> </w:t>
      </w:r>
      <w:r>
        <w:rPr>
          <w:color w:val="808080"/>
        </w:rPr>
        <w:t>ACCOUNTABILITY</w:t>
      </w:r>
    </w:p>
    <w:p w:rsidR="003A6FC2" w:rsidRPr="000426F1" w:rsidRDefault="002110E4" w:rsidP="000426F1">
      <w:pPr>
        <w:pStyle w:val="ListParagraph"/>
        <w:numPr>
          <w:ilvl w:val="0"/>
          <w:numId w:val="2"/>
        </w:numPr>
        <w:tabs>
          <w:tab w:val="left" w:pos="1980"/>
        </w:tabs>
        <w:spacing w:line="269" w:lineRule="exact"/>
        <w:ind w:left="1800" w:right="830"/>
        <w:rPr>
          <w:color w:val="808080"/>
        </w:rPr>
      </w:pPr>
      <w:r>
        <w:rPr>
          <w:color w:val="808080"/>
        </w:rPr>
        <w:t xml:space="preserve">All donors are placed onto our donor mailing list (please provide all contact info for those you </w:t>
      </w:r>
      <w:r w:rsidRPr="000426F1">
        <w:rPr>
          <w:color w:val="808080"/>
        </w:rPr>
        <w:t xml:space="preserve">wish </w:t>
      </w:r>
      <w:r>
        <w:rPr>
          <w:color w:val="808080"/>
        </w:rPr>
        <w:t>to be included in these communications). This mailing list</w:t>
      </w:r>
      <w:r w:rsidRPr="000426F1">
        <w:rPr>
          <w:color w:val="808080"/>
        </w:rPr>
        <w:t xml:space="preserve"> </w:t>
      </w:r>
      <w:r>
        <w:rPr>
          <w:color w:val="808080"/>
        </w:rPr>
        <w:t>offers:</w:t>
      </w:r>
    </w:p>
    <w:p w:rsidR="00C91060" w:rsidRPr="00C91060" w:rsidRDefault="002110E4" w:rsidP="00C91060">
      <w:pPr>
        <w:pStyle w:val="ListParagraph"/>
        <w:numPr>
          <w:ilvl w:val="2"/>
          <w:numId w:val="1"/>
        </w:numPr>
        <w:tabs>
          <w:tab w:val="left" w:pos="2856"/>
          <w:tab w:val="left" w:pos="2857"/>
        </w:tabs>
        <w:spacing w:before="7" w:line="250" w:lineRule="exact"/>
        <w:ind w:right="1139"/>
      </w:pPr>
      <w:r>
        <w:rPr>
          <w:color w:val="808080"/>
        </w:rPr>
        <w:t xml:space="preserve">Updates (minimum of quarterly) on the progress of the year’s various </w:t>
      </w:r>
      <w:proofErr w:type="spellStart"/>
      <w:r>
        <w:rPr>
          <w:color w:val="808080"/>
        </w:rPr>
        <w:t>programmes</w:t>
      </w:r>
      <w:proofErr w:type="spellEnd"/>
      <w:r>
        <w:rPr>
          <w:color w:val="808080"/>
        </w:rPr>
        <w:t xml:space="preserve"> and</w:t>
      </w:r>
      <w:r>
        <w:rPr>
          <w:color w:val="808080"/>
          <w:spacing w:val="-10"/>
        </w:rPr>
        <w:t xml:space="preserve"> </w:t>
      </w:r>
      <w:r>
        <w:rPr>
          <w:color w:val="808080"/>
        </w:rPr>
        <w:t>events.</w:t>
      </w:r>
    </w:p>
    <w:p w:rsidR="00C91060" w:rsidRDefault="00C91060" w:rsidP="00C91060">
      <w:pPr>
        <w:pStyle w:val="ListParagraph"/>
        <w:numPr>
          <w:ilvl w:val="2"/>
          <w:numId w:val="1"/>
        </w:numPr>
        <w:tabs>
          <w:tab w:val="left" w:pos="2856"/>
          <w:tab w:val="left" w:pos="2857"/>
        </w:tabs>
        <w:spacing w:before="7" w:line="250" w:lineRule="exact"/>
        <w:ind w:right="1139"/>
      </w:pPr>
      <w:r>
        <w:rPr>
          <w:color w:val="808080"/>
        </w:rPr>
        <w:t>Newsletters from time to time updating donors on Great Girls events and drives.</w:t>
      </w:r>
    </w:p>
    <w:p w:rsidR="003A6FC2" w:rsidRPr="002110E4" w:rsidRDefault="002110E4" w:rsidP="002110E4">
      <w:pPr>
        <w:pStyle w:val="ListParagraph"/>
        <w:numPr>
          <w:ilvl w:val="2"/>
          <w:numId w:val="1"/>
        </w:numPr>
        <w:tabs>
          <w:tab w:val="left" w:pos="2856"/>
          <w:tab w:val="left" w:pos="2857"/>
        </w:tabs>
        <w:spacing w:line="270" w:lineRule="exact"/>
      </w:pPr>
      <w:r>
        <w:rPr>
          <w:color w:val="808080"/>
        </w:rPr>
        <w:t>Trustee report with full AFS report</w:t>
      </w:r>
      <w:r>
        <w:rPr>
          <w:color w:val="808080"/>
          <w:spacing w:val="-21"/>
        </w:rPr>
        <w:t xml:space="preserve"> </w:t>
      </w:r>
      <w:r w:rsidR="00C91060">
        <w:rPr>
          <w:color w:val="808080"/>
        </w:rPr>
        <w:t>annually.</w:t>
      </w:r>
    </w:p>
    <w:p w:rsidR="003A6FC2" w:rsidRDefault="002110E4" w:rsidP="002110E4">
      <w:pPr>
        <w:pStyle w:val="ListParagraph"/>
        <w:numPr>
          <w:ilvl w:val="0"/>
          <w:numId w:val="2"/>
        </w:numPr>
        <w:tabs>
          <w:tab w:val="left" w:pos="1980"/>
        </w:tabs>
        <w:spacing w:line="269" w:lineRule="exact"/>
        <w:ind w:left="1800" w:right="830"/>
        <w:rPr>
          <w:color w:val="808080"/>
        </w:rPr>
      </w:pPr>
      <w:r>
        <w:rPr>
          <w:color w:val="808080"/>
        </w:rPr>
        <w:t xml:space="preserve">Further reporting structures are available on request. </w:t>
      </w:r>
      <w:r w:rsidRPr="002110E4">
        <w:rPr>
          <w:color w:val="808080"/>
        </w:rPr>
        <w:t xml:space="preserve">We </w:t>
      </w:r>
      <w:r>
        <w:rPr>
          <w:color w:val="808080"/>
        </w:rPr>
        <w:t>are happy to accommodate specific CSI reporting requirements – please just let us know of these requirements on offer of</w:t>
      </w:r>
      <w:r w:rsidRPr="002110E4">
        <w:rPr>
          <w:color w:val="808080"/>
        </w:rPr>
        <w:t xml:space="preserve"> </w:t>
      </w:r>
      <w:r>
        <w:rPr>
          <w:color w:val="808080"/>
        </w:rPr>
        <w:t>funding.</w:t>
      </w:r>
    </w:p>
    <w:p w:rsidR="002110E4" w:rsidRPr="002110E4" w:rsidRDefault="002110E4" w:rsidP="002110E4">
      <w:pPr>
        <w:tabs>
          <w:tab w:val="left" w:pos="1980"/>
        </w:tabs>
        <w:spacing w:line="269" w:lineRule="exact"/>
        <w:ind w:left="1170" w:right="830"/>
        <w:rPr>
          <w:color w:val="808080"/>
          <w:sz w:val="40"/>
        </w:rPr>
      </w:pPr>
      <w:r w:rsidRPr="002110E4">
        <w:rPr>
          <w:noProof/>
          <w:color w:val="808080"/>
          <w:sz w:val="40"/>
          <w:lang w:val="en-ZA" w:eastAsia="en-ZA"/>
        </w:rPr>
        <w:drawing>
          <wp:anchor distT="0" distB="0" distL="114300" distR="114300" simplePos="0" relativeHeight="251660288" behindDoc="1" locked="0" layoutInCell="1" allowOverlap="1">
            <wp:simplePos x="0" y="0"/>
            <wp:positionH relativeFrom="column">
              <wp:posOffset>728133</wp:posOffset>
            </wp:positionH>
            <wp:positionV relativeFrom="paragraph">
              <wp:posOffset>97366</wp:posOffset>
            </wp:positionV>
            <wp:extent cx="1405255" cy="464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05255" cy="464820"/>
                    </a:xfrm>
                    <a:prstGeom prst="rect">
                      <a:avLst/>
                    </a:prstGeom>
                  </pic:spPr>
                </pic:pic>
              </a:graphicData>
            </a:graphic>
            <wp14:sizeRelH relativeFrom="page">
              <wp14:pctWidth>0</wp14:pctWidth>
            </wp14:sizeRelH>
            <wp14:sizeRelV relativeFrom="page">
              <wp14:pctHeight>0</wp14:pctHeight>
            </wp14:sizeRelV>
          </wp:anchor>
        </w:drawing>
      </w:r>
    </w:p>
    <w:p w:rsidR="002110E4" w:rsidRPr="002110E4" w:rsidRDefault="002110E4" w:rsidP="002110E4">
      <w:pPr>
        <w:tabs>
          <w:tab w:val="left" w:pos="3907"/>
        </w:tabs>
        <w:spacing w:before="100" w:line="269" w:lineRule="exact"/>
        <w:ind w:left="1166" w:right="835"/>
        <w:rPr>
          <w:color w:val="808080"/>
          <w:sz w:val="40"/>
        </w:rPr>
      </w:pPr>
      <w:r w:rsidRPr="002110E4">
        <w:rPr>
          <w:color w:val="808080"/>
          <w:sz w:val="40"/>
        </w:rPr>
        <w:tab/>
      </w:r>
    </w:p>
    <w:p w:rsidR="002110E4" w:rsidRDefault="002110E4" w:rsidP="002110E4">
      <w:pPr>
        <w:tabs>
          <w:tab w:val="left" w:pos="1980"/>
        </w:tabs>
        <w:spacing w:line="269" w:lineRule="exact"/>
        <w:ind w:left="1170" w:right="830"/>
        <w:rPr>
          <w:color w:val="808080"/>
        </w:rPr>
      </w:pPr>
      <w:r>
        <w:rPr>
          <w:color w:val="808080"/>
        </w:rPr>
        <w:t>________________________</w:t>
      </w:r>
    </w:p>
    <w:p w:rsidR="002110E4" w:rsidRPr="002110E4" w:rsidRDefault="002110E4" w:rsidP="002110E4">
      <w:pPr>
        <w:spacing w:line="269" w:lineRule="exact"/>
        <w:ind w:left="1170" w:right="830"/>
        <w:rPr>
          <w:b/>
          <w:color w:val="808080"/>
        </w:rPr>
      </w:pPr>
      <w:r w:rsidRPr="002110E4">
        <w:rPr>
          <w:b/>
          <w:color w:val="808080"/>
        </w:rPr>
        <w:t>Kristina Miller</w:t>
      </w:r>
    </w:p>
    <w:p w:rsidR="002110E4" w:rsidRPr="002110E4" w:rsidRDefault="002110E4" w:rsidP="002110E4">
      <w:pPr>
        <w:spacing w:line="269" w:lineRule="exact"/>
        <w:ind w:left="1170" w:right="830"/>
        <w:rPr>
          <w:color w:val="808080"/>
        </w:rPr>
      </w:pPr>
      <w:r>
        <w:rPr>
          <w:color w:val="808080"/>
        </w:rPr>
        <w:t>Great Girls Founder &amp; Trustee</w:t>
      </w:r>
    </w:p>
    <w:sectPr w:rsidR="002110E4" w:rsidRPr="002110E4" w:rsidSect="002110E4">
      <w:pgSz w:w="11900" w:h="16840"/>
      <w:pgMar w:top="1820" w:right="0" w:bottom="810" w:left="0" w:header="278" w:footer="13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77" w:rsidRDefault="009D6177">
      <w:r>
        <w:separator/>
      </w:r>
    </w:p>
  </w:endnote>
  <w:endnote w:type="continuationSeparator" w:id="0">
    <w:p w:rsidR="009D6177" w:rsidRDefault="009D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FC2" w:rsidRDefault="002110E4">
    <w:pPr>
      <w:pStyle w:val="BodyText"/>
      <w:spacing w:line="14" w:lineRule="auto"/>
      <w:ind w:left="0" w:firstLine="0"/>
      <w:rPr>
        <w:sz w:val="20"/>
      </w:rPr>
    </w:pPr>
    <w:r>
      <w:rPr>
        <w:noProof/>
        <w:lang w:val="en-ZA" w:eastAsia="en-ZA"/>
      </w:rPr>
      <w:drawing>
        <wp:anchor distT="0" distB="0" distL="0" distR="0" simplePos="0" relativeHeight="268431767" behindDoc="1" locked="0" layoutInCell="1" allowOverlap="1">
          <wp:simplePos x="0" y="0"/>
          <wp:positionH relativeFrom="page">
            <wp:posOffset>2540</wp:posOffset>
          </wp:positionH>
          <wp:positionV relativeFrom="page">
            <wp:posOffset>9856894</wp:posOffset>
          </wp:positionV>
          <wp:extent cx="7500620" cy="95339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00620" cy="95339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77" w:rsidRDefault="009D6177">
      <w:r>
        <w:separator/>
      </w:r>
    </w:p>
  </w:footnote>
  <w:footnote w:type="continuationSeparator" w:id="0">
    <w:p w:rsidR="009D6177" w:rsidRDefault="009D6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FC2" w:rsidRDefault="002110E4">
    <w:pPr>
      <w:pStyle w:val="BodyText"/>
      <w:spacing w:line="14" w:lineRule="auto"/>
      <w:ind w:left="0" w:firstLine="0"/>
      <w:rPr>
        <w:sz w:val="20"/>
      </w:rPr>
    </w:pPr>
    <w:r>
      <w:rPr>
        <w:noProof/>
        <w:lang w:val="en-ZA" w:eastAsia="en-ZA"/>
      </w:rPr>
      <w:drawing>
        <wp:anchor distT="0" distB="0" distL="0" distR="0" simplePos="0" relativeHeight="268431743" behindDoc="1" locked="0" layoutInCell="1" allowOverlap="1">
          <wp:simplePos x="0" y="0"/>
          <wp:positionH relativeFrom="page">
            <wp:posOffset>1835150</wp:posOffset>
          </wp:positionH>
          <wp:positionV relativeFrom="page">
            <wp:posOffset>176529</wp:posOffset>
          </wp:positionV>
          <wp:extent cx="3883025" cy="9880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83025" cy="9880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F70E2"/>
    <w:multiLevelType w:val="hybridMultilevel"/>
    <w:tmpl w:val="C9402458"/>
    <w:lvl w:ilvl="0" w:tplc="BC662EE0">
      <w:start w:val="1"/>
      <w:numFmt w:val="decimal"/>
      <w:lvlText w:val="%1."/>
      <w:lvlJc w:val="left"/>
      <w:pPr>
        <w:ind w:left="1416" w:hanging="284"/>
        <w:jc w:val="left"/>
      </w:pPr>
      <w:rPr>
        <w:rFonts w:ascii="Arial" w:eastAsia="Arial" w:hAnsi="Arial" w:cs="Arial" w:hint="default"/>
        <w:b/>
        <w:bCs/>
        <w:color w:val="808080"/>
        <w:spacing w:val="0"/>
        <w:w w:val="100"/>
        <w:sz w:val="22"/>
        <w:szCs w:val="22"/>
      </w:rPr>
    </w:lvl>
    <w:lvl w:ilvl="1" w:tplc="BA6AEEB6">
      <w:numFmt w:val="bullet"/>
      <w:lvlText w:val=""/>
      <w:lvlJc w:val="left"/>
      <w:pPr>
        <w:ind w:left="2137" w:hanging="361"/>
      </w:pPr>
      <w:rPr>
        <w:rFonts w:ascii="Symbol" w:eastAsia="Symbol" w:hAnsi="Symbol" w:cs="Symbol" w:hint="default"/>
        <w:color w:val="808080"/>
        <w:w w:val="100"/>
        <w:sz w:val="22"/>
        <w:szCs w:val="22"/>
      </w:rPr>
    </w:lvl>
    <w:lvl w:ilvl="2" w:tplc="4DB0DFE4">
      <w:numFmt w:val="bullet"/>
      <w:lvlText w:val="o"/>
      <w:lvlJc w:val="left"/>
      <w:pPr>
        <w:ind w:left="2857" w:hanging="360"/>
      </w:pPr>
      <w:rPr>
        <w:rFonts w:ascii="Courier New" w:eastAsia="Courier New" w:hAnsi="Courier New" w:cs="Courier New" w:hint="default"/>
        <w:color w:val="808080"/>
        <w:w w:val="100"/>
        <w:sz w:val="22"/>
        <w:szCs w:val="22"/>
      </w:rPr>
    </w:lvl>
    <w:lvl w:ilvl="3" w:tplc="D46CC9BE">
      <w:numFmt w:val="bullet"/>
      <w:lvlText w:val="•"/>
      <w:lvlJc w:val="left"/>
      <w:pPr>
        <w:ind w:left="2860" w:hanging="360"/>
      </w:pPr>
      <w:rPr>
        <w:rFonts w:hint="default"/>
      </w:rPr>
    </w:lvl>
    <w:lvl w:ilvl="4" w:tplc="FE02227A">
      <w:numFmt w:val="bullet"/>
      <w:lvlText w:val="•"/>
      <w:lvlJc w:val="left"/>
      <w:pPr>
        <w:ind w:left="4151" w:hanging="360"/>
      </w:pPr>
      <w:rPr>
        <w:rFonts w:hint="default"/>
      </w:rPr>
    </w:lvl>
    <w:lvl w:ilvl="5" w:tplc="FD80D286">
      <w:numFmt w:val="bullet"/>
      <w:lvlText w:val="•"/>
      <w:lvlJc w:val="left"/>
      <w:pPr>
        <w:ind w:left="5442" w:hanging="360"/>
      </w:pPr>
      <w:rPr>
        <w:rFonts w:hint="default"/>
      </w:rPr>
    </w:lvl>
    <w:lvl w:ilvl="6" w:tplc="F86CD67A">
      <w:numFmt w:val="bullet"/>
      <w:lvlText w:val="•"/>
      <w:lvlJc w:val="left"/>
      <w:pPr>
        <w:ind w:left="6733" w:hanging="360"/>
      </w:pPr>
      <w:rPr>
        <w:rFonts w:hint="default"/>
      </w:rPr>
    </w:lvl>
    <w:lvl w:ilvl="7" w:tplc="9D544500">
      <w:numFmt w:val="bullet"/>
      <w:lvlText w:val="•"/>
      <w:lvlJc w:val="left"/>
      <w:pPr>
        <w:ind w:left="8025" w:hanging="360"/>
      </w:pPr>
      <w:rPr>
        <w:rFonts w:hint="default"/>
      </w:rPr>
    </w:lvl>
    <w:lvl w:ilvl="8" w:tplc="62D852E6">
      <w:numFmt w:val="bullet"/>
      <w:lvlText w:val="•"/>
      <w:lvlJc w:val="left"/>
      <w:pPr>
        <w:ind w:left="9316" w:hanging="360"/>
      </w:pPr>
      <w:rPr>
        <w:rFonts w:hint="default"/>
      </w:rPr>
    </w:lvl>
  </w:abstractNum>
  <w:abstractNum w:abstractNumId="1">
    <w:nsid w:val="4B9A0BB8"/>
    <w:multiLevelType w:val="hybridMultilevel"/>
    <w:tmpl w:val="ACC0CFEE"/>
    <w:lvl w:ilvl="0" w:tplc="7FE6FB32">
      <w:numFmt w:val="bullet"/>
      <w:lvlText w:val=""/>
      <w:lvlJc w:val="left"/>
      <w:pPr>
        <w:ind w:left="2137" w:hanging="361"/>
      </w:pPr>
      <w:rPr>
        <w:rFonts w:ascii="Symbol" w:eastAsia="Symbol" w:hAnsi="Symbol" w:cs="Symbol" w:hint="default"/>
        <w:color w:val="808080"/>
        <w:w w:val="100"/>
        <w:sz w:val="22"/>
        <w:szCs w:val="22"/>
      </w:rPr>
    </w:lvl>
    <w:lvl w:ilvl="1" w:tplc="3BC8CA06">
      <w:numFmt w:val="bullet"/>
      <w:lvlText w:val="•"/>
      <w:lvlJc w:val="left"/>
      <w:pPr>
        <w:ind w:left="3115" w:hanging="361"/>
      </w:pPr>
      <w:rPr>
        <w:rFonts w:hint="default"/>
      </w:rPr>
    </w:lvl>
    <w:lvl w:ilvl="2" w:tplc="01E63D7C">
      <w:numFmt w:val="bullet"/>
      <w:lvlText w:val="•"/>
      <w:lvlJc w:val="left"/>
      <w:pPr>
        <w:ind w:left="4091" w:hanging="361"/>
      </w:pPr>
      <w:rPr>
        <w:rFonts w:hint="default"/>
      </w:rPr>
    </w:lvl>
    <w:lvl w:ilvl="3" w:tplc="2DCAE6F0">
      <w:numFmt w:val="bullet"/>
      <w:lvlText w:val="•"/>
      <w:lvlJc w:val="left"/>
      <w:pPr>
        <w:ind w:left="5067" w:hanging="361"/>
      </w:pPr>
      <w:rPr>
        <w:rFonts w:hint="default"/>
      </w:rPr>
    </w:lvl>
    <w:lvl w:ilvl="4" w:tplc="3F8EB8D4">
      <w:numFmt w:val="bullet"/>
      <w:lvlText w:val="•"/>
      <w:lvlJc w:val="left"/>
      <w:pPr>
        <w:ind w:left="6043" w:hanging="361"/>
      </w:pPr>
      <w:rPr>
        <w:rFonts w:hint="default"/>
      </w:rPr>
    </w:lvl>
    <w:lvl w:ilvl="5" w:tplc="307A2E5C">
      <w:numFmt w:val="bullet"/>
      <w:lvlText w:val="•"/>
      <w:lvlJc w:val="left"/>
      <w:pPr>
        <w:ind w:left="7019" w:hanging="361"/>
      </w:pPr>
      <w:rPr>
        <w:rFonts w:hint="default"/>
      </w:rPr>
    </w:lvl>
    <w:lvl w:ilvl="6" w:tplc="0E2AD680">
      <w:numFmt w:val="bullet"/>
      <w:lvlText w:val="•"/>
      <w:lvlJc w:val="left"/>
      <w:pPr>
        <w:ind w:left="7995" w:hanging="361"/>
      </w:pPr>
      <w:rPr>
        <w:rFonts w:hint="default"/>
      </w:rPr>
    </w:lvl>
    <w:lvl w:ilvl="7" w:tplc="8FE26038">
      <w:numFmt w:val="bullet"/>
      <w:lvlText w:val="•"/>
      <w:lvlJc w:val="left"/>
      <w:pPr>
        <w:ind w:left="8971" w:hanging="361"/>
      </w:pPr>
      <w:rPr>
        <w:rFonts w:hint="default"/>
      </w:rPr>
    </w:lvl>
    <w:lvl w:ilvl="8" w:tplc="A1D6FD4E">
      <w:numFmt w:val="bullet"/>
      <w:lvlText w:val="•"/>
      <w:lvlJc w:val="left"/>
      <w:pPr>
        <w:ind w:left="9947"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C2"/>
    <w:rsid w:val="000426F1"/>
    <w:rsid w:val="002110E4"/>
    <w:rsid w:val="002973B5"/>
    <w:rsid w:val="003705BC"/>
    <w:rsid w:val="003A6FC2"/>
    <w:rsid w:val="006659A9"/>
    <w:rsid w:val="008F38F5"/>
    <w:rsid w:val="009D6177"/>
    <w:rsid w:val="00AF7DBE"/>
    <w:rsid w:val="00C91060"/>
    <w:rsid w:val="00DA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16" w:hanging="28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37" w:hanging="361"/>
    </w:pPr>
  </w:style>
  <w:style w:type="paragraph" w:styleId="ListParagraph">
    <w:name w:val="List Paragraph"/>
    <w:basedOn w:val="Normal"/>
    <w:uiPriority w:val="1"/>
    <w:qFormat/>
    <w:pPr>
      <w:ind w:left="2137" w:hanging="361"/>
    </w:pPr>
  </w:style>
  <w:style w:type="paragraph" w:customStyle="1" w:styleId="TableParagraph">
    <w:name w:val="Table Paragraph"/>
    <w:basedOn w:val="Normal"/>
    <w:uiPriority w:val="1"/>
    <w:qFormat/>
  </w:style>
  <w:style w:type="table" w:styleId="TableGrid">
    <w:name w:val="Table Grid"/>
    <w:basedOn w:val="TableNormal"/>
    <w:uiPriority w:val="39"/>
    <w:rsid w:val="00042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0E4"/>
    <w:pPr>
      <w:tabs>
        <w:tab w:val="center" w:pos="4680"/>
        <w:tab w:val="right" w:pos="9360"/>
      </w:tabs>
    </w:pPr>
  </w:style>
  <w:style w:type="character" w:customStyle="1" w:styleId="HeaderChar">
    <w:name w:val="Header Char"/>
    <w:basedOn w:val="DefaultParagraphFont"/>
    <w:link w:val="Header"/>
    <w:uiPriority w:val="99"/>
    <w:rsid w:val="002110E4"/>
    <w:rPr>
      <w:rFonts w:ascii="Arial" w:eastAsia="Arial" w:hAnsi="Arial" w:cs="Arial"/>
    </w:rPr>
  </w:style>
  <w:style w:type="paragraph" w:styleId="Footer">
    <w:name w:val="footer"/>
    <w:basedOn w:val="Normal"/>
    <w:link w:val="FooterChar"/>
    <w:uiPriority w:val="99"/>
    <w:unhideWhenUsed/>
    <w:rsid w:val="002110E4"/>
    <w:pPr>
      <w:tabs>
        <w:tab w:val="center" w:pos="4680"/>
        <w:tab w:val="right" w:pos="9360"/>
      </w:tabs>
    </w:pPr>
  </w:style>
  <w:style w:type="character" w:customStyle="1" w:styleId="FooterChar">
    <w:name w:val="Footer Char"/>
    <w:basedOn w:val="DefaultParagraphFont"/>
    <w:link w:val="Footer"/>
    <w:uiPriority w:val="99"/>
    <w:rsid w:val="002110E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16" w:hanging="28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37" w:hanging="361"/>
    </w:pPr>
  </w:style>
  <w:style w:type="paragraph" w:styleId="ListParagraph">
    <w:name w:val="List Paragraph"/>
    <w:basedOn w:val="Normal"/>
    <w:uiPriority w:val="1"/>
    <w:qFormat/>
    <w:pPr>
      <w:ind w:left="2137" w:hanging="361"/>
    </w:pPr>
  </w:style>
  <w:style w:type="paragraph" w:customStyle="1" w:styleId="TableParagraph">
    <w:name w:val="Table Paragraph"/>
    <w:basedOn w:val="Normal"/>
    <w:uiPriority w:val="1"/>
    <w:qFormat/>
  </w:style>
  <w:style w:type="table" w:styleId="TableGrid">
    <w:name w:val="Table Grid"/>
    <w:basedOn w:val="TableNormal"/>
    <w:uiPriority w:val="39"/>
    <w:rsid w:val="00042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0E4"/>
    <w:pPr>
      <w:tabs>
        <w:tab w:val="center" w:pos="4680"/>
        <w:tab w:val="right" w:pos="9360"/>
      </w:tabs>
    </w:pPr>
  </w:style>
  <w:style w:type="character" w:customStyle="1" w:styleId="HeaderChar">
    <w:name w:val="Header Char"/>
    <w:basedOn w:val="DefaultParagraphFont"/>
    <w:link w:val="Header"/>
    <w:uiPriority w:val="99"/>
    <w:rsid w:val="002110E4"/>
    <w:rPr>
      <w:rFonts w:ascii="Arial" w:eastAsia="Arial" w:hAnsi="Arial" w:cs="Arial"/>
    </w:rPr>
  </w:style>
  <w:style w:type="paragraph" w:styleId="Footer">
    <w:name w:val="footer"/>
    <w:basedOn w:val="Normal"/>
    <w:link w:val="FooterChar"/>
    <w:uiPriority w:val="99"/>
    <w:unhideWhenUsed/>
    <w:rsid w:val="002110E4"/>
    <w:pPr>
      <w:tabs>
        <w:tab w:val="center" w:pos="4680"/>
        <w:tab w:val="right" w:pos="9360"/>
      </w:tabs>
    </w:pPr>
  </w:style>
  <w:style w:type="character" w:customStyle="1" w:styleId="FooterChar">
    <w:name w:val="Footer Char"/>
    <w:basedOn w:val="DefaultParagraphFont"/>
    <w:link w:val="Footer"/>
    <w:uiPriority w:val="99"/>
    <w:rsid w:val="002110E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youtu.be/OtRAdvdqn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Markovsky</dc:creator>
  <cp:lastModifiedBy>Aisha Hariparsad</cp:lastModifiedBy>
  <cp:revision>3</cp:revision>
  <dcterms:created xsi:type="dcterms:W3CDTF">2018-05-11T15:45:00Z</dcterms:created>
  <dcterms:modified xsi:type="dcterms:W3CDTF">2019-02-28T10:25:00Z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2010</vt:lpwstr>
  </property>
  <property fmtid="{D5CDD505-2E9C-101B-9397-08002B2CF9AE}" pid="4" name="LastSaved">
    <vt:filetime>2017-11-22T00:00:00Z</vt:filetime>
  </property>
</Properties>
</file>