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B4C6E7" w:themeColor="accent1" w:themeTint="66"/>
  <w:body>
    <w:p w14:paraId="4EF7CF87" w14:textId="2C6630C6" w:rsidR="00EA6DCF" w:rsidRDefault="008D2CC1" w:rsidP="008D2CC1">
      <w:pPr>
        <w:rPr>
          <w:b/>
          <w:bCs/>
        </w:rPr>
      </w:pPr>
      <w:r>
        <w:rPr>
          <w:rFonts w:cs="Tahoma"/>
          <w:noProof/>
          <w:color w:val="FFC000"/>
          <w:sz w:val="32"/>
          <w:szCs w:val="32"/>
          <w:rtl/>
          <w:lang w:val="ar-YE" w:eastAsia="ar" w:bidi="ar-YE"/>
        </w:rPr>
        <mc:AlternateContent>
          <mc:Choice Requires="wps">
            <w:drawing>
              <wp:anchor distT="0" distB="0" distL="114300" distR="114300" simplePos="0" relativeHeight="251663360" behindDoc="0" locked="0" layoutInCell="1" allowOverlap="1" wp14:anchorId="3A061457" wp14:editId="6769EF19">
                <wp:simplePos x="0" y="0"/>
                <wp:positionH relativeFrom="page">
                  <wp:align>right</wp:align>
                </wp:positionH>
                <wp:positionV relativeFrom="paragraph">
                  <wp:posOffset>6457950</wp:posOffset>
                </wp:positionV>
                <wp:extent cx="7019925" cy="971550"/>
                <wp:effectExtent l="0" t="0" r="9525" b="0"/>
                <wp:wrapNone/>
                <wp:docPr id="995635384" name="مربع نص 5"/>
                <wp:cNvGraphicFramePr/>
                <a:graphic xmlns:a="http://schemas.openxmlformats.org/drawingml/2006/main">
                  <a:graphicData uri="http://schemas.microsoft.com/office/word/2010/wordprocessingShape">
                    <wps:wsp>
                      <wps:cNvSpPr txBox="1"/>
                      <wps:spPr>
                        <a:xfrm>
                          <a:off x="0" y="0"/>
                          <a:ext cx="7019925" cy="971550"/>
                        </a:xfrm>
                        <a:prstGeom prst="rect">
                          <a:avLst/>
                        </a:prstGeom>
                        <a:solidFill>
                          <a:srgbClr val="002060">
                            <a:alpha val="5000"/>
                          </a:srgbClr>
                        </a:solidFill>
                        <a:ln w="6350">
                          <a:noFill/>
                        </a:ln>
                        <a:effectLst>
                          <a:softEdge rad="0"/>
                        </a:effectLst>
                      </wps:spPr>
                      <wps:txbx>
                        <w:txbxContent>
                          <w:p w14:paraId="425A50B6" w14:textId="3B61AC52" w:rsidR="00EA6DCF" w:rsidRPr="008D2CC1" w:rsidRDefault="00EA6DCF" w:rsidP="008D2CC1">
                            <w:pPr>
                              <w:bidi w:val="0"/>
                              <w:ind w:left="-372"/>
                              <w:jc w:val="center"/>
                              <w:rPr>
                                <w:b/>
                                <w:bCs/>
                                <w:color w:val="002060"/>
                                <w:sz w:val="26"/>
                                <w:szCs w:val="26"/>
                                <w14:textOutline w14:w="11112" w14:cap="flat" w14:cmpd="sng" w14:algn="ctr">
                                  <w14:solidFill>
                                    <w14:schemeClr w14:val="accent2"/>
                                  </w14:solidFill>
                                  <w14:prstDash w14:val="solid"/>
                                  <w14:round/>
                                </w14:textOutline>
                              </w:rPr>
                            </w:pPr>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 xml:space="preserve">Monthly </w:t>
                            </w:r>
                            <w:proofErr w:type="spellStart"/>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Performan</w:t>
                            </w:r>
                            <w:proofErr w:type="spellEnd"/>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 xml:space="preserve"> </w:t>
                            </w:r>
                            <w:r w:rsidRPr="000740CA">
                              <w:rPr>
                                <w:b/>
                                <w:bCs/>
                                <w:color w:val="002060"/>
                                <w:sz w:val="26"/>
                                <w:szCs w:val="26"/>
                                <w14:textOutline w14:w="11112" w14:cap="flat" w14:cmpd="sng" w14:algn="ctr">
                                  <w14:solidFill>
                                    <w14:schemeClr w14:val="accent2"/>
                                  </w14:solidFill>
                                  <w14:prstDash w14:val="solid"/>
                                  <w14:round/>
                                </w14:textOutline>
                              </w:rPr>
                              <w:t xml:space="preserve">Addressing Malnutrition for Children Under Five and Pregnant and Lactating Women among IDPs and Host Communities </w:t>
                            </w:r>
                            <w:r w:rsidR="008D2CC1" w:rsidRPr="008D2CC1">
                              <w:rPr>
                                <w:b/>
                                <w:bCs/>
                                <w:color w:val="002060"/>
                                <w:sz w:val="26"/>
                                <w:szCs w:val="26"/>
                                <w14:textOutline w14:w="11112" w14:cap="flat" w14:cmpd="sng" w14:algn="ctr">
                                  <w14:solidFill>
                                    <w14:schemeClr w14:val="accent2"/>
                                  </w14:solidFill>
                                  <w14:prstDash w14:val="solid"/>
                                  <w14:round/>
                                </w14:textOutline>
                              </w:rPr>
                              <w:br/>
                            </w:r>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 xml:space="preserve">Report prepared by: Shaif </w:t>
                            </w:r>
                            <w:r w:rsidRPr="008D2CC1">
                              <w:rPr>
                                <w:rFonts w:asciiTheme="majorBidi" w:hAnsiTheme="majorBidi" w:cstheme="majorBidi"/>
                                <w:b/>
                                <w:bCs/>
                                <w:color w:val="002060"/>
                                <w:sz w:val="26"/>
                                <w:szCs w:val="26"/>
                                <w:lang w:bidi="ar-YE"/>
                                <w14:textOutline w14:w="11112" w14:cap="flat" w14:cmpd="sng" w14:algn="ctr">
                                  <w14:solidFill>
                                    <w14:schemeClr w14:val="accent2"/>
                                  </w14:solidFill>
                                  <w14:prstDash w14:val="solid"/>
                                  <w14:round/>
                                </w14:textOutline>
                              </w:rPr>
                              <w:t xml:space="preserve">Ahmed Ali </w:t>
                            </w:r>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Ezz El-Din</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61457" id="_x0000_t202" coordsize="21600,21600" o:spt="202" path="m,l,21600r21600,l21600,xe">
                <v:stroke joinstyle="miter"/>
                <v:path gradientshapeok="t" o:connecttype="rect"/>
              </v:shapetype>
              <v:shape id="مربع نص 5" o:spid="_x0000_s1026" type="#_x0000_t202" style="position:absolute;left:0;text-align:left;margin-left:501.55pt;margin-top:508.5pt;width:552.75pt;height:76.5pt;z-index:25166336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" fillcolor="#002060" stroked="f" strokeweight=".5pt">
                <v:fill opacity="3341f"/>
                <v:textbox>
                  <w:txbxContent>
                    <w:p w14:paraId="425A50B6" w14:textId="3B61AC52" w:rsidR="00EA6DCF" w:rsidRPr="008D2CC1" w:rsidRDefault="00EA6DCF" w:rsidP="008D2CC1">
                      <w:pPr>
                        <w:bidi w:val="0"/>
                        <w:ind w:left="-372"/>
                        <w:jc w:val="center"/>
                        <w:rPr>
                          <w:b/>
                          <w:bCs/>
                          <w:color w:val="002060"/>
                          <w:sz w:val="26"/>
                          <w:szCs w:val="26"/>
                          <w14:textOutline w14:w="11112" w14:cap="flat" w14:cmpd="sng" w14:algn="ctr">
                            <w14:solidFill>
                              <w14:schemeClr w14:val="accent2"/>
                            </w14:solidFill>
                            <w14:prstDash w14:val="solid"/>
                            <w14:round/>
                          </w14:textOutline>
                        </w:rPr>
                      </w:pPr>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 xml:space="preserve">Monthly </w:t>
                      </w:r>
                      <w:proofErr w:type="spellStart"/>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Performan</w:t>
                      </w:r>
                      <w:proofErr w:type="spellEnd"/>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 xml:space="preserve"> </w:t>
                      </w:r>
                      <w:r w:rsidRPr="000740CA">
                        <w:rPr>
                          <w:b/>
                          <w:bCs/>
                          <w:color w:val="002060"/>
                          <w:sz w:val="26"/>
                          <w:szCs w:val="26"/>
                          <w14:textOutline w14:w="11112" w14:cap="flat" w14:cmpd="sng" w14:algn="ctr">
                            <w14:solidFill>
                              <w14:schemeClr w14:val="accent2"/>
                            </w14:solidFill>
                            <w14:prstDash w14:val="solid"/>
                            <w14:round/>
                          </w14:textOutline>
                        </w:rPr>
                        <w:t xml:space="preserve">Addressing Malnutrition for Children Under Five and Pregnant and Lactating Women among IDPs and Host Communities </w:t>
                      </w:r>
                      <w:r w:rsidR="008D2CC1" w:rsidRPr="008D2CC1">
                        <w:rPr>
                          <w:b/>
                          <w:bCs/>
                          <w:color w:val="002060"/>
                          <w:sz w:val="26"/>
                          <w:szCs w:val="26"/>
                          <w14:textOutline w14:w="11112" w14:cap="flat" w14:cmpd="sng" w14:algn="ctr">
                            <w14:solidFill>
                              <w14:schemeClr w14:val="accent2"/>
                            </w14:solidFill>
                            <w14:prstDash w14:val="solid"/>
                            <w14:round/>
                          </w14:textOutline>
                        </w:rPr>
                        <w:br/>
                      </w:r>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 xml:space="preserve">Report prepared by: Shaif </w:t>
                      </w:r>
                      <w:r w:rsidRPr="008D2CC1">
                        <w:rPr>
                          <w:rFonts w:asciiTheme="majorBidi" w:hAnsiTheme="majorBidi" w:cstheme="majorBidi"/>
                          <w:b/>
                          <w:bCs/>
                          <w:color w:val="002060"/>
                          <w:sz w:val="26"/>
                          <w:szCs w:val="26"/>
                          <w:lang w:bidi="ar-YE"/>
                          <w14:textOutline w14:w="11112" w14:cap="flat" w14:cmpd="sng" w14:algn="ctr">
                            <w14:solidFill>
                              <w14:schemeClr w14:val="accent2"/>
                            </w14:solidFill>
                            <w14:prstDash w14:val="solid"/>
                            <w14:round/>
                          </w14:textOutline>
                        </w:rPr>
                        <w:t xml:space="preserve">Ahmed Ali </w:t>
                      </w:r>
                      <w:r w:rsidRPr="008D2CC1">
                        <w:rPr>
                          <w:rFonts w:asciiTheme="majorBidi" w:hAnsiTheme="majorBidi" w:cstheme="majorBidi"/>
                          <w:b/>
                          <w:bCs/>
                          <w:color w:val="002060"/>
                          <w:sz w:val="26"/>
                          <w:szCs w:val="26"/>
                          <w:lang w:val="en" w:bidi="ar-YE"/>
                          <w14:textOutline w14:w="11112" w14:cap="flat" w14:cmpd="sng" w14:algn="ctr">
                            <w14:solidFill>
                              <w14:schemeClr w14:val="accent2"/>
                            </w14:solidFill>
                            <w14:prstDash w14:val="solid"/>
                            <w14:round/>
                          </w14:textOutline>
                        </w:rPr>
                        <w:t>Ezz El-Din</w:t>
                      </w:r>
                    </w:p>
                  </w:txbxContent>
                </v:textbox>
                <w10:wrap anchorx="page"/>
              </v:shape>
            </w:pict>
          </mc:Fallback>
        </mc:AlternateContent>
      </w:r>
      <w:r>
        <w:rPr>
          <w:rFonts w:cs="Tahoma"/>
          <w:noProof/>
          <w:color w:val="FFC000"/>
          <w:sz w:val="32"/>
          <w:szCs w:val="32"/>
          <w:rtl/>
          <w:lang w:val="ar-YE" w:eastAsia="ar" w:bidi="ar-YE"/>
        </w:rPr>
        <mc:AlternateContent>
          <mc:Choice Requires="wpi">
            <w:drawing>
              <wp:anchor distT="0" distB="0" distL="114300" distR="114300" simplePos="0" relativeHeight="251666432" behindDoc="0" locked="0" layoutInCell="1" allowOverlap="1" wp14:anchorId="42E61FE2" wp14:editId="0305C91E">
                <wp:simplePos x="0" y="0"/>
                <wp:positionH relativeFrom="column">
                  <wp:posOffset>3018870</wp:posOffset>
                </wp:positionH>
                <wp:positionV relativeFrom="paragraph">
                  <wp:posOffset>1218945</wp:posOffset>
                </wp:positionV>
                <wp:extent cx="360" cy="360"/>
                <wp:effectExtent l="38100" t="38100" r="38100" b="38100"/>
                <wp:wrapNone/>
                <wp:docPr id="760794124" name="حبر 11"/>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20D16F7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حبر 11" o:spid="_x0000_s1026" type="#_x0000_t75" style="position:absolute;left:0;text-align:left;margin-left:237.2pt;margin-top:95.5pt;width:1.05pt;height:1.0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">
                <v:imagedata r:id="rId6" o:title=""/>
              </v:shape>
            </w:pict>
          </mc:Fallback>
        </mc:AlternateContent>
      </w:r>
      <w:r w:rsidR="00EA6DCF" w:rsidRPr="00A509CE">
        <w:rPr>
          <w:rFonts w:cs="Tahoma"/>
          <w:noProof/>
          <w:color w:val="FFC000"/>
          <w:sz w:val="32"/>
          <w:szCs w:val="32"/>
          <w:rtl/>
          <w:lang w:eastAsia="ar" w:bidi="ar-Y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2336" behindDoc="0" locked="0" layoutInCell="1" allowOverlap="1" wp14:anchorId="3BC411F6" wp14:editId="19987A12">
                <wp:simplePos x="0" y="0"/>
                <wp:positionH relativeFrom="column">
                  <wp:posOffset>-219710</wp:posOffset>
                </wp:positionH>
                <wp:positionV relativeFrom="paragraph">
                  <wp:posOffset>4445</wp:posOffset>
                </wp:positionV>
                <wp:extent cx="6972935" cy="79438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6972935" cy="7943850"/>
                        </a:xfrm>
                        <a:prstGeom prst="rect">
                          <a:avLst/>
                        </a:prstGeom>
                        <a:solidFill>
                          <a:srgbClr val="FFFFFF"/>
                        </a:solidFill>
                        <a:ln w="9525">
                          <a:noFill/>
                          <a:miter lim="800000"/>
                          <a:headEnd/>
                          <a:tailEnd/>
                        </a:ln>
                      </wps:spPr>
                      <wps:txbx>
                        <w:txbxContent>
                          <w:p w14:paraId="17BF5DB5" w14:textId="77777777" w:rsidR="00EA6DCF" w:rsidRDefault="00EA6DCF" w:rsidP="00EA6DCF">
                            <w:pPr>
                              <w:ind w:left="-513" w:firstLine="513"/>
                              <w:jc w:val="center"/>
                              <w:rPr>
                                <w:rtl/>
                                <w:lang w:bidi="ar-YE"/>
                              </w:rPr>
                            </w:pPr>
                            <w:r>
                              <w:rPr>
                                <w:rFonts w:hint="cs"/>
                                <w:noProof/>
                                <w:rtl/>
                                <w:lang w:val="ar-YE" w:bidi="ar-YE"/>
                              </w:rPr>
                              <w:drawing>
                                <wp:inline distT="0" distB="0" distL="0" distR="0" wp14:anchorId="34E49148" wp14:editId="21D78709">
                                  <wp:extent cx="6901180" cy="6038850"/>
                                  <wp:effectExtent l="0" t="0" r="0" b="0"/>
                                  <wp:docPr id="12891311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40686" name="صورة 4"/>
                                          <pic:cNvPicPr/>
                                        </pic:nvPicPr>
                                        <pic:blipFill>
                                          <a:blip r:embed="rId7">
                                            <a:extLst>
                                              <a:ext uri="{28A0092B-C50C-407E-A947-70E740481C1C}">
                                                <a14:useLocalDpi xmlns:a14="http://schemas.microsoft.com/office/drawing/2010/main" val="0"/>
                                              </a:ext>
                                            </a:extLst>
                                          </a:blip>
                                          <a:stretch>
                                            <a:fillRect/>
                                          </a:stretch>
                                        </pic:blipFill>
                                        <pic:spPr>
                                          <a:xfrm>
                                            <a:off x="0" y="0"/>
                                            <a:ext cx="6901757" cy="6039355"/>
                                          </a:xfrm>
                                          <a:prstGeom prst="rect">
                                            <a:avLst/>
                                          </a:prstGeom>
                                          <a:solidFill>
                                            <a:schemeClr val="bg1">
                                              <a:lumMod val="65000"/>
                                            </a:schemeClr>
                                          </a:solid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411F6" id="مربع نص 2" o:spid="_x0000_s1027" type="#_x0000_t202" style="position:absolute;left:0;text-align:left;margin-left:-17.3pt;margin-top:.35pt;width:549.05pt;height:625.5pt;flip:x;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" stroked="f">
                <v:textbox>
                  <w:txbxContent>
                    <w:p w14:paraId="17BF5DB5" w14:textId="77777777" w:rsidR="00EA6DCF" w:rsidRDefault="00EA6DCF" w:rsidP="00EA6DCF">
                      <w:pPr>
                        <w:ind w:left="-513" w:firstLine="513"/>
                        <w:jc w:val="center"/>
                        <w:rPr>
                          <w:rtl/>
                          <w:lang w:bidi="ar-YE"/>
                        </w:rPr>
                      </w:pPr>
                      <w:r>
                        <w:rPr>
                          <w:rFonts w:hint="cs"/>
                          <w:noProof/>
                          <w:rtl/>
                          <w:lang w:val="ar-YE" w:bidi="ar-YE"/>
                        </w:rPr>
                        <w:drawing>
                          <wp:inline distT="0" distB="0" distL="0" distR="0" wp14:anchorId="34E49148" wp14:editId="21D78709">
                            <wp:extent cx="6901180" cy="6038850"/>
                            <wp:effectExtent l="0" t="0" r="0" b="0"/>
                            <wp:docPr id="1289131199"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240686" name="صورة 4"/>
                                    <pic:cNvPicPr/>
                                  </pic:nvPicPr>
                                  <pic:blipFill>
                                    <a:blip r:embed="rId7">
                                      <a:extLst>
                                        <a:ext uri="{28A0092B-C50C-407E-A947-70E740481C1C}">
                                          <a14:useLocalDpi xmlns:a14="http://schemas.microsoft.com/office/drawing/2010/main" val="0"/>
                                        </a:ext>
                                      </a:extLst>
                                    </a:blip>
                                    <a:stretch>
                                      <a:fillRect/>
                                    </a:stretch>
                                  </pic:blipFill>
                                  <pic:spPr>
                                    <a:xfrm>
                                      <a:off x="0" y="0"/>
                                      <a:ext cx="6901757" cy="6039355"/>
                                    </a:xfrm>
                                    <a:prstGeom prst="rect">
                                      <a:avLst/>
                                    </a:prstGeom>
                                    <a:solidFill>
                                      <a:schemeClr val="bg1">
                                        <a:lumMod val="65000"/>
                                      </a:schemeClr>
                                    </a:solidFill>
                                  </pic:spPr>
                                </pic:pic>
                              </a:graphicData>
                            </a:graphic>
                          </wp:inline>
                        </w:drawing>
                      </w:r>
                    </w:p>
                  </w:txbxContent>
                </v:textbox>
                <w10:wrap type="square"/>
              </v:shape>
            </w:pict>
          </mc:Fallback>
        </mc:AlternateContent>
      </w:r>
    </w:p>
    <w:p w14:paraId="4ACFD07A" w14:textId="4051773A" w:rsidR="00EA6DCF" w:rsidRDefault="008D2CC1" w:rsidP="00EA6DCF">
      <w:pPr>
        <w:bidi w:val="0"/>
        <w:ind w:left="-450"/>
        <w:rPr>
          <w:b/>
          <w:bCs/>
        </w:rPr>
      </w:pPr>
      <w:r>
        <w:rPr>
          <w:rFonts w:cs="Tahoma"/>
          <w:noProof/>
          <w:color w:val="FFC000"/>
          <w:sz w:val="32"/>
          <w:szCs w:val="32"/>
          <w:rtl/>
          <w:lang w:val="ar-YE" w:eastAsia="ar" w:bidi="ar-YE"/>
        </w:rPr>
        <mc:AlternateContent>
          <mc:Choice Requires="wps">
            <w:drawing>
              <wp:anchor distT="0" distB="0" distL="114300" distR="114300" simplePos="0" relativeHeight="251664384" behindDoc="0" locked="0" layoutInCell="1" allowOverlap="1" wp14:anchorId="2ECC55C3" wp14:editId="5535B683">
                <wp:simplePos x="0" y="0"/>
                <wp:positionH relativeFrom="margin">
                  <wp:align>right</wp:align>
                </wp:positionH>
                <wp:positionV relativeFrom="paragraph">
                  <wp:posOffset>261620</wp:posOffset>
                </wp:positionV>
                <wp:extent cx="3450566" cy="1200150"/>
                <wp:effectExtent l="0" t="0" r="17145" b="19050"/>
                <wp:wrapNone/>
                <wp:docPr id="410867846" name="مربع نص 6"/>
                <wp:cNvGraphicFramePr/>
                <a:graphic xmlns:a="http://schemas.openxmlformats.org/drawingml/2006/main">
                  <a:graphicData uri="http://schemas.microsoft.com/office/word/2010/wordprocessingShape">
                    <wps:wsp>
                      <wps:cNvSpPr txBox="1"/>
                      <wps:spPr>
                        <a:xfrm>
                          <a:off x="0" y="0"/>
                          <a:ext cx="3450566" cy="1200150"/>
                        </a:xfrm>
                        <a:prstGeom prst="rect">
                          <a:avLst/>
                        </a:prstGeom>
                        <a:solidFill>
                          <a:schemeClr val="lt1"/>
                        </a:solidFill>
                        <a:ln w="6350">
                          <a:solidFill>
                            <a:schemeClr val="bg1"/>
                          </a:solidFill>
                        </a:ln>
                      </wps:spPr>
                      <wps:txbx>
                        <w:txbxContent>
                          <w:p w14:paraId="5EDD8979" w14:textId="498F5D2F" w:rsidR="00EA6DCF" w:rsidRPr="0050337A" w:rsidRDefault="00EA6DCF" w:rsidP="00EA6DCF">
                            <w:pPr>
                              <w:bidi w:val="0"/>
                              <w:ind w:left="-372"/>
                              <w:jc w:val="center"/>
                              <w:rPr>
                                <w:rFonts w:asciiTheme="majorBidi" w:hAnsiTheme="majorBidi" w:cstheme="majorBidi"/>
                                <w:b/>
                                <w:bCs/>
                                <w:color w:val="C00000"/>
                                <w:sz w:val="28"/>
                                <w:szCs w:val="28"/>
                                <w:lang w:val="en" w:bidi="ar-YE"/>
                              </w:rPr>
                            </w:pPr>
                            <w:r>
                              <w:rPr>
                                <w:rFonts w:asciiTheme="majorBidi" w:hAnsiTheme="majorBidi" w:cstheme="majorBidi"/>
                                <w:b/>
                                <w:bCs/>
                                <w:color w:val="C00000"/>
                                <w:sz w:val="28"/>
                                <w:szCs w:val="28"/>
                                <w:lang w:val="en" w:bidi="ar-YE"/>
                              </w:rPr>
                              <w:t>Mar</w:t>
                            </w:r>
                            <w:r w:rsidRPr="0050337A">
                              <w:rPr>
                                <w:rFonts w:asciiTheme="majorBidi" w:hAnsiTheme="majorBidi" w:cstheme="majorBidi"/>
                                <w:b/>
                                <w:bCs/>
                                <w:color w:val="C00000"/>
                                <w:sz w:val="28"/>
                                <w:szCs w:val="28"/>
                                <w:lang w:val="en" w:bidi="ar-YE"/>
                              </w:rPr>
                              <w:t xml:space="preserve"> 2025/AD</w:t>
                            </w:r>
                          </w:p>
                          <w:p w14:paraId="5458EF04" w14:textId="77777777" w:rsidR="00EA6DCF" w:rsidRPr="0050337A" w:rsidRDefault="00EA6DCF" w:rsidP="00EA6DCF">
                            <w:pPr>
                              <w:bidi w:val="0"/>
                              <w:rPr>
                                <w:rFonts w:asciiTheme="majorBidi" w:hAnsiTheme="majorBidi" w:cstheme="majorBidi"/>
                                <w:b/>
                              </w:rPr>
                            </w:pPr>
                            <w:r w:rsidRPr="0050337A">
                              <w:rPr>
                                <w:rFonts w:asciiTheme="majorBidi" w:hAnsiTheme="majorBidi" w:cstheme="majorBidi"/>
                                <w:b/>
                                <w:noProof/>
                              </w:rPr>
                              <w:drawing>
                                <wp:inline distT="0" distB="0" distL="0" distR="0" wp14:anchorId="4A06DBBA" wp14:editId="042843D8">
                                  <wp:extent cx="3552825" cy="435610"/>
                                  <wp:effectExtent l="0" t="0" r="9525" b="2540"/>
                                  <wp:docPr id="157083273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435610"/>
                                          </a:xfrm>
                                          <a:prstGeom prst="rect">
                                            <a:avLst/>
                                          </a:prstGeom>
                                          <a:noFill/>
                                          <a:ln>
                                            <a:noFill/>
                                          </a:ln>
                                        </pic:spPr>
                                      </pic:pic>
                                    </a:graphicData>
                                  </a:graphic>
                                </wp:inline>
                              </w:drawing>
                            </w:r>
                            <w:proofErr w:type="gramStart"/>
                            <w:r w:rsidRPr="00EA6DCF">
                              <w:rPr>
                                <w:rFonts w:asciiTheme="majorBidi" w:hAnsiTheme="majorBidi" w:cstheme="majorBidi"/>
                                <w:b/>
                                <w:color w:val="002060"/>
                              </w:rPr>
                              <w:t>Author :</w:t>
                            </w:r>
                            <w:proofErr w:type="gramEnd"/>
                            <w:r w:rsidRPr="00EA6DCF">
                              <w:rPr>
                                <w:rFonts w:asciiTheme="majorBidi" w:hAnsiTheme="majorBidi" w:cstheme="majorBidi"/>
                                <w:b/>
                                <w:color w:val="002060"/>
                                <w:lang w:bidi="ar-YE"/>
                              </w:rPr>
                              <w:t xml:space="preserve"> </w:t>
                            </w:r>
                            <w:r w:rsidRPr="0050337A">
                              <w:rPr>
                                <w:rFonts w:asciiTheme="majorBidi" w:hAnsiTheme="majorBidi" w:cstheme="majorBidi"/>
                                <w:b/>
                                <w:color w:val="FF6600"/>
                                <w:lang w:bidi="ar-YE"/>
                              </w:rPr>
                              <w:t xml:space="preserve">Shaif Ahmed Ali </w:t>
                            </w:r>
                            <w:proofErr w:type="spellStart"/>
                            <w:r w:rsidRPr="0050337A">
                              <w:rPr>
                                <w:rFonts w:asciiTheme="majorBidi" w:hAnsiTheme="majorBidi" w:cstheme="majorBidi"/>
                                <w:b/>
                                <w:color w:val="FF6600"/>
                                <w:lang w:bidi="ar-YE"/>
                              </w:rPr>
                              <w:t>Ezadeen</w:t>
                            </w:r>
                            <w:proofErr w:type="spellEnd"/>
                          </w:p>
                          <w:p w14:paraId="72D64C95" w14:textId="77777777" w:rsidR="00EA6DCF" w:rsidRPr="00790E33" w:rsidRDefault="00EA6DCF" w:rsidP="00EA6DCF"/>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CC55C3" id="مربع نص 6" o:spid="_x0000_s1028" type="#_x0000_t202" style="position:absolute;left:0;text-align:left;margin-left:220.5pt;margin-top:20.6pt;width:271.7pt;height:94.5pt;z-index:25166438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" fillcolor="white [3201]" strokecolor="white [3212]" strokeweight=".5pt">
                <v:textbox>
                  <w:txbxContent>
                    <w:p w14:paraId="5EDD8979" w14:textId="498F5D2F" w:rsidR="00EA6DCF" w:rsidRPr="0050337A" w:rsidRDefault="00EA6DCF" w:rsidP="00EA6DCF">
                      <w:pPr>
                        <w:bidi w:val="0"/>
                        <w:ind w:left="-372"/>
                        <w:jc w:val="center"/>
                        <w:rPr>
                          <w:rFonts w:asciiTheme="majorBidi" w:hAnsiTheme="majorBidi" w:cstheme="majorBidi"/>
                          <w:b/>
                          <w:bCs/>
                          <w:color w:val="C00000"/>
                          <w:sz w:val="28"/>
                          <w:szCs w:val="28"/>
                          <w:lang w:val="en" w:bidi="ar-YE"/>
                        </w:rPr>
                      </w:pPr>
                      <w:r>
                        <w:rPr>
                          <w:rFonts w:asciiTheme="majorBidi" w:hAnsiTheme="majorBidi" w:cstheme="majorBidi"/>
                          <w:b/>
                          <w:bCs/>
                          <w:color w:val="C00000"/>
                          <w:sz w:val="28"/>
                          <w:szCs w:val="28"/>
                          <w:lang w:val="en" w:bidi="ar-YE"/>
                        </w:rPr>
                        <w:t>Mar</w:t>
                      </w:r>
                      <w:r w:rsidRPr="0050337A">
                        <w:rPr>
                          <w:rFonts w:asciiTheme="majorBidi" w:hAnsiTheme="majorBidi" w:cstheme="majorBidi"/>
                          <w:b/>
                          <w:bCs/>
                          <w:color w:val="C00000"/>
                          <w:sz w:val="28"/>
                          <w:szCs w:val="28"/>
                          <w:lang w:val="en" w:bidi="ar-YE"/>
                        </w:rPr>
                        <w:t xml:space="preserve"> 2025/AD</w:t>
                      </w:r>
                    </w:p>
                    <w:p w14:paraId="5458EF04" w14:textId="77777777" w:rsidR="00EA6DCF" w:rsidRPr="0050337A" w:rsidRDefault="00EA6DCF" w:rsidP="00EA6DCF">
                      <w:pPr>
                        <w:bidi w:val="0"/>
                        <w:rPr>
                          <w:rFonts w:asciiTheme="majorBidi" w:hAnsiTheme="majorBidi" w:cstheme="majorBidi"/>
                          <w:b/>
                        </w:rPr>
                      </w:pPr>
                      <w:r w:rsidRPr="0050337A">
                        <w:rPr>
                          <w:rFonts w:asciiTheme="majorBidi" w:hAnsiTheme="majorBidi" w:cstheme="majorBidi"/>
                          <w:b/>
                          <w:noProof/>
                        </w:rPr>
                        <w:drawing>
                          <wp:inline distT="0" distB="0" distL="0" distR="0" wp14:anchorId="4A06DBBA" wp14:editId="042843D8">
                            <wp:extent cx="3552825" cy="435610"/>
                            <wp:effectExtent l="0" t="0" r="9525" b="2540"/>
                            <wp:docPr id="1570832730"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52825" cy="435610"/>
                                    </a:xfrm>
                                    <a:prstGeom prst="rect">
                                      <a:avLst/>
                                    </a:prstGeom>
                                    <a:noFill/>
                                    <a:ln>
                                      <a:noFill/>
                                    </a:ln>
                                  </pic:spPr>
                                </pic:pic>
                              </a:graphicData>
                            </a:graphic>
                          </wp:inline>
                        </w:drawing>
                      </w:r>
                      <w:proofErr w:type="gramStart"/>
                      <w:r w:rsidRPr="00EA6DCF">
                        <w:rPr>
                          <w:rFonts w:asciiTheme="majorBidi" w:hAnsiTheme="majorBidi" w:cstheme="majorBidi"/>
                          <w:b/>
                          <w:color w:val="002060"/>
                        </w:rPr>
                        <w:t>Author :</w:t>
                      </w:r>
                      <w:proofErr w:type="gramEnd"/>
                      <w:r w:rsidRPr="00EA6DCF">
                        <w:rPr>
                          <w:rFonts w:asciiTheme="majorBidi" w:hAnsiTheme="majorBidi" w:cstheme="majorBidi"/>
                          <w:b/>
                          <w:color w:val="002060"/>
                          <w:lang w:bidi="ar-YE"/>
                        </w:rPr>
                        <w:t xml:space="preserve"> </w:t>
                      </w:r>
                      <w:r w:rsidRPr="0050337A">
                        <w:rPr>
                          <w:rFonts w:asciiTheme="majorBidi" w:hAnsiTheme="majorBidi" w:cstheme="majorBidi"/>
                          <w:b/>
                          <w:color w:val="FF6600"/>
                          <w:lang w:bidi="ar-YE"/>
                        </w:rPr>
                        <w:t xml:space="preserve">Shaif Ahmed Ali </w:t>
                      </w:r>
                      <w:proofErr w:type="spellStart"/>
                      <w:r w:rsidRPr="0050337A">
                        <w:rPr>
                          <w:rFonts w:asciiTheme="majorBidi" w:hAnsiTheme="majorBidi" w:cstheme="majorBidi"/>
                          <w:b/>
                          <w:color w:val="FF6600"/>
                          <w:lang w:bidi="ar-YE"/>
                        </w:rPr>
                        <w:t>Ezadeen</w:t>
                      </w:r>
                      <w:proofErr w:type="spellEnd"/>
                    </w:p>
                    <w:p w14:paraId="72D64C95" w14:textId="77777777" w:rsidR="00EA6DCF" w:rsidRPr="00790E33" w:rsidRDefault="00EA6DCF" w:rsidP="00EA6DCF"/>
                  </w:txbxContent>
                </v:textbox>
                <w10:wrap anchorx="margin"/>
              </v:shape>
            </w:pict>
          </mc:Fallback>
        </mc:AlternateContent>
      </w:r>
    </w:p>
    <w:p w14:paraId="70B24356" w14:textId="64E55747" w:rsidR="00EA6DCF" w:rsidRDefault="008D2CC1" w:rsidP="00EA6DCF">
      <w:pPr>
        <w:bidi w:val="0"/>
        <w:ind w:left="-450"/>
        <w:rPr>
          <w:b/>
          <w:bCs/>
        </w:rPr>
      </w:pPr>
      <w:bookmarkStart w:id="0" w:name="_Hlk192627082"/>
      <w:bookmarkStart w:id="1" w:name="_Hlk190107117"/>
      <w:bookmarkEnd w:id="0"/>
      <w:bookmarkEnd w:id="1"/>
      <w:r>
        <w:rPr>
          <w:noProof/>
        </w:rPr>
        <w:drawing>
          <wp:inline distT="0" distB="0" distL="0" distR="0" wp14:anchorId="4D521E07" wp14:editId="6256C736">
            <wp:extent cx="2000250" cy="1076960"/>
            <wp:effectExtent l="0" t="0" r="0" b="8890"/>
            <wp:docPr id="233261223"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622154" name="صورة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000250" cy="1076960"/>
                    </a:xfrm>
                    <a:prstGeom prst="rect">
                      <a:avLst/>
                    </a:prstGeom>
                  </pic:spPr>
                </pic:pic>
              </a:graphicData>
            </a:graphic>
          </wp:inline>
        </w:drawing>
      </w:r>
    </w:p>
    <w:p w14:paraId="47A0C167" w14:textId="2AE6CEE2" w:rsidR="000740CA" w:rsidRPr="000740CA" w:rsidRDefault="000740CA" w:rsidP="008D2CC1">
      <w:pPr>
        <w:bidi w:val="0"/>
        <w:ind w:left="-450"/>
        <w:rPr>
          <w:b/>
          <w:bCs/>
          <w:color w:val="ED7D31" w:themeColor="accent2"/>
        </w:rPr>
      </w:pPr>
      <w:r w:rsidRPr="000740CA">
        <w:rPr>
          <w:b/>
          <w:bCs/>
          <w:color w:val="ED7D31" w:themeColor="accent2"/>
          <w:highlight w:val="darkBlue"/>
        </w:rPr>
        <w:lastRenderedPageBreak/>
        <w:t>Report Overview</w:t>
      </w:r>
    </w:p>
    <w:p w14:paraId="7E683E83" w14:textId="77777777" w:rsidR="000740CA" w:rsidRDefault="000740CA" w:rsidP="000740CA">
      <w:pPr>
        <w:bidi w:val="0"/>
        <w:rPr>
          <w:b/>
          <w:bCs/>
        </w:rPr>
      </w:pPr>
      <w:r w:rsidRPr="000740CA">
        <w:rPr>
          <w:b/>
          <w:bCs/>
        </w:rPr>
        <w:t>Project Name:</w:t>
      </w:r>
      <w:r w:rsidRPr="000740CA">
        <w:t xml:space="preserve"> </w:t>
      </w:r>
      <w:bookmarkStart w:id="2" w:name="_Hlk192624348"/>
      <w:r w:rsidRPr="000740CA">
        <w:t xml:space="preserve">Addressing Malnutrition for Children Under Five and Pregnant and Lactating Women among IDPs and Host Communities </w:t>
      </w:r>
      <w:r>
        <w:br/>
      </w:r>
      <w:bookmarkEnd w:id="2"/>
      <w:r w:rsidRPr="000740CA">
        <w:rPr>
          <w:b/>
          <w:bCs/>
        </w:rPr>
        <w:t>Location:</w:t>
      </w:r>
      <w:r w:rsidRPr="000740CA">
        <w:t xml:space="preserve"> Sana'a, Yemen </w:t>
      </w:r>
      <w:r>
        <w:rPr>
          <w:b/>
          <w:bCs/>
        </w:rPr>
        <w:br/>
      </w:r>
      <w:r w:rsidRPr="000740CA">
        <w:rPr>
          <w:b/>
          <w:bCs/>
        </w:rPr>
        <w:t>Reporting Period:</w:t>
      </w:r>
      <w:r w:rsidRPr="000740CA">
        <w:t xml:space="preserve"> March 2025 </w:t>
      </w:r>
      <w:r>
        <w:rPr>
          <w:b/>
          <w:bCs/>
        </w:rPr>
        <w:br/>
      </w:r>
      <w:r w:rsidRPr="000740CA">
        <w:rPr>
          <w:b/>
          <w:bCs/>
        </w:rPr>
        <w:t>Report Prepared by:</w:t>
      </w:r>
      <w:r w:rsidRPr="000740CA">
        <w:t xml:space="preserve"> </w:t>
      </w:r>
      <w:r w:rsidRPr="000761CE">
        <w:rPr>
          <w:rFonts w:asciiTheme="majorBidi" w:hAnsiTheme="majorBidi" w:cstheme="majorBidi"/>
          <w:b/>
          <w:bCs/>
          <w:color w:val="ED7D31" w:themeColor="accent2"/>
          <w:sz w:val="26"/>
          <w:szCs w:val="26"/>
          <w:lang w:bidi="ar-YE"/>
        </w:rPr>
        <w:t xml:space="preserve">Shaif Ahmed Ali </w:t>
      </w:r>
      <w:proofErr w:type="spellStart"/>
      <w:r w:rsidRPr="000761CE">
        <w:rPr>
          <w:rFonts w:asciiTheme="majorBidi" w:hAnsiTheme="majorBidi" w:cstheme="majorBidi"/>
          <w:b/>
          <w:bCs/>
          <w:color w:val="ED7D31" w:themeColor="accent2"/>
          <w:sz w:val="26"/>
          <w:szCs w:val="26"/>
          <w:lang w:bidi="ar-YE"/>
        </w:rPr>
        <w:t>Ezadeen</w:t>
      </w:r>
      <w:proofErr w:type="spellEnd"/>
      <w:r w:rsidRPr="000761CE">
        <w:rPr>
          <w:rFonts w:asciiTheme="majorBidi" w:hAnsiTheme="majorBidi" w:cstheme="majorBidi"/>
          <w:b/>
          <w:bCs/>
          <w:color w:val="ED7D31" w:themeColor="accent2"/>
          <w:sz w:val="26"/>
          <w:szCs w:val="26"/>
          <w:lang w:bidi="ar-YE"/>
        </w:rPr>
        <w:t xml:space="preserve"> </w:t>
      </w:r>
    </w:p>
    <w:p w14:paraId="7D287158" w14:textId="79D01FA4" w:rsidR="000740CA" w:rsidRPr="000740CA" w:rsidRDefault="000740CA" w:rsidP="000740CA">
      <w:pPr>
        <w:bidi w:val="0"/>
      </w:pPr>
      <w:r w:rsidRPr="000740CA">
        <w:rPr>
          <w:b/>
          <w:bCs/>
        </w:rPr>
        <w:t>Contact Information:</w:t>
      </w:r>
      <w:r w:rsidRPr="000740CA">
        <w:t xml:space="preserve"> Programs.officer@sanid.org, </w:t>
      </w:r>
      <w:r w:rsidRPr="000761CE">
        <w:rPr>
          <w:rFonts w:asciiTheme="majorBidi" w:hAnsiTheme="majorBidi" w:cstheme="majorBidi"/>
          <w:b/>
          <w:bCs/>
          <w:color w:val="ED7D31" w:themeColor="accent2"/>
          <w:sz w:val="26"/>
          <w:szCs w:val="26"/>
        </w:rPr>
        <w:t>00967778515105</w:t>
      </w:r>
    </w:p>
    <w:p w14:paraId="13913083" w14:textId="77777777" w:rsidR="000740CA" w:rsidRPr="000740CA" w:rsidRDefault="000740CA" w:rsidP="000740CA">
      <w:pPr>
        <w:bidi w:val="0"/>
        <w:rPr>
          <w:b/>
          <w:bCs/>
        </w:rPr>
      </w:pPr>
      <w:r w:rsidRPr="000740CA">
        <w:rPr>
          <w:b/>
          <w:bCs/>
        </w:rPr>
        <w:t>Project Highlights</w:t>
      </w:r>
    </w:p>
    <w:p w14:paraId="43FEC8AA" w14:textId="77777777" w:rsidR="000740CA" w:rsidRPr="000740CA" w:rsidRDefault="000740CA" w:rsidP="000740CA">
      <w:pPr>
        <w:numPr>
          <w:ilvl w:val="0"/>
          <w:numId w:val="1"/>
        </w:numPr>
        <w:bidi w:val="0"/>
      </w:pPr>
      <w:r w:rsidRPr="000740CA">
        <w:rPr>
          <w:b/>
          <w:bCs/>
        </w:rPr>
        <w:t>Target Areas:</w:t>
      </w:r>
      <w:r w:rsidRPr="000740CA">
        <w:t xml:space="preserve"> Sana'a, </w:t>
      </w:r>
      <w:proofErr w:type="spellStart"/>
      <w:r w:rsidRPr="000740CA">
        <w:t>Hodeidah</w:t>
      </w:r>
      <w:proofErr w:type="spellEnd"/>
      <w:r w:rsidRPr="000740CA">
        <w:t>, Taiz, and Aden</w:t>
      </w:r>
    </w:p>
    <w:p w14:paraId="2064E8A4" w14:textId="77777777" w:rsidR="000740CA" w:rsidRPr="000740CA" w:rsidRDefault="000740CA" w:rsidP="000740CA">
      <w:pPr>
        <w:numPr>
          <w:ilvl w:val="0"/>
          <w:numId w:val="1"/>
        </w:numPr>
        <w:bidi w:val="0"/>
      </w:pPr>
      <w:r w:rsidRPr="000740CA">
        <w:rPr>
          <w:b/>
          <w:bCs/>
        </w:rPr>
        <w:t>Services Provided:</w:t>
      </w:r>
    </w:p>
    <w:p w14:paraId="5A3DAEF9" w14:textId="77777777" w:rsidR="000740CA" w:rsidRPr="000740CA" w:rsidRDefault="000740CA" w:rsidP="000740CA">
      <w:pPr>
        <w:numPr>
          <w:ilvl w:val="1"/>
          <w:numId w:val="1"/>
        </w:numPr>
        <w:bidi w:val="0"/>
      </w:pPr>
      <w:r w:rsidRPr="000740CA">
        <w:t>Outpatient Therapeutic Program (OTP)</w:t>
      </w:r>
    </w:p>
    <w:p w14:paraId="0B6E66AB" w14:textId="77777777" w:rsidR="000740CA" w:rsidRPr="000740CA" w:rsidRDefault="000740CA" w:rsidP="000740CA">
      <w:pPr>
        <w:numPr>
          <w:ilvl w:val="1"/>
          <w:numId w:val="1"/>
        </w:numPr>
        <w:bidi w:val="0"/>
      </w:pPr>
      <w:r w:rsidRPr="000740CA">
        <w:t>Supplementary Feeding Program (SFP)</w:t>
      </w:r>
    </w:p>
    <w:p w14:paraId="25656A4A" w14:textId="77777777" w:rsidR="000740CA" w:rsidRPr="000740CA" w:rsidRDefault="000740CA" w:rsidP="000740CA">
      <w:pPr>
        <w:numPr>
          <w:ilvl w:val="1"/>
          <w:numId w:val="1"/>
        </w:numPr>
        <w:bidi w:val="0"/>
      </w:pPr>
      <w:r w:rsidRPr="000740CA">
        <w:t>Infant and Young Child Feeding (IYCF)</w:t>
      </w:r>
    </w:p>
    <w:p w14:paraId="3EAB6D41" w14:textId="77777777" w:rsidR="000740CA" w:rsidRDefault="000740CA" w:rsidP="000740CA">
      <w:pPr>
        <w:numPr>
          <w:ilvl w:val="0"/>
          <w:numId w:val="1"/>
        </w:numPr>
        <w:bidi w:val="0"/>
      </w:pPr>
      <w:r w:rsidRPr="000740CA">
        <w:rPr>
          <w:b/>
          <w:bCs/>
        </w:rPr>
        <w:t>Community Outreach:</w:t>
      </w:r>
      <w:r w:rsidRPr="000740CA">
        <w:t xml:space="preserve"> Through volunteers, health services, and nutrition awareness campaigns</w:t>
      </w:r>
    </w:p>
    <w:p w14:paraId="6456EF21" w14:textId="36529C34" w:rsidR="00A5488F" w:rsidRDefault="00A5488F" w:rsidP="00A5488F">
      <w:pPr>
        <w:bidi w:val="0"/>
      </w:pPr>
    </w:p>
    <w:p w14:paraId="518B1E52" w14:textId="77777777" w:rsidR="000740CA" w:rsidRPr="000740CA" w:rsidRDefault="000740CA" w:rsidP="008D2CC1">
      <w:pPr>
        <w:bidi w:val="0"/>
        <w:ind w:left="-450"/>
        <w:rPr>
          <w:b/>
          <w:bCs/>
          <w:color w:val="ED7D31" w:themeColor="accent2"/>
          <w:highlight w:val="darkBlue"/>
        </w:rPr>
      </w:pPr>
      <w:r w:rsidRPr="000740CA">
        <w:rPr>
          <w:b/>
          <w:bCs/>
          <w:color w:val="ED7D31" w:themeColor="accent2"/>
          <w:highlight w:val="darkBlue"/>
        </w:rPr>
        <w:t>Achievements</w:t>
      </w:r>
    </w:p>
    <w:p w14:paraId="6117031C" w14:textId="77777777" w:rsidR="000740CA" w:rsidRPr="000740CA" w:rsidRDefault="000740CA" w:rsidP="000740CA">
      <w:pPr>
        <w:numPr>
          <w:ilvl w:val="0"/>
          <w:numId w:val="2"/>
        </w:numPr>
        <w:bidi w:val="0"/>
      </w:pPr>
      <w:r w:rsidRPr="000740CA">
        <w:rPr>
          <w:b/>
          <w:bCs/>
        </w:rPr>
        <w:t>Children Treated and Mothers Assisted:</w:t>
      </w:r>
    </w:p>
    <w:p w14:paraId="4ADF2269" w14:textId="77777777" w:rsidR="000740CA" w:rsidRPr="000740CA" w:rsidRDefault="000740CA" w:rsidP="000740CA">
      <w:pPr>
        <w:numPr>
          <w:ilvl w:val="1"/>
          <w:numId w:val="2"/>
        </w:numPr>
        <w:bidi w:val="0"/>
      </w:pPr>
      <w:r w:rsidRPr="000740CA">
        <w:rPr>
          <w:b/>
          <w:bCs/>
        </w:rPr>
        <w:t>Community Screening:</w:t>
      </w:r>
    </w:p>
    <w:p w14:paraId="6D37FCCB" w14:textId="77777777" w:rsidR="000740CA" w:rsidRPr="000740CA" w:rsidRDefault="000740CA" w:rsidP="000740CA">
      <w:pPr>
        <w:numPr>
          <w:ilvl w:val="2"/>
          <w:numId w:val="2"/>
        </w:numPr>
        <w:bidi w:val="0"/>
      </w:pPr>
      <w:r w:rsidRPr="000740CA">
        <w:rPr>
          <w:b/>
          <w:bCs/>
        </w:rPr>
        <w:t>Boys:</w:t>
      </w:r>
      <w:r w:rsidRPr="000740CA">
        <w:t xml:space="preserve"> 56 screened, 48 treated</w:t>
      </w:r>
    </w:p>
    <w:p w14:paraId="17E9F21B" w14:textId="77777777" w:rsidR="000740CA" w:rsidRPr="000740CA" w:rsidRDefault="000740CA" w:rsidP="000740CA">
      <w:pPr>
        <w:numPr>
          <w:ilvl w:val="2"/>
          <w:numId w:val="2"/>
        </w:numPr>
        <w:bidi w:val="0"/>
      </w:pPr>
      <w:r w:rsidRPr="000740CA">
        <w:rPr>
          <w:b/>
          <w:bCs/>
        </w:rPr>
        <w:t>Girls:</w:t>
      </w:r>
      <w:r w:rsidRPr="000740CA">
        <w:t xml:space="preserve"> 57 screened, 49 treated</w:t>
      </w:r>
    </w:p>
    <w:p w14:paraId="04F9C11E" w14:textId="77777777" w:rsidR="000740CA" w:rsidRPr="000740CA" w:rsidRDefault="000740CA" w:rsidP="000740CA">
      <w:pPr>
        <w:numPr>
          <w:ilvl w:val="1"/>
          <w:numId w:val="2"/>
        </w:numPr>
        <w:bidi w:val="0"/>
      </w:pPr>
      <w:r w:rsidRPr="000740CA">
        <w:rPr>
          <w:b/>
          <w:bCs/>
        </w:rPr>
        <w:t>Pregnant and Lactating Women:</w:t>
      </w:r>
    </w:p>
    <w:p w14:paraId="7C723E10" w14:textId="77777777" w:rsidR="000740CA" w:rsidRPr="000740CA" w:rsidRDefault="000740CA" w:rsidP="000740CA">
      <w:pPr>
        <w:numPr>
          <w:ilvl w:val="2"/>
          <w:numId w:val="2"/>
        </w:numPr>
        <w:bidi w:val="0"/>
      </w:pPr>
      <w:r w:rsidRPr="000740CA">
        <w:rPr>
          <w:b/>
          <w:bCs/>
        </w:rPr>
        <w:t>Nutritional Advice:</w:t>
      </w:r>
      <w:r w:rsidRPr="000740CA">
        <w:t xml:space="preserve"> 112 received advice</w:t>
      </w:r>
    </w:p>
    <w:p w14:paraId="45C3E56C" w14:textId="77777777" w:rsidR="000740CA" w:rsidRPr="000740CA" w:rsidRDefault="000740CA" w:rsidP="000740CA">
      <w:pPr>
        <w:numPr>
          <w:ilvl w:val="2"/>
          <w:numId w:val="2"/>
        </w:numPr>
        <w:bidi w:val="0"/>
      </w:pPr>
      <w:r w:rsidRPr="000740CA">
        <w:rPr>
          <w:b/>
          <w:bCs/>
        </w:rPr>
        <w:t>Iron and Folic Acid Supplements:</w:t>
      </w:r>
      <w:r w:rsidRPr="000740CA">
        <w:t xml:space="preserve"> 44 received supplements</w:t>
      </w:r>
    </w:p>
    <w:p w14:paraId="07453296" w14:textId="77777777" w:rsidR="000740CA" w:rsidRPr="000740CA" w:rsidRDefault="000740CA" w:rsidP="000740CA">
      <w:pPr>
        <w:numPr>
          <w:ilvl w:val="2"/>
          <w:numId w:val="2"/>
        </w:numPr>
        <w:bidi w:val="0"/>
      </w:pPr>
      <w:r w:rsidRPr="000740CA">
        <w:rPr>
          <w:b/>
          <w:bCs/>
        </w:rPr>
        <w:t>Community Outreach:</w:t>
      </w:r>
      <w:r w:rsidRPr="000740CA">
        <w:t xml:space="preserve"> 19 provided with awareness, 16 referred</w:t>
      </w:r>
    </w:p>
    <w:p w14:paraId="04B24983" w14:textId="77777777" w:rsidR="000740CA" w:rsidRPr="000740CA" w:rsidRDefault="000740CA" w:rsidP="000740CA">
      <w:pPr>
        <w:numPr>
          <w:ilvl w:val="0"/>
          <w:numId w:val="2"/>
        </w:numPr>
        <w:bidi w:val="0"/>
      </w:pPr>
      <w:r w:rsidRPr="000740CA">
        <w:rPr>
          <w:b/>
          <w:bCs/>
        </w:rPr>
        <w:t>Total Beneficiaries:</w:t>
      </w:r>
      <w:r w:rsidRPr="000740CA">
        <w:t xml:space="preserve"> 514 children under five and pregnant and lactating women</w:t>
      </w:r>
    </w:p>
    <w:p w14:paraId="46BACFBA" w14:textId="77777777" w:rsidR="000740CA" w:rsidRPr="000740CA" w:rsidRDefault="000740CA" w:rsidP="008D2CC1">
      <w:pPr>
        <w:bidi w:val="0"/>
        <w:ind w:left="-450"/>
        <w:rPr>
          <w:b/>
          <w:bCs/>
          <w:color w:val="ED7D31" w:themeColor="accent2"/>
          <w:highlight w:val="darkBlue"/>
        </w:rPr>
      </w:pPr>
      <w:r w:rsidRPr="000740CA">
        <w:rPr>
          <w:b/>
          <w:bCs/>
          <w:color w:val="ED7D31" w:themeColor="accent2"/>
          <w:highlight w:val="darkBlue"/>
        </w:rPr>
        <w:t>Challenges</w:t>
      </w:r>
    </w:p>
    <w:p w14:paraId="07BFE1B3" w14:textId="77777777" w:rsidR="000740CA" w:rsidRPr="000740CA" w:rsidRDefault="000740CA" w:rsidP="000740CA">
      <w:pPr>
        <w:numPr>
          <w:ilvl w:val="0"/>
          <w:numId w:val="3"/>
        </w:numPr>
        <w:bidi w:val="0"/>
      </w:pPr>
      <w:r w:rsidRPr="000740CA">
        <w:t>Deteriorating health conditions in targeted areas</w:t>
      </w:r>
    </w:p>
    <w:p w14:paraId="67423C4F" w14:textId="77777777" w:rsidR="000740CA" w:rsidRPr="000740CA" w:rsidRDefault="000740CA" w:rsidP="000740CA">
      <w:pPr>
        <w:numPr>
          <w:ilvl w:val="0"/>
          <w:numId w:val="3"/>
        </w:numPr>
        <w:bidi w:val="0"/>
      </w:pPr>
      <w:r w:rsidRPr="000740CA">
        <w:t>Lack of salaries for health center workers</w:t>
      </w:r>
    </w:p>
    <w:p w14:paraId="731089F3" w14:textId="77777777" w:rsidR="000740CA" w:rsidRPr="000740CA" w:rsidRDefault="000740CA" w:rsidP="000740CA">
      <w:pPr>
        <w:numPr>
          <w:ilvl w:val="0"/>
          <w:numId w:val="3"/>
        </w:numPr>
        <w:bidi w:val="0"/>
      </w:pPr>
      <w:r w:rsidRPr="000740CA">
        <w:t>Insufficient resources for high footfall at health centers</w:t>
      </w:r>
    </w:p>
    <w:p w14:paraId="5C8914A7" w14:textId="77777777" w:rsidR="000740CA" w:rsidRPr="000740CA" w:rsidRDefault="000740CA" w:rsidP="000740CA">
      <w:pPr>
        <w:numPr>
          <w:ilvl w:val="0"/>
          <w:numId w:val="3"/>
        </w:numPr>
        <w:bidi w:val="0"/>
      </w:pPr>
      <w:r w:rsidRPr="000740CA">
        <w:t>Limited support and donations</w:t>
      </w:r>
    </w:p>
    <w:p w14:paraId="11EA41BB" w14:textId="77777777" w:rsidR="000740CA" w:rsidRPr="000740CA" w:rsidRDefault="000740CA" w:rsidP="008D2CC1">
      <w:pPr>
        <w:bidi w:val="0"/>
        <w:ind w:left="-450"/>
        <w:rPr>
          <w:b/>
          <w:bCs/>
          <w:color w:val="ED7D31" w:themeColor="accent2"/>
          <w:highlight w:val="darkBlue"/>
        </w:rPr>
      </w:pPr>
      <w:r w:rsidRPr="000740CA">
        <w:rPr>
          <w:b/>
          <w:bCs/>
          <w:color w:val="ED7D31" w:themeColor="accent2"/>
          <w:highlight w:val="darkBlue"/>
        </w:rPr>
        <w:t>Lessons Learned</w:t>
      </w:r>
    </w:p>
    <w:p w14:paraId="62E86E76" w14:textId="77777777" w:rsidR="000740CA" w:rsidRPr="000740CA" w:rsidRDefault="000740CA" w:rsidP="000740CA">
      <w:pPr>
        <w:numPr>
          <w:ilvl w:val="0"/>
          <w:numId w:val="4"/>
        </w:numPr>
        <w:bidi w:val="0"/>
      </w:pPr>
      <w:r w:rsidRPr="000740CA">
        <w:t>Pre-coordination with relevant authorities (Ministry of Social Affairs, Health Office, local communities)</w:t>
      </w:r>
    </w:p>
    <w:p w14:paraId="09E2824E" w14:textId="77777777" w:rsidR="000740CA" w:rsidRPr="000740CA" w:rsidRDefault="000740CA" w:rsidP="000740CA">
      <w:pPr>
        <w:numPr>
          <w:ilvl w:val="0"/>
          <w:numId w:val="4"/>
        </w:numPr>
        <w:bidi w:val="0"/>
      </w:pPr>
      <w:r w:rsidRPr="000740CA">
        <w:lastRenderedPageBreak/>
        <w:t>Identification of high-malnutrition areas in Sana'a</w:t>
      </w:r>
    </w:p>
    <w:p w14:paraId="51ADB138" w14:textId="77777777" w:rsidR="000740CA" w:rsidRPr="000740CA" w:rsidRDefault="000740CA" w:rsidP="000740CA">
      <w:pPr>
        <w:numPr>
          <w:ilvl w:val="0"/>
          <w:numId w:val="4"/>
        </w:numPr>
        <w:bidi w:val="0"/>
      </w:pPr>
      <w:r w:rsidRPr="000740CA">
        <w:t>Continuous communication with donors to highlight the situation of children and women in Yemen</w:t>
      </w:r>
    </w:p>
    <w:p w14:paraId="0F7484BE" w14:textId="77777777" w:rsidR="000740CA" w:rsidRPr="000740CA" w:rsidRDefault="000740CA" w:rsidP="000740CA">
      <w:pPr>
        <w:numPr>
          <w:ilvl w:val="0"/>
          <w:numId w:val="4"/>
        </w:numPr>
        <w:bidi w:val="0"/>
      </w:pPr>
      <w:r w:rsidRPr="000740CA">
        <w:t>Access issues for people with special needs affected by malnutrition</w:t>
      </w:r>
    </w:p>
    <w:p w14:paraId="041526DF" w14:textId="77777777" w:rsidR="000740CA" w:rsidRPr="000740CA" w:rsidRDefault="000740CA" w:rsidP="008D2CC1">
      <w:pPr>
        <w:bidi w:val="0"/>
        <w:ind w:left="-450"/>
        <w:rPr>
          <w:b/>
          <w:bCs/>
          <w:color w:val="ED7D31" w:themeColor="accent2"/>
          <w:highlight w:val="darkBlue"/>
        </w:rPr>
      </w:pPr>
      <w:r w:rsidRPr="000740CA">
        <w:rPr>
          <w:b/>
          <w:bCs/>
          <w:color w:val="ED7D31" w:themeColor="accent2"/>
          <w:highlight w:val="darkBlue"/>
        </w:rPr>
        <w:t>Upcoming Activities</w:t>
      </w:r>
    </w:p>
    <w:p w14:paraId="3A80F52E" w14:textId="77777777" w:rsidR="000740CA" w:rsidRPr="000740CA" w:rsidRDefault="000740CA" w:rsidP="000740CA">
      <w:pPr>
        <w:numPr>
          <w:ilvl w:val="0"/>
          <w:numId w:val="5"/>
        </w:numPr>
        <w:bidi w:val="0"/>
      </w:pPr>
      <w:r w:rsidRPr="000740CA">
        <w:t>Continue assisting 500 malnourished children and women</w:t>
      </w:r>
    </w:p>
    <w:p w14:paraId="004ABA16" w14:textId="77777777" w:rsidR="000740CA" w:rsidRPr="000740CA" w:rsidRDefault="000740CA" w:rsidP="000740CA">
      <w:pPr>
        <w:numPr>
          <w:ilvl w:val="0"/>
          <w:numId w:val="5"/>
        </w:numPr>
        <w:bidi w:val="0"/>
      </w:pPr>
      <w:r w:rsidRPr="000740CA">
        <w:t>Activate external referrals (beyond target directorate)</w:t>
      </w:r>
    </w:p>
    <w:p w14:paraId="4DD17F56" w14:textId="77777777" w:rsidR="000740CA" w:rsidRPr="000740CA" w:rsidRDefault="000740CA" w:rsidP="000740CA">
      <w:pPr>
        <w:numPr>
          <w:ilvl w:val="0"/>
          <w:numId w:val="5"/>
        </w:numPr>
        <w:bidi w:val="0"/>
      </w:pPr>
      <w:r w:rsidRPr="000740CA">
        <w:t>Implement service provider mapping in nearby accessible areas starting April 2025</w:t>
      </w:r>
    </w:p>
    <w:p w14:paraId="7CBB2BA3" w14:textId="77777777" w:rsidR="00B40E7E" w:rsidRDefault="00B40E7E" w:rsidP="00E66AA3">
      <w:pPr>
        <w:bidi w:val="0"/>
      </w:pPr>
    </w:p>
    <w:p w14:paraId="36808EAC" w14:textId="77777777" w:rsidR="00B40E7E" w:rsidRDefault="00B40E7E" w:rsidP="00B40E7E">
      <w:pPr>
        <w:bidi w:val="0"/>
      </w:pPr>
    </w:p>
    <w:p w14:paraId="5A8435DD" w14:textId="77777777" w:rsidR="00B40E7E" w:rsidRDefault="00B40E7E" w:rsidP="00B40E7E">
      <w:pPr>
        <w:bidi w:val="0"/>
      </w:pPr>
    </w:p>
    <w:p w14:paraId="09A522B5" w14:textId="77777777" w:rsidR="00B40E7E" w:rsidRDefault="00B40E7E" w:rsidP="00B40E7E">
      <w:pPr>
        <w:bidi w:val="0"/>
      </w:pPr>
    </w:p>
    <w:p w14:paraId="3F41A3D8" w14:textId="77777777" w:rsidR="00B40E7E" w:rsidRDefault="00B40E7E" w:rsidP="00B40E7E">
      <w:pPr>
        <w:bidi w:val="0"/>
      </w:pPr>
    </w:p>
    <w:p w14:paraId="6CDB8533" w14:textId="77777777" w:rsidR="00B40E7E" w:rsidRDefault="00B40E7E" w:rsidP="00B40E7E">
      <w:pPr>
        <w:bidi w:val="0"/>
      </w:pPr>
    </w:p>
    <w:p w14:paraId="41AD50CF" w14:textId="77777777" w:rsidR="00B40E7E" w:rsidRDefault="00B40E7E" w:rsidP="00B40E7E">
      <w:pPr>
        <w:bidi w:val="0"/>
      </w:pPr>
    </w:p>
    <w:p w14:paraId="31089225" w14:textId="77777777" w:rsidR="00B40E7E" w:rsidRDefault="00B40E7E" w:rsidP="00B40E7E">
      <w:pPr>
        <w:bidi w:val="0"/>
      </w:pPr>
    </w:p>
    <w:p w14:paraId="6A4F3119" w14:textId="77777777" w:rsidR="00B40E7E" w:rsidRDefault="00B40E7E" w:rsidP="00B40E7E">
      <w:pPr>
        <w:bidi w:val="0"/>
      </w:pPr>
    </w:p>
    <w:p w14:paraId="67BFA245" w14:textId="77777777" w:rsidR="00B40E7E" w:rsidRDefault="00B40E7E" w:rsidP="00B40E7E">
      <w:pPr>
        <w:bidi w:val="0"/>
      </w:pPr>
    </w:p>
    <w:p w14:paraId="37527853" w14:textId="77777777" w:rsidR="00B40E7E" w:rsidRDefault="00B40E7E" w:rsidP="00B40E7E">
      <w:pPr>
        <w:bidi w:val="0"/>
      </w:pPr>
    </w:p>
    <w:p w14:paraId="0F59D5E5" w14:textId="77777777" w:rsidR="00B40E7E" w:rsidRDefault="00B40E7E" w:rsidP="00B40E7E">
      <w:pPr>
        <w:bidi w:val="0"/>
      </w:pPr>
    </w:p>
    <w:p w14:paraId="434E03C1" w14:textId="77777777" w:rsidR="00B40E7E" w:rsidRDefault="00B40E7E" w:rsidP="00B40E7E">
      <w:pPr>
        <w:bidi w:val="0"/>
      </w:pPr>
    </w:p>
    <w:p w14:paraId="5B44009A" w14:textId="77777777" w:rsidR="00B40E7E" w:rsidRDefault="00B40E7E" w:rsidP="00B40E7E">
      <w:pPr>
        <w:bidi w:val="0"/>
      </w:pPr>
    </w:p>
    <w:p w14:paraId="2C3F61DC" w14:textId="77777777" w:rsidR="00B40E7E" w:rsidRDefault="00B40E7E" w:rsidP="00B40E7E">
      <w:pPr>
        <w:bidi w:val="0"/>
      </w:pPr>
    </w:p>
    <w:p w14:paraId="2EA566FB" w14:textId="77777777" w:rsidR="00B40E7E" w:rsidRDefault="00B40E7E" w:rsidP="00B40E7E">
      <w:pPr>
        <w:bidi w:val="0"/>
      </w:pPr>
    </w:p>
    <w:p w14:paraId="4C893345" w14:textId="77777777" w:rsidR="00B40E7E" w:rsidRDefault="00B40E7E" w:rsidP="00B40E7E">
      <w:pPr>
        <w:bidi w:val="0"/>
      </w:pPr>
    </w:p>
    <w:p w14:paraId="5463C236" w14:textId="77777777" w:rsidR="00B40E7E" w:rsidRDefault="00B40E7E" w:rsidP="00B40E7E">
      <w:pPr>
        <w:bidi w:val="0"/>
      </w:pPr>
    </w:p>
    <w:p w14:paraId="3291CA3F" w14:textId="77777777" w:rsidR="00B40E7E" w:rsidRDefault="00B40E7E" w:rsidP="00B40E7E">
      <w:pPr>
        <w:bidi w:val="0"/>
      </w:pPr>
    </w:p>
    <w:p w14:paraId="4ECE621F" w14:textId="77777777" w:rsidR="00B40E7E" w:rsidRDefault="00B40E7E" w:rsidP="00B40E7E">
      <w:pPr>
        <w:bidi w:val="0"/>
      </w:pPr>
    </w:p>
    <w:p w14:paraId="643ADCAB" w14:textId="77777777" w:rsidR="00B40E7E" w:rsidRDefault="00B40E7E" w:rsidP="00B40E7E">
      <w:pPr>
        <w:bidi w:val="0"/>
      </w:pPr>
    </w:p>
    <w:p w14:paraId="7D02EF27" w14:textId="77777777" w:rsidR="00B40E7E" w:rsidRDefault="00B40E7E" w:rsidP="00B40E7E">
      <w:pPr>
        <w:bidi w:val="0"/>
      </w:pPr>
    </w:p>
    <w:p w14:paraId="5C37D620" w14:textId="77777777" w:rsidR="00B40E7E" w:rsidRDefault="00B40E7E" w:rsidP="00B40E7E">
      <w:pPr>
        <w:bidi w:val="0"/>
      </w:pPr>
    </w:p>
    <w:p w14:paraId="5A871624" w14:textId="77777777" w:rsidR="00B40E7E" w:rsidRDefault="00B40E7E" w:rsidP="00B40E7E">
      <w:pPr>
        <w:bidi w:val="0"/>
      </w:pPr>
    </w:p>
    <w:p w14:paraId="352219F0" w14:textId="651E67F5" w:rsidR="00E66AA3" w:rsidRPr="00E66AA3" w:rsidRDefault="00E66AA3" w:rsidP="00B40E7E">
      <w:pPr>
        <w:bidi w:val="0"/>
      </w:pPr>
      <w:r w:rsidRPr="00E66AA3">
        <w:rPr>
          <w:b/>
          <w:bCs/>
        </w:rPr>
        <w:lastRenderedPageBreak/>
        <w:t xml:space="preserve">Based on the </w:t>
      </w:r>
      <w:r w:rsidR="007152CA">
        <w:rPr>
          <w:b/>
          <w:bCs/>
        </w:rPr>
        <w:t>above,</w:t>
      </w:r>
      <w:r w:rsidRPr="00E66AA3">
        <w:t xml:space="preserve"> </w:t>
      </w:r>
      <w:r w:rsidRPr="00E66AA3">
        <w:rPr>
          <w:u w:val="single"/>
        </w:rPr>
        <w:t>the following interventions were the most effective:</w:t>
      </w:r>
    </w:p>
    <w:p w14:paraId="7849CE7F" w14:textId="77777777" w:rsidR="00E66AA3" w:rsidRPr="00E66AA3" w:rsidRDefault="00E66AA3" w:rsidP="00E66AA3">
      <w:pPr>
        <w:numPr>
          <w:ilvl w:val="0"/>
          <w:numId w:val="6"/>
        </w:numPr>
        <w:bidi w:val="0"/>
      </w:pPr>
      <w:r w:rsidRPr="00E66AA3">
        <w:rPr>
          <w:b/>
          <w:bCs/>
        </w:rPr>
        <w:t>Outpatient Therapeutic Program (OTP):</w:t>
      </w:r>
      <w:r w:rsidRPr="00E66AA3">
        <w:t xml:space="preserve"> This program focused on treating children with severe acute malnutrition (SAM) without complications. The support provided by OTP facilities played a crucial role in managing and reducing SAM cases.</w:t>
      </w:r>
    </w:p>
    <w:p w14:paraId="4283D4D3" w14:textId="77777777" w:rsidR="00E66AA3" w:rsidRPr="00E66AA3" w:rsidRDefault="00E66AA3" w:rsidP="00E66AA3">
      <w:pPr>
        <w:numPr>
          <w:ilvl w:val="0"/>
          <w:numId w:val="6"/>
        </w:numPr>
        <w:bidi w:val="0"/>
      </w:pPr>
      <w:r w:rsidRPr="00E66AA3">
        <w:rPr>
          <w:b/>
          <w:bCs/>
        </w:rPr>
        <w:t>Supplementary Feeding Program (SFP):</w:t>
      </w:r>
      <w:r w:rsidRPr="00E66AA3">
        <w:t xml:space="preserve"> This initiative targeted children and women who needed additional nutritional support. The provision of supplementary foods helped in improving their nutritional status.</w:t>
      </w:r>
    </w:p>
    <w:p w14:paraId="568871B3" w14:textId="77777777" w:rsidR="00E66AA3" w:rsidRPr="00E66AA3" w:rsidRDefault="00E66AA3" w:rsidP="00E66AA3">
      <w:pPr>
        <w:numPr>
          <w:ilvl w:val="0"/>
          <w:numId w:val="6"/>
        </w:numPr>
        <w:bidi w:val="0"/>
      </w:pPr>
      <w:r w:rsidRPr="00E66AA3">
        <w:rPr>
          <w:b/>
          <w:bCs/>
        </w:rPr>
        <w:t>Infant and Young Child Feeding (IYCF):</w:t>
      </w:r>
      <w:r w:rsidRPr="00E66AA3">
        <w:t xml:space="preserve"> This program focused on providing nutritional advice and support to pregnant and lactating women, ensuring the health and proper development of their children.</w:t>
      </w:r>
    </w:p>
    <w:p w14:paraId="4B7ED211" w14:textId="77777777" w:rsidR="00E66AA3" w:rsidRPr="00E66AA3" w:rsidRDefault="00E66AA3" w:rsidP="00E66AA3">
      <w:pPr>
        <w:numPr>
          <w:ilvl w:val="0"/>
          <w:numId w:val="6"/>
        </w:numPr>
        <w:bidi w:val="0"/>
      </w:pPr>
      <w:r w:rsidRPr="00E66AA3">
        <w:rPr>
          <w:b/>
          <w:bCs/>
        </w:rPr>
        <w:t>Community Outreach and Awareness Campaigns:</w:t>
      </w:r>
      <w:r w:rsidRPr="00E66AA3">
        <w:t xml:space="preserve"> The project included a significant effort in raising community awareness through health services and nutrition campaigns. Community health volunteers were instrumental in spreading knowledge and encouraging preventive measures.</w:t>
      </w:r>
    </w:p>
    <w:p w14:paraId="5B4DC18C" w14:textId="77777777" w:rsidR="00E66AA3" w:rsidRPr="00E66AA3" w:rsidRDefault="00E66AA3" w:rsidP="00E66AA3">
      <w:pPr>
        <w:numPr>
          <w:ilvl w:val="0"/>
          <w:numId w:val="6"/>
        </w:numPr>
        <w:bidi w:val="0"/>
      </w:pPr>
      <w:r w:rsidRPr="00E66AA3">
        <w:rPr>
          <w:b/>
          <w:bCs/>
        </w:rPr>
        <w:t>Capacity Building and Incentives:</w:t>
      </w:r>
      <w:r w:rsidRPr="00E66AA3">
        <w:t xml:space="preserve"> By building the capacity of health workers and providing incentives, the project ensured that health facilities could operate effectively and sustainably.</w:t>
      </w:r>
    </w:p>
    <w:p w14:paraId="5106FCDD" w14:textId="77777777" w:rsidR="00E66AA3" w:rsidRPr="00E66AA3" w:rsidRDefault="00E66AA3" w:rsidP="00E66AA3">
      <w:pPr>
        <w:numPr>
          <w:ilvl w:val="0"/>
          <w:numId w:val="6"/>
        </w:numPr>
        <w:bidi w:val="0"/>
      </w:pPr>
      <w:r w:rsidRPr="00E66AA3">
        <w:rPr>
          <w:b/>
          <w:bCs/>
        </w:rPr>
        <w:t>Screening and Referrals:</w:t>
      </w:r>
      <w:r w:rsidRPr="00E66AA3">
        <w:t xml:space="preserve"> Regular community screenings and referrals to specialized care centers helped in early detection and timely intervention for malnutrition cases.</w:t>
      </w:r>
    </w:p>
    <w:p w14:paraId="684C968D" w14:textId="77777777" w:rsidR="00B40E7E" w:rsidRDefault="00B40E7E" w:rsidP="00B40E7E">
      <w:pPr>
        <w:bidi w:val="0"/>
      </w:pPr>
    </w:p>
    <w:p w14:paraId="49627496" w14:textId="164B7823" w:rsidR="00E66AA3" w:rsidRDefault="00E66AA3" w:rsidP="00B40E7E">
      <w:pPr>
        <w:bidi w:val="0"/>
      </w:pPr>
      <w:r w:rsidRPr="007152CA">
        <w:rPr>
          <w:b/>
          <w:bCs/>
          <w:i/>
          <w:iCs/>
        </w:rPr>
        <w:t>Overcoming the challenges</w:t>
      </w:r>
      <w:r>
        <w:t xml:space="preserve"> identified </w:t>
      </w:r>
      <w:proofErr w:type="gramStart"/>
      <w:r w:rsidR="007152CA">
        <w:t xml:space="preserve">above </w:t>
      </w:r>
      <w:r>
        <w:t xml:space="preserve"> requires</w:t>
      </w:r>
      <w:proofErr w:type="gramEnd"/>
      <w:r>
        <w:t xml:space="preserve"> both innovative and pragmatic approaches to ensure sustainable impact. Here are some strategies tailored to each challenge:</w:t>
      </w:r>
    </w:p>
    <w:p w14:paraId="0F9A4394" w14:textId="77777777" w:rsidR="00E66AA3" w:rsidRDefault="00E66AA3" w:rsidP="00E66AA3">
      <w:pPr>
        <w:bidi w:val="0"/>
      </w:pPr>
      <w:r>
        <w:t>1</w:t>
      </w:r>
      <w:r w:rsidRPr="007152CA">
        <w:rPr>
          <w:b/>
          <w:bCs/>
        </w:rPr>
        <w:t>. Improving Healthcare Infrastructure</w:t>
      </w:r>
    </w:p>
    <w:p w14:paraId="2C1F4C19" w14:textId="77777777" w:rsidR="00E66AA3" w:rsidRDefault="00E66AA3" w:rsidP="00E66AA3">
      <w:pPr>
        <w:bidi w:val="0"/>
      </w:pPr>
      <w:r>
        <w:t>Resource Mobilization: Partner with international donors, NGOs, and local businesses to secure funds for renovating health centers and acquiring necessary equipment.</w:t>
      </w:r>
    </w:p>
    <w:p w14:paraId="5A031894" w14:textId="77777777" w:rsidR="00E66AA3" w:rsidRDefault="00E66AA3" w:rsidP="00E66AA3">
      <w:pPr>
        <w:bidi w:val="0"/>
      </w:pPr>
      <w:r>
        <w:t>Public-Private Partnerships: Collaborate with private sector entities to co-fund infrastructure improvements.</w:t>
      </w:r>
    </w:p>
    <w:p w14:paraId="08B11C1A" w14:textId="7691D58C" w:rsidR="00E66AA3" w:rsidRDefault="00E66AA3" w:rsidP="00B40E7E">
      <w:pPr>
        <w:bidi w:val="0"/>
      </w:pPr>
      <w:r>
        <w:t xml:space="preserve">2. </w:t>
      </w:r>
      <w:r w:rsidRPr="007152CA">
        <w:rPr>
          <w:b/>
          <w:bCs/>
        </w:rPr>
        <w:t>Addressing Staff Salary Issues</w:t>
      </w:r>
    </w:p>
    <w:p w14:paraId="0D8FD09D" w14:textId="77777777" w:rsidR="00E66AA3" w:rsidRDefault="00E66AA3" w:rsidP="00E66AA3">
      <w:pPr>
        <w:bidi w:val="0"/>
      </w:pPr>
      <w:r>
        <w:t>Performance-Based Incentives: Work with donors to establish a system of incentives tied to service delivery milestones.</w:t>
      </w:r>
    </w:p>
    <w:p w14:paraId="5B14ED1D" w14:textId="77777777" w:rsidR="00E66AA3" w:rsidRDefault="00E66AA3" w:rsidP="00E66AA3">
      <w:pPr>
        <w:bidi w:val="0"/>
      </w:pPr>
      <w:r>
        <w:t>Advocacy: Engage government agencies and international bodies to prioritize healthcare workers' salaries in humanitarian aid packages.</w:t>
      </w:r>
    </w:p>
    <w:p w14:paraId="487244EF" w14:textId="77777777" w:rsidR="00E66AA3" w:rsidRDefault="00E66AA3" w:rsidP="00E66AA3">
      <w:pPr>
        <w:bidi w:val="0"/>
      </w:pPr>
      <w:r>
        <w:t>Volunteer Programs: Train and mobilize community health volunteers to support understaffed centers.</w:t>
      </w:r>
    </w:p>
    <w:p w14:paraId="2E1E1B64" w14:textId="77777777" w:rsidR="00E66AA3" w:rsidRDefault="00E66AA3" w:rsidP="00E66AA3">
      <w:pPr>
        <w:bidi w:val="0"/>
      </w:pPr>
      <w:r>
        <w:t xml:space="preserve">3. </w:t>
      </w:r>
      <w:r w:rsidRPr="007152CA">
        <w:rPr>
          <w:b/>
          <w:bCs/>
        </w:rPr>
        <w:t>Enhancing Support for Health Center Visitors</w:t>
      </w:r>
    </w:p>
    <w:p w14:paraId="540D88C5" w14:textId="77777777" w:rsidR="00E66AA3" w:rsidRDefault="00E66AA3" w:rsidP="00E66AA3">
      <w:pPr>
        <w:bidi w:val="0"/>
      </w:pPr>
      <w:r>
        <w:t>Community Outreach Programs: Increase awareness about available health services to manage visitor flow more effectively.</w:t>
      </w:r>
    </w:p>
    <w:p w14:paraId="37523613" w14:textId="77777777" w:rsidR="00E66AA3" w:rsidRDefault="00E66AA3" w:rsidP="00E66AA3">
      <w:pPr>
        <w:bidi w:val="0"/>
      </w:pPr>
      <w:r>
        <w:t>Resource Optimization: Use digital tools to monitor and allocate resources based on demand patterns in various centers.</w:t>
      </w:r>
    </w:p>
    <w:p w14:paraId="2FAD9AF5" w14:textId="77777777" w:rsidR="00E66AA3" w:rsidRPr="007152CA" w:rsidRDefault="00E66AA3" w:rsidP="00E66AA3">
      <w:pPr>
        <w:bidi w:val="0"/>
        <w:rPr>
          <w:b/>
          <w:bCs/>
        </w:rPr>
      </w:pPr>
      <w:r w:rsidRPr="007152CA">
        <w:rPr>
          <w:b/>
          <w:bCs/>
        </w:rPr>
        <w:t>4. Boosting Support and Donations</w:t>
      </w:r>
    </w:p>
    <w:p w14:paraId="321E6446" w14:textId="77777777" w:rsidR="00E66AA3" w:rsidRDefault="00E66AA3" w:rsidP="00E66AA3">
      <w:pPr>
        <w:bidi w:val="0"/>
      </w:pPr>
      <w:r>
        <w:lastRenderedPageBreak/>
        <w:t>Storytelling for Fundraising: Share compelling success stories and visuals from the project to attract donors via platforms like GlobalGiving.</w:t>
      </w:r>
    </w:p>
    <w:p w14:paraId="4D51FD14" w14:textId="77777777" w:rsidR="00E66AA3" w:rsidRDefault="00E66AA3" w:rsidP="00E66AA3">
      <w:pPr>
        <w:bidi w:val="0"/>
      </w:pPr>
      <w:r>
        <w:t>Networking: Strengthen relationships with existing donors and explore partnerships with non-traditional funding sources, such as philanthropic organizations.</w:t>
      </w:r>
    </w:p>
    <w:p w14:paraId="488ACA7E" w14:textId="77777777" w:rsidR="00E66AA3" w:rsidRPr="007152CA" w:rsidRDefault="00E66AA3" w:rsidP="00E66AA3">
      <w:pPr>
        <w:bidi w:val="0"/>
        <w:rPr>
          <w:b/>
          <w:bCs/>
        </w:rPr>
      </w:pPr>
      <w:r w:rsidRPr="007152CA">
        <w:rPr>
          <w:b/>
          <w:bCs/>
        </w:rPr>
        <w:t>5. Reaching Vulnerable Groups</w:t>
      </w:r>
    </w:p>
    <w:p w14:paraId="0F871526" w14:textId="77777777" w:rsidR="00E66AA3" w:rsidRDefault="00E66AA3" w:rsidP="00E66AA3">
      <w:pPr>
        <w:bidi w:val="0"/>
      </w:pPr>
      <w:r>
        <w:t>Mobile Health Clinics: Deploy mobile teams to visit remote areas and cater to those unable to access health centers.</w:t>
      </w:r>
    </w:p>
    <w:p w14:paraId="43D5F880" w14:textId="77777777" w:rsidR="00E66AA3" w:rsidRDefault="00E66AA3" w:rsidP="00E66AA3">
      <w:pPr>
        <w:bidi w:val="0"/>
      </w:pPr>
      <w:r>
        <w:t>Barrier Reduction: Provide transport vouchers or organize community transport systems for individuals with mobility challenges.</w:t>
      </w:r>
    </w:p>
    <w:p w14:paraId="7D7E8A50" w14:textId="77777777" w:rsidR="00B40E7E" w:rsidRDefault="00B40E7E" w:rsidP="00B40E7E">
      <w:pPr>
        <w:bidi w:val="0"/>
      </w:pPr>
    </w:p>
    <w:p w14:paraId="678D78F4" w14:textId="77777777" w:rsidR="00E66AA3" w:rsidRPr="00E66AA3" w:rsidRDefault="00E66AA3" w:rsidP="00E66AA3">
      <w:pPr>
        <w:bidi w:val="0"/>
      </w:pPr>
      <w:r w:rsidRPr="00E66AA3">
        <w:rPr>
          <w:b/>
          <w:bCs/>
          <w:i/>
          <w:iCs/>
        </w:rPr>
        <w:t>This project</w:t>
      </w:r>
      <w:r w:rsidRPr="00E66AA3">
        <w:t xml:space="preserve"> is a vital component of broader humanitarian efforts in Yemen, specifically targeting malnutrition, which remains one of the most critical challenges in the region. Here's how it contributes to larger efforts:</w:t>
      </w:r>
    </w:p>
    <w:p w14:paraId="3966258C" w14:textId="77777777" w:rsidR="00E66AA3" w:rsidRPr="00E66AA3" w:rsidRDefault="00E66AA3" w:rsidP="00E66AA3">
      <w:pPr>
        <w:bidi w:val="0"/>
        <w:rPr>
          <w:b/>
          <w:bCs/>
        </w:rPr>
      </w:pPr>
      <w:r w:rsidRPr="00E66AA3">
        <w:rPr>
          <w:b/>
          <w:bCs/>
        </w:rPr>
        <w:t>1. Addressing Immediate Needs</w:t>
      </w:r>
    </w:p>
    <w:p w14:paraId="1EBB3DD5" w14:textId="77777777" w:rsidR="00E66AA3" w:rsidRDefault="00E66AA3" w:rsidP="00E66AA3">
      <w:pPr>
        <w:bidi w:val="0"/>
      </w:pPr>
      <w:r w:rsidRPr="00E66AA3">
        <w:t>By providing nutritional treatment and preventative care to vulnerable groups—children under five, pregnant women, and lactating mothers—the project directly tackles acute malnutrition, reducing the risk of severe health complications and mortality. This aligns with national and international goals to improve child and maternal health in Yemen.</w:t>
      </w:r>
    </w:p>
    <w:p w14:paraId="6599068C" w14:textId="77777777" w:rsidR="00B40E7E" w:rsidRPr="00E66AA3" w:rsidRDefault="00B40E7E" w:rsidP="00B40E7E">
      <w:pPr>
        <w:bidi w:val="0"/>
      </w:pPr>
    </w:p>
    <w:p w14:paraId="103FE348" w14:textId="77777777" w:rsidR="00E66AA3" w:rsidRPr="00E66AA3" w:rsidRDefault="00E66AA3" w:rsidP="00E66AA3">
      <w:pPr>
        <w:bidi w:val="0"/>
        <w:rPr>
          <w:b/>
          <w:bCs/>
        </w:rPr>
      </w:pPr>
      <w:r w:rsidRPr="00E66AA3">
        <w:rPr>
          <w:b/>
          <w:bCs/>
        </w:rPr>
        <w:t>2. Enhancing Healthcare Capacities</w:t>
      </w:r>
    </w:p>
    <w:p w14:paraId="7DFEFEE5" w14:textId="77777777" w:rsidR="00E66AA3" w:rsidRPr="00E66AA3" w:rsidRDefault="00E66AA3" w:rsidP="00E66AA3">
      <w:pPr>
        <w:bidi w:val="0"/>
      </w:pPr>
      <w:r w:rsidRPr="00E66AA3">
        <w:t>The project strengthens existing healthcare facilities by supplying essential resources and implementing training programs for healthcare workers. This capacity-building approach ensures sustainability and enhances the overall healthcare infrastructure, contributing to long-term resilience.</w:t>
      </w:r>
    </w:p>
    <w:p w14:paraId="3A858ACE" w14:textId="77777777" w:rsidR="00E66AA3" w:rsidRPr="00E66AA3" w:rsidRDefault="00E66AA3" w:rsidP="00E66AA3">
      <w:pPr>
        <w:bidi w:val="0"/>
        <w:rPr>
          <w:b/>
          <w:bCs/>
        </w:rPr>
      </w:pPr>
      <w:r w:rsidRPr="00E66AA3">
        <w:rPr>
          <w:b/>
          <w:bCs/>
        </w:rPr>
        <w:t>3. Coordinating with Broader Frameworks</w:t>
      </w:r>
    </w:p>
    <w:p w14:paraId="302AE52B" w14:textId="77777777" w:rsidR="00E66AA3" w:rsidRPr="00E66AA3" w:rsidRDefault="00E66AA3" w:rsidP="00E66AA3">
      <w:pPr>
        <w:bidi w:val="0"/>
      </w:pPr>
      <w:r w:rsidRPr="00E66AA3">
        <w:t>The implementation of this project is integrated with guidelines from key organizations like UNICEF, WFP, and Yemen's Ministry of Health. This coordination ensures alignment with larger national nutrition strategies and international humanitarian frameworks.</w:t>
      </w:r>
    </w:p>
    <w:p w14:paraId="78A65E69" w14:textId="77777777" w:rsidR="00E66AA3" w:rsidRPr="00E66AA3" w:rsidRDefault="00E66AA3" w:rsidP="00E66AA3">
      <w:pPr>
        <w:bidi w:val="0"/>
        <w:rPr>
          <w:b/>
          <w:bCs/>
        </w:rPr>
      </w:pPr>
      <w:r w:rsidRPr="00E66AA3">
        <w:rPr>
          <w:b/>
          <w:bCs/>
        </w:rPr>
        <w:t>4. Community Engagement</w:t>
      </w:r>
    </w:p>
    <w:p w14:paraId="2180E067" w14:textId="77777777" w:rsidR="00E66AA3" w:rsidRPr="00E66AA3" w:rsidRDefault="00E66AA3" w:rsidP="00E66AA3">
      <w:pPr>
        <w:bidi w:val="0"/>
      </w:pPr>
      <w:r w:rsidRPr="00E66AA3">
        <w:t>Through community outreach, education campaigns, and the involvement of community health volunteers, the project raises awareness and fosters local participation. This not only increases the program’s reach but also empowers communities to adopt preventive measures against malnutrition.</w:t>
      </w:r>
    </w:p>
    <w:p w14:paraId="682D8570" w14:textId="77777777" w:rsidR="00E66AA3" w:rsidRPr="00E66AA3" w:rsidRDefault="00E66AA3" w:rsidP="00E66AA3">
      <w:pPr>
        <w:bidi w:val="0"/>
        <w:rPr>
          <w:b/>
          <w:bCs/>
        </w:rPr>
      </w:pPr>
      <w:r w:rsidRPr="00E66AA3">
        <w:rPr>
          <w:b/>
          <w:bCs/>
        </w:rPr>
        <w:t>5. Data Collection and Insights</w:t>
      </w:r>
    </w:p>
    <w:p w14:paraId="35651878" w14:textId="77777777" w:rsidR="00E66AA3" w:rsidRPr="00E66AA3" w:rsidRDefault="00E66AA3" w:rsidP="00E66AA3">
      <w:pPr>
        <w:bidi w:val="0"/>
      </w:pPr>
      <w:r w:rsidRPr="00E66AA3">
        <w:t>The project identifies high-need areas and collects valuable data on malnutrition trends, which can inform and influence other humanitarian interventions in Yemen, ensuring resources are directed to where they are most needed.</w:t>
      </w:r>
    </w:p>
    <w:p w14:paraId="026873F6" w14:textId="77777777" w:rsidR="00E66AA3" w:rsidRPr="00E66AA3" w:rsidRDefault="00E66AA3" w:rsidP="00E66AA3">
      <w:pPr>
        <w:bidi w:val="0"/>
        <w:rPr>
          <w:b/>
          <w:bCs/>
        </w:rPr>
      </w:pPr>
      <w:r w:rsidRPr="00E66AA3">
        <w:rPr>
          <w:b/>
          <w:bCs/>
        </w:rPr>
        <w:t>6. Addressing Broader Vulnerabilities</w:t>
      </w:r>
    </w:p>
    <w:p w14:paraId="7C3558F7" w14:textId="77777777" w:rsidR="00E66AA3" w:rsidRPr="00E66AA3" w:rsidRDefault="00E66AA3" w:rsidP="00E66AA3">
      <w:pPr>
        <w:bidi w:val="0"/>
      </w:pPr>
      <w:r w:rsidRPr="00E66AA3">
        <w:lastRenderedPageBreak/>
        <w:t>By targeting malnutrition, the program indirectly supports broader humanitarian priorities such as reducing child mortality, improving maternal health, and building resilient communities. The focus on vulnerable groups ensures that marginalized populations are not left behind.</w:t>
      </w:r>
    </w:p>
    <w:p w14:paraId="25A2E934" w14:textId="77777777" w:rsidR="00E66AA3" w:rsidRPr="00E66AA3" w:rsidRDefault="00E66AA3" w:rsidP="00E66AA3">
      <w:pPr>
        <w:bidi w:val="0"/>
      </w:pPr>
      <w:r w:rsidRPr="00E66AA3">
        <w:t>This project represents a crucial piece of the puzzle in the collective effort to address the severe humanitarian crisis in Yemen</w:t>
      </w:r>
    </w:p>
    <w:p w14:paraId="56EB0978" w14:textId="77777777" w:rsidR="00B40E7E" w:rsidRDefault="00B40E7E" w:rsidP="00B40E7E">
      <w:pPr>
        <w:bidi w:val="0"/>
      </w:pPr>
    </w:p>
    <w:p w14:paraId="5429E44A" w14:textId="11D721C7" w:rsidR="007152CA" w:rsidRPr="007152CA" w:rsidRDefault="007152CA" w:rsidP="00B40E7E">
      <w:pPr>
        <w:bidi w:val="0"/>
      </w:pPr>
      <w:r w:rsidRPr="007152CA">
        <w:rPr>
          <w:b/>
          <w:bCs/>
        </w:rPr>
        <w:t>Certainly!</w:t>
      </w:r>
      <w:r w:rsidRPr="007152CA">
        <w:t xml:space="preserve"> The statistical outcomes presented in the report carry significant value, as they illustrate both the impact of the project and its alignment with broader goals. Here's a breakdown of their significance:</w:t>
      </w:r>
    </w:p>
    <w:p w14:paraId="6627D7C0" w14:textId="77777777" w:rsidR="007152CA" w:rsidRPr="007152CA" w:rsidRDefault="007152CA" w:rsidP="007152CA">
      <w:pPr>
        <w:bidi w:val="0"/>
        <w:rPr>
          <w:b/>
          <w:bCs/>
        </w:rPr>
      </w:pPr>
      <w:r w:rsidRPr="007152CA">
        <w:rPr>
          <w:b/>
          <w:bCs/>
        </w:rPr>
        <w:t>1. Demonstrating Project Reach</w:t>
      </w:r>
    </w:p>
    <w:p w14:paraId="218CDE08" w14:textId="77777777" w:rsidR="007152CA" w:rsidRPr="007152CA" w:rsidRDefault="007152CA" w:rsidP="007152CA">
      <w:pPr>
        <w:numPr>
          <w:ilvl w:val="0"/>
          <w:numId w:val="7"/>
        </w:numPr>
        <w:bidi w:val="0"/>
      </w:pPr>
      <w:r w:rsidRPr="007152CA">
        <w:rPr>
          <w:b/>
          <w:bCs/>
        </w:rPr>
        <w:t>514 beneficiaries</w:t>
      </w:r>
      <w:r w:rsidRPr="007152CA">
        <w:t xml:space="preserve"> (children and mothers) indicate the tangible impact the project has achieved in the short reporting period. This highlights the program's ability to address malnutrition effectively among high-risk groups.</w:t>
      </w:r>
    </w:p>
    <w:p w14:paraId="342EA75B" w14:textId="77777777" w:rsidR="007152CA" w:rsidRPr="007152CA" w:rsidRDefault="007152CA" w:rsidP="007152CA">
      <w:pPr>
        <w:numPr>
          <w:ilvl w:val="0"/>
          <w:numId w:val="7"/>
        </w:numPr>
        <w:bidi w:val="0"/>
      </w:pPr>
      <w:r w:rsidRPr="007152CA">
        <w:t>These numbers reflect the coverage of services, including screening, treatment, and counseling, showcasing the project's extensive outreach efforts.</w:t>
      </w:r>
    </w:p>
    <w:p w14:paraId="7CD72EB6" w14:textId="77777777" w:rsidR="007152CA" w:rsidRPr="007152CA" w:rsidRDefault="007152CA" w:rsidP="007152CA">
      <w:pPr>
        <w:bidi w:val="0"/>
        <w:rPr>
          <w:b/>
          <w:bCs/>
        </w:rPr>
      </w:pPr>
      <w:r w:rsidRPr="007152CA">
        <w:rPr>
          <w:b/>
          <w:bCs/>
        </w:rPr>
        <w:t>2. Identifying Gender Equity</w:t>
      </w:r>
    </w:p>
    <w:p w14:paraId="66280875" w14:textId="77777777" w:rsidR="007152CA" w:rsidRDefault="007152CA" w:rsidP="007152CA">
      <w:pPr>
        <w:numPr>
          <w:ilvl w:val="0"/>
          <w:numId w:val="8"/>
        </w:numPr>
        <w:bidi w:val="0"/>
      </w:pPr>
      <w:r w:rsidRPr="007152CA">
        <w:t>The data shows a balanced distribution of support across genders (e.g., male and female children) and focuses on vulnerable women (pregnant and lactating mothers), emphasizing inclusivity and equitable service delivery.</w:t>
      </w:r>
    </w:p>
    <w:p w14:paraId="28D95296" w14:textId="77777777" w:rsidR="007152CA" w:rsidRPr="007152CA" w:rsidRDefault="007152CA" w:rsidP="007152CA">
      <w:pPr>
        <w:bidi w:val="0"/>
        <w:rPr>
          <w:b/>
          <w:bCs/>
        </w:rPr>
      </w:pPr>
      <w:r w:rsidRPr="007152CA">
        <w:rPr>
          <w:b/>
          <w:bCs/>
        </w:rPr>
        <w:t>3. Tracking Progress</w:t>
      </w:r>
    </w:p>
    <w:p w14:paraId="3442156A" w14:textId="77777777" w:rsidR="007152CA" w:rsidRPr="007152CA" w:rsidRDefault="007152CA" w:rsidP="007152CA">
      <w:pPr>
        <w:numPr>
          <w:ilvl w:val="0"/>
          <w:numId w:val="9"/>
        </w:numPr>
        <w:bidi w:val="0"/>
      </w:pPr>
      <w:r w:rsidRPr="007152CA">
        <w:t xml:space="preserve">The </w:t>
      </w:r>
      <w:r w:rsidRPr="007152CA">
        <w:rPr>
          <w:b/>
          <w:bCs/>
        </w:rPr>
        <w:t>104 children and 116 women served</w:t>
      </w:r>
      <w:r w:rsidRPr="007152CA">
        <w:t xml:space="preserve"> signal a measurable contribution to mitigating malnutrition. Such granular data can be used to compare against previous reporting periods, aiding in performance evaluation and demonstrating improvements.</w:t>
      </w:r>
    </w:p>
    <w:p w14:paraId="663C63F0" w14:textId="77777777" w:rsidR="007152CA" w:rsidRPr="007152CA" w:rsidRDefault="007152CA" w:rsidP="007152CA">
      <w:pPr>
        <w:bidi w:val="0"/>
        <w:rPr>
          <w:b/>
          <w:bCs/>
        </w:rPr>
      </w:pPr>
      <w:r w:rsidRPr="007152CA">
        <w:rPr>
          <w:b/>
          <w:bCs/>
        </w:rPr>
        <w:t>4. Highlighting Community Engagement</w:t>
      </w:r>
    </w:p>
    <w:p w14:paraId="35D2E5A0" w14:textId="77777777" w:rsidR="007152CA" w:rsidRPr="007152CA" w:rsidRDefault="007152CA" w:rsidP="007152CA">
      <w:pPr>
        <w:numPr>
          <w:ilvl w:val="0"/>
          <w:numId w:val="10"/>
        </w:numPr>
        <w:bidi w:val="0"/>
      </w:pPr>
      <w:r w:rsidRPr="007152CA">
        <w:t xml:space="preserve">Screening efforts that reached </w:t>
      </w:r>
      <w:r w:rsidRPr="007152CA">
        <w:rPr>
          <w:b/>
          <w:bCs/>
        </w:rPr>
        <w:t>106 individuals</w:t>
      </w:r>
      <w:r w:rsidRPr="007152CA">
        <w:t xml:space="preserve"> at the community level reflect active involvement and mobilization of resources. This indicates the project's success in integrating preventive care measures alongside treatment.</w:t>
      </w:r>
    </w:p>
    <w:p w14:paraId="76BFF321" w14:textId="77777777" w:rsidR="007152CA" w:rsidRPr="007152CA" w:rsidRDefault="007152CA" w:rsidP="007152CA">
      <w:pPr>
        <w:bidi w:val="0"/>
        <w:rPr>
          <w:b/>
          <w:bCs/>
        </w:rPr>
      </w:pPr>
      <w:r w:rsidRPr="007152CA">
        <w:rPr>
          <w:b/>
          <w:bCs/>
        </w:rPr>
        <w:t>5. Evidence for Advocacy</w:t>
      </w:r>
    </w:p>
    <w:p w14:paraId="3CDF282F" w14:textId="77777777" w:rsidR="007152CA" w:rsidRPr="007152CA" w:rsidRDefault="007152CA" w:rsidP="007152CA">
      <w:pPr>
        <w:numPr>
          <w:ilvl w:val="0"/>
          <w:numId w:val="11"/>
        </w:numPr>
        <w:bidi w:val="0"/>
      </w:pPr>
      <w:r w:rsidRPr="007152CA">
        <w:t>These statistics provide solid evidence to advocate for continued funding and support. Donors and stakeholders can see clear results and understand the project's critical role in combating malnutrition.</w:t>
      </w:r>
    </w:p>
    <w:p w14:paraId="58155BD4" w14:textId="77777777" w:rsidR="007152CA" w:rsidRPr="007152CA" w:rsidRDefault="007152CA" w:rsidP="007152CA">
      <w:pPr>
        <w:bidi w:val="0"/>
        <w:rPr>
          <w:b/>
          <w:bCs/>
        </w:rPr>
      </w:pPr>
      <w:r w:rsidRPr="007152CA">
        <w:rPr>
          <w:b/>
          <w:bCs/>
        </w:rPr>
        <w:t>6. Informing Future Planning</w:t>
      </w:r>
    </w:p>
    <w:p w14:paraId="4670BC2A" w14:textId="77777777" w:rsidR="007152CA" w:rsidRPr="007152CA" w:rsidRDefault="007152CA" w:rsidP="007152CA">
      <w:pPr>
        <w:numPr>
          <w:ilvl w:val="0"/>
          <w:numId w:val="12"/>
        </w:numPr>
        <w:bidi w:val="0"/>
      </w:pPr>
      <w:r w:rsidRPr="007152CA">
        <w:t>The identified service gaps, such as follow-up visits (76 cases), reveal areas for improvement and help in planning future activities. The outcomes also underline the importance of sustained engagement for long-term impact.</w:t>
      </w:r>
    </w:p>
    <w:p w14:paraId="3CB03D1B" w14:textId="77777777" w:rsidR="007152CA" w:rsidRDefault="007152CA" w:rsidP="007152CA">
      <w:pPr>
        <w:bidi w:val="0"/>
      </w:pPr>
    </w:p>
    <w:p w14:paraId="2473E887" w14:textId="77777777" w:rsidR="005A0C88" w:rsidRDefault="005A0C88" w:rsidP="005A0C88">
      <w:pPr>
        <w:bidi w:val="0"/>
      </w:pPr>
    </w:p>
    <w:p w14:paraId="2349D744" w14:textId="77777777" w:rsidR="005A0C88" w:rsidRDefault="005A0C88" w:rsidP="005A0C88">
      <w:pPr>
        <w:bidi w:val="0"/>
      </w:pPr>
    </w:p>
    <w:sectPr w:rsidR="005A0C88" w:rsidSect="00B40E7E">
      <w:pgSz w:w="11906" w:h="16838"/>
      <w:pgMar w:top="630" w:right="296" w:bottom="630" w:left="99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E4741"/>
    <w:multiLevelType w:val="multilevel"/>
    <w:tmpl w:val="887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110529"/>
    <w:multiLevelType w:val="multilevel"/>
    <w:tmpl w:val="505C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79114A"/>
    <w:multiLevelType w:val="multilevel"/>
    <w:tmpl w:val="F3E2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31339A"/>
    <w:multiLevelType w:val="multilevel"/>
    <w:tmpl w:val="A0044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D4D87"/>
    <w:multiLevelType w:val="multilevel"/>
    <w:tmpl w:val="D0B89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56312B"/>
    <w:multiLevelType w:val="multilevel"/>
    <w:tmpl w:val="F2FE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7715F3"/>
    <w:multiLevelType w:val="multilevel"/>
    <w:tmpl w:val="767C0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8E506C"/>
    <w:multiLevelType w:val="multilevel"/>
    <w:tmpl w:val="2258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BA5AE7"/>
    <w:multiLevelType w:val="multilevel"/>
    <w:tmpl w:val="2E7E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173F0"/>
    <w:multiLevelType w:val="multilevel"/>
    <w:tmpl w:val="35A42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A8562F"/>
    <w:multiLevelType w:val="multilevel"/>
    <w:tmpl w:val="3DAE9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714E1D"/>
    <w:multiLevelType w:val="multilevel"/>
    <w:tmpl w:val="CE30C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8971978">
    <w:abstractNumId w:val="5"/>
  </w:num>
  <w:num w:numId="2" w16cid:durableId="1787193678">
    <w:abstractNumId w:val="4"/>
  </w:num>
  <w:num w:numId="3" w16cid:durableId="1735011004">
    <w:abstractNumId w:val="0"/>
  </w:num>
  <w:num w:numId="4" w16cid:durableId="1325935754">
    <w:abstractNumId w:val="1"/>
  </w:num>
  <w:num w:numId="5" w16cid:durableId="1743329081">
    <w:abstractNumId w:val="6"/>
  </w:num>
  <w:num w:numId="6" w16cid:durableId="1407916522">
    <w:abstractNumId w:val="9"/>
  </w:num>
  <w:num w:numId="7" w16cid:durableId="1259755581">
    <w:abstractNumId w:val="11"/>
  </w:num>
  <w:num w:numId="8" w16cid:durableId="773788899">
    <w:abstractNumId w:val="7"/>
  </w:num>
  <w:num w:numId="9" w16cid:durableId="1015231792">
    <w:abstractNumId w:val="10"/>
  </w:num>
  <w:num w:numId="10" w16cid:durableId="1376462339">
    <w:abstractNumId w:val="3"/>
  </w:num>
  <w:num w:numId="11" w16cid:durableId="2075352387">
    <w:abstractNumId w:val="8"/>
  </w:num>
  <w:num w:numId="12" w16cid:durableId="97412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86"/>
    <w:rsid w:val="000740CA"/>
    <w:rsid w:val="0011537E"/>
    <w:rsid w:val="00357786"/>
    <w:rsid w:val="00450F18"/>
    <w:rsid w:val="005A0C88"/>
    <w:rsid w:val="007152CA"/>
    <w:rsid w:val="007D41AB"/>
    <w:rsid w:val="008D2CC1"/>
    <w:rsid w:val="00A5488F"/>
    <w:rsid w:val="00B40E7E"/>
    <w:rsid w:val="00E66AA3"/>
    <w:rsid w:val="00EA6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2E5D6"/>
  <w15:chartTrackingRefBased/>
  <w15:docId w15:val="{429E056A-66B6-4AC2-B020-850CFC50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3577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3577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35778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35778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35778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35778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35778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35778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35778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57786"/>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57786"/>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57786"/>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57786"/>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57786"/>
    <w:rPr>
      <w:rFonts w:eastAsiaTheme="majorEastAsia" w:cstheme="majorBidi"/>
      <w:color w:val="2F5496" w:themeColor="accent1" w:themeShade="BF"/>
    </w:rPr>
  </w:style>
  <w:style w:type="character" w:customStyle="1" w:styleId="6Char">
    <w:name w:val="عنوان 6 Char"/>
    <w:basedOn w:val="a0"/>
    <w:link w:val="6"/>
    <w:uiPriority w:val="9"/>
    <w:semiHidden/>
    <w:rsid w:val="00357786"/>
    <w:rPr>
      <w:rFonts w:eastAsiaTheme="majorEastAsia" w:cstheme="majorBidi"/>
      <w:i/>
      <w:iCs/>
      <w:color w:val="595959" w:themeColor="text1" w:themeTint="A6"/>
    </w:rPr>
  </w:style>
  <w:style w:type="character" w:customStyle="1" w:styleId="7Char">
    <w:name w:val="عنوان 7 Char"/>
    <w:basedOn w:val="a0"/>
    <w:link w:val="7"/>
    <w:uiPriority w:val="9"/>
    <w:semiHidden/>
    <w:rsid w:val="00357786"/>
    <w:rPr>
      <w:rFonts w:eastAsiaTheme="majorEastAsia" w:cstheme="majorBidi"/>
      <w:color w:val="595959" w:themeColor="text1" w:themeTint="A6"/>
    </w:rPr>
  </w:style>
  <w:style w:type="character" w:customStyle="1" w:styleId="8Char">
    <w:name w:val="عنوان 8 Char"/>
    <w:basedOn w:val="a0"/>
    <w:link w:val="8"/>
    <w:uiPriority w:val="9"/>
    <w:semiHidden/>
    <w:rsid w:val="00357786"/>
    <w:rPr>
      <w:rFonts w:eastAsiaTheme="majorEastAsia" w:cstheme="majorBidi"/>
      <w:i/>
      <w:iCs/>
      <w:color w:val="272727" w:themeColor="text1" w:themeTint="D8"/>
    </w:rPr>
  </w:style>
  <w:style w:type="character" w:customStyle="1" w:styleId="9Char">
    <w:name w:val="عنوان 9 Char"/>
    <w:basedOn w:val="a0"/>
    <w:link w:val="9"/>
    <w:uiPriority w:val="9"/>
    <w:semiHidden/>
    <w:rsid w:val="00357786"/>
    <w:rPr>
      <w:rFonts w:eastAsiaTheme="majorEastAsia" w:cstheme="majorBidi"/>
      <w:color w:val="272727" w:themeColor="text1" w:themeTint="D8"/>
    </w:rPr>
  </w:style>
  <w:style w:type="paragraph" w:styleId="a3">
    <w:name w:val="Title"/>
    <w:basedOn w:val="a"/>
    <w:next w:val="a"/>
    <w:link w:val="Char"/>
    <w:uiPriority w:val="1"/>
    <w:qFormat/>
    <w:rsid w:val="003577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
    <w:rsid w:val="00357786"/>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57786"/>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357786"/>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57786"/>
    <w:pPr>
      <w:spacing w:before="160"/>
      <w:jc w:val="center"/>
    </w:pPr>
    <w:rPr>
      <w:i/>
      <w:iCs/>
      <w:color w:val="404040" w:themeColor="text1" w:themeTint="BF"/>
    </w:rPr>
  </w:style>
  <w:style w:type="character" w:customStyle="1" w:styleId="Char1">
    <w:name w:val="اقتباس Char"/>
    <w:basedOn w:val="a0"/>
    <w:link w:val="a5"/>
    <w:uiPriority w:val="29"/>
    <w:rsid w:val="00357786"/>
    <w:rPr>
      <w:i/>
      <w:iCs/>
      <w:color w:val="404040" w:themeColor="text1" w:themeTint="BF"/>
    </w:rPr>
  </w:style>
  <w:style w:type="paragraph" w:styleId="a6">
    <w:name w:val="List Paragraph"/>
    <w:basedOn w:val="a"/>
    <w:uiPriority w:val="34"/>
    <w:qFormat/>
    <w:rsid w:val="00357786"/>
    <w:pPr>
      <w:ind w:left="720"/>
      <w:contextualSpacing/>
    </w:pPr>
  </w:style>
  <w:style w:type="character" w:styleId="a7">
    <w:name w:val="Intense Emphasis"/>
    <w:basedOn w:val="a0"/>
    <w:uiPriority w:val="21"/>
    <w:qFormat/>
    <w:rsid w:val="00357786"/>
    <w:rPr>
      <w:i/>
      <w:iCs/>
      <w:color w:val="2F5496" w:themeColor="accent1" w:themeShade="BF"/>
    </w:rPr>
  </w:style>
  <w:style w:type="paragraph" w:styleId="a8">
    <w:name w:val="Intense Quote"/>
    <w:basedOn w:val="a"/>
    <w:next w:val="a"/>
    <w:link w:val="Char2"/>
    <w:uiPriority w:val="30"/>
    <w:qFormat/>
    <w:rsid w:val="003577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357786"/>
    <w:rPr>
      <w:i/>
      <w:iCs/>
      <w:color w:val="2F5496" w:themeColor="accent1" w:themeShade="BF"/>
    </w:rPr>
  </w:style>
  <w:style w:type="character" w:styleId="a9">
    <w:name w:val="Intense Reference"/>
    <w:basedOn w:val="a0"/>
    <w:uiPriority w:val="32"/>
    <w:qFormat/>
    <w:rsid w:val="00357786"/>
    <w:rPr>
      <w:b/>
      <w:bCs/>
      <w:smallCaps/>
      <w:color w:val="2F5496" w:themeColor="accent1" w:themeShade="BF"/>
      <w:spacing w:val="5"/>
    </w:rPr>
  </w:style>
  <w:style w:type="paragraph" w:styleId="aa">
    <w:name w:val="header"/>
    <w:basedOn w:val="a"/>
    <w:link w:val="Char3"/>
    <w:uiPriority w:val="99"/>
    <w:unhideWhenUsed/>
    <w:rsid w:val="007152CA"/>
    <w:pPr>
      <w:tabs>
        <w:tab w:val="center" w:pos="4153"/>
        <w:tab w:val="right" w:pos="8306"/>
      </w:tabs>
      <w:spacing w:after="0" w:line="240" w:lineRule="auto"/>
    </w:pPr>
    <w:rPr>
      <w:sz w:val="22"/>
      <w:szCs w:val="22"/>
    </w:rPr>
  </w:style>
  <w:style w:type="character" w:customStyle="1" w:styleId="Char3">
    <w:name w:val="رأس الصفحة Char"/>
    <w:basedOn w:val="a0"/>
    <w:link w:val="aa"/>
    <w:uiPriority w:val="99"/>
    <w:rsid w:val="007152CA"/>
    <w:rPr>
      <w:sz w:val="22"/>
      <w:szCs w:val="22"/>
    </w:rPr>
  </w:style>
  <w:style w:type="table" w:styleId="ab">
    <w:name w:val="Table Grid"/>
    <w:basedOn w:val="a1"/>
    <w:uiPriority w:val="39"/>
    <w:rsid w:val="007152CA"/>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A5488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327957">
      <w:bodyDiv w:val="1"/>
      <w:marLeft w:val="0"/>
      <w:marRight w:val="0"/>
      <w:marTop w:val="0"/>
      <w:marBottom w:val="0"/>
      <w:divBdr>
        <w:top w:val="none" w:sz="0" w:space="0" w:color="auto"/>
        <w:left w:val="none" w:sz="0" w:space="0" w:color="auto"/>
        <w:bottom w:val="none" w:sz="0" w:space="0" w:color="auto"/>
        <w:right w:val="none" w:sz="0" w:space="0" w:color="auto"/>
      </w:divBdr>
    </w:div>
    <w:div w:id="83041514">
      <w:bodyDiv w:val="1"/>
      <w:marLeft w:val="0"/>
      <w:marRight w:val="0"/>
      <w:marTop w:val="0"/>
      <w:marBottom w:val="0"/>
      <w:divBdr>
        <w:top w:val="none" w:sz="0" w:space="0" w:color="auto"/>
        <w:left w:val="none" w:sz="0" w:space="0" w:color="auto"/>
        <w:bottom w:val="none" w:sz="0" w:space="0" w:color="auto"/>
        <w:right w:val="none" w:sz="0" w:space="0" w:color="auto"/>
      </w:divBdr>
    </w:div>
    <w:div w:id="209151858">
      <w:bodyDiv w:val="1"/>
      <w:marLeft w:val="0"/>
      <w:marRight w:val="0"/>
      <w:marTop w:val="0"/>
      <w:marBottom w:val="0"/>
      <w:divBdr>
        <w:top w:val="none" w:sz="0" w:space="0" w:color="auto"/>
        <w:left w:val="none" w:sz="0" w:space="0" w:color="auto"/>
        <w:bottom w:val="none" w:sz="0" w:space="0" w:color="auto"/>
        <w:right w:val="none" w:sz="0" w:space="0" w:color="auto"/>
      </w:divBdr>
    </w:div>
    <w:div w:id="348264970">
      <w:bodyDiv w:val="1"/>
      <w:marLeft w:val="0"/>
      <w:marRight w:val="0"/>
      <w:marTop w:val="0"/>
      <w:marBottom w:val="0"/>
      <w:divBdr>
        <w:top w:val="none" w:sz="0" w:space="0" w:color="auto"/>
        <w:left w:val="none" w:sz="0" w:space="0" w:color="auto"/>
        <w:bottom w:val="none" w:sz="0" w:space="0" w:color="auto"/>
        <w:right w:val="none" w:sz="0" w:space="0" w:color="auto"/>
      </w:divBdr>
    </w:div>
    <w:div w:id="566693821">
      <w:bodyDiv w:val="1"/>
      <w:marLeft w:val="0"/>
      <w:marRight w:val="0"/>
      <w:marTop w:val="0"/>
      <w:marBottom w:val="0"/>
      <w:divBdr>
        <w:top w:val="none" w:sz="0" w:space="0" w:color="auto"/>
        <w:left w:val="none" w:sz="0" w:space="0" w:color="auto"/>
        <w:bottom w:val="none" w:sz="0" w:space="0" w:color="auto"/>
        <w:right w:val="none" w:sz="0" w:space="0" w:color="auto"/>
      </w:divBdr>
    </w:div>
    <w:div w:id="676690169">
      <w:bodyDiv w:val="1"/>
      <w:marLeft w:val="0"/>
      <w:marRight w:val="0"/>
      <w:marTop w:val="0"/>
      <w:marBottom w:val="0"/>
      <w:divBdr>
        <w:top w:val="none" w:sz="0" w:space="0" w:color="auto"/>
        <w:left w:val="none" w:sz="0" w:space="0" w:color="auto"/>
        <w:bottom w:val="none" w:sz="0" w:space="0" w:color="auto"/>
        <w:right w:val="none" w:sz="0" w:space="0" w:color="auto"/>
      </w:divBdr>
    </w:div>
    <w:div w:id="730886470">
      <w:bodyDiv w:val="1"/>
      <w:marLeft w:val="0"/>
      <w:marRight w:val="0"/>
      <w:marTop w:val="0"/>
      <w:marBottom w:val="0"/>
      <w:divBdr>
        <w:top w:val="none" w:sz="0" w:space="0" w:color="auto"/>
        <w:left w:val="none" w:sz="0" w:space="0" w:color="auto"/>
        <w:bottom w:val="none" w:sz="0" w:space="0" w:color="auto"/>
        <w:right w:val="none" w:sz="0" w:space="0" w:color="auto"/>
      </w:divBdr>
    </w:div>
    <w:div w:id="747069456">
      <w:bodyDiv w:val="1"/>
      <w:marLeft w:val="0"/>
      <w:marRight w:val="0"/>
      <w:marTop w:val="0"/>
      <w:marBottom w:val="0"/>
      <w:divBdr>
        <w:top w:val="none" w:sz="0" w:space="0" w:color="auto"/>
        <w:left w:val="none" w:sz="0" w:space="0" w:color="auto"/>
        <w:bottom w:val="none" w:sz="0" w:space="0" w:color="auto"/>
        <w:right w:val="none" w:sz="0" w:space="0" w:color="auto"/>
      </w:divBdr>
    </w:div>
    <w:div w:id="1111513638">
      <w:bodyDiv w:val="1"/>
      <w:marLeft w:val="0"/>
      <w:marRight w:val="0"/>
      <w:marTop w:val="0"/>
      <w:marBottom w:val="0"/>
      <w:divBdr>
        <w:top w:val="none" w:sz="0" w:space="0" w:color="auto"/>
        <w:left w:val="none" w:sz="0" w:space="0" w:color="auto"/>
        <w:bottom w:val="none" w:sz="0" w:space="0" w:color="auto"/>
        <w:right w:val="none" w:sz="0" w:space="0" w:color="auto"/>
      </w:divBdr>
    </w:div>
    <w:div w:id="1428189744">
      <w:bodyDiv w:val="1"/>
      <w:marLeft w:val="0"/>
      <w:marRight w:val="0"/>
      <w:marTop w:val="0"/>
      <w:marBottom w:val="0"/>
      <w:divBdr>
        <w:top w:val="none" w:sz="0" w:space="0" w:color="auto"/>
        <w:left w:val="none" w:sz="0" w:space="0" w:color="auto"/>
        <w:bottom w:val="none" w:sz="0" w:space="0" w:color="auto"/>
        <w:right w:val="none" w:sz="0" w:space="0" w:color="auto"/>
      </w:divBdr>
      <w:divsChild>
        <w:div w:id="280646911">
          <w:marLeft w:val="0"/>
          <w:marRight w:val="0"/>
          <w:marTop w:val="0"/>
          <w:marBottom w:val="0"/>
          <w:divBdr>
            <w:top w:val="none" w:sz="0" w:space="0" w:color="auto"/>
            <w:left w:val="none" w:sz="0" w:space="0" w:color="auto"/>
            <w:bottom w:val="none" w:sz="0" w:space="0" w:color="auto"/>
            <w:right w:val="none" w:sz="0" w:space="0" w:color="auto"/>
          </w:divBdr>
          <w:divsChild>
            <w:div w:id="1222205420">
              <w:marLeft w:val="0"/>
              <w:marRight w:val="0"/>
              <w:marTop w:val="0"/>
              <w:marBottom w:val="0"/>
              <w:divBdr>
                <w:top w:val="none" w:sz="0" w:space="0" w:color="auto"/>
                <w:left w:val="none" w:sz="0" w:space="0" w:color="auto"/>
                <w:bottom w:val="none" w:sz="0" w:space="0" w:color="auto"/>
                <w:right w:val="none" w:sz="0" w:space="0" w:color="auto"/>
              </w:divBdr>
              <w:divsChild>
                <w:div w:id="19611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7650">
          <w:marLeft w:val="0"/>
          <w:marRight w:val="0"/>
          <w:marTop w:val="0"/>
          <w:marBottom w:val="0"/>
          <w:divBdr>
            <w:top w:val="none" w:sz="0" w:space="0" w:color="auto"/>
            <w:left w:val="none" w:sz="0" w:space="0" w:color="auto"/>
            <w:bottom w:val="none" w:sz="0" w:space="0" w:color="auto"/>
            <w:right w:val="none" w:sz="0" w:space="0" w:color="auto"/>
          </w:divBdr>
          <w:divsChild>
            <w:div w:id="18141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030760">
      <w:bodyDiv w:val="1"/>
      <w:marLeft w:val="0"/>
      <w:marRight w:val="0"/>
      <w:marTop w:val="0"/>
      <w:marBottom w:val="0"/>
      <w:divBdr>
        <w:top w:val="none" w:sz="0" w:space="0" w:color="auto"/>
        <w:left w:val="none" w:sz="0" w:space="0" w:color="auto"/>
        <w:bottom w:val="none" w:sz="0" w:space="0" w:color="auto"/>
        <w:right w:val="none" w:sz="0" w:space="0" w:color="auto"/>
      </w:divBdr>
    </w:div>
    <w:div w:id="1784113975">
      <w:bodyDiv w:val="1"/>
      <w:marLeft w:val="0"/>
      <w:marRight w:val="0"/>
      <w:marTop w:val="0"/>
      <w:marBottom w:val="0"/>
      <w:divBdr>
        <w:top w:val="none" w:sz="0" w:space="0" w:color="auto"/>
        <w:left w:val="none" w:sz="0" w:space="0" w:color="auto"/>
        <w:bottom w:val="none" w:sz="0" w:space="0" w:color="auto"/>
        <w:right w:val="none" w:sz="0" w:space="0" w:color="auto"/>
      </w:divBdr>
      <w:divsChild>
        <w:div w:id="1793474773">
          <w:marLeft w:val="0"/>
          <w:marRight w:val="0"/>
          <w:marTop w:val="0"/>
          <w:marBottom w:val="0"/>
          <w:divBdr>
            <w:top w:val="none" w:sz="0" w:space="0" w:color="auto"/>
            <w:left w:val="none" w:sz="0" w:space="0" w:color="auto"/>
            <w:bottom w:val="none" w:sz="0" w:space="0" w:color="auto"/>
            <w:right w:val="none" w:sz="0" w:space="0" w:color="auto"/>
          </w:divBdr>
          <w:divsChild>
            <w:div w:id="440498147">
              <w:marLeft w:val="0"/>
              <w:marRight w:val="0"/>
              <w:marTop w:val="0"/>
              <w:marBottom w:val="0"/>
              <w:divBdr>
                <w:top w:val="none" w:sz="0" w:space="0" w:color="auto"/>
                <w:left w:val="none" w:sz="0" w:space="0" w:color="auto"/>
                <w:bottom w:val="none" w:sz="0" w:space="0" w:color="auto"/>
                <w:right w:val="none" w:sz="0" w:space="0" w:color="auto"/>
              </w:divBdr>
              <w:divsChild>
                <w:div w:id="43308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5553">
          <w:marLeft w:val="0"/>
          <w:marRight w:val="0"/>
          <w:marTop w:val="0"/>
          <w:marBottom w:val="0"/>
          <w:divBdr>
            <w:top w:val="none" w:sz="0" w:space="0" w:color="auto"/>
            <w:left w:val="none" w:sz="0" w:space="0" w:color="auto"/>
            <w:bottom w:val="none" w:sz="0" w:space="0" w:color="auto"/>
            <w:right w:val="none" w:sz="0" w:space="0" w:color="auto"/>
          </w:divBdr>
          <w:divsChild>
            <w:div w:id="1213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559639">
      <w:bodyDiv w:val="1"/>
      <w:marLeft w:val="0"/>
      <w:marRight w:val="0"/>
      <w:marTop w:val="0"/>
      <w:marBottom w:val="0"/>
      <w:divBdr>
        <w:top w:val="none" w:sz="0" w:space="0" w:color="auto"/>
        <w:left w:val="none" w:sz="0" w:space="0" w:color="auto"/>
        <w:bottom w:val="none" w:sz="0" w:space="0" w:color="auto"/>
        <w:right w:val="none" w:sz="0" w:space="0" w:color="auto"/>
      </w:divBdr>
    </w:div>
    <w:div w:id="1852257267">
      <w:bodyDiv w:val="1"/>
      <w:marLeft w:val="0"/>
      <w:marRight w:val="0"/>
      <w:marTop w:val="0"/>
      <w:marBottom w:val="0"/>
      <w:divBdr>
        <w:top w:val="none" w:sz="0" w:space="0" w:color="auto"/>
        <w:left w:val="none" w:sz="0" w:space="0" w:color="auto"/>
        <w:bottom w:val="none" w:sz="0" w:space="0" w:color="auto"/>
        <w:right w:val="none" w:sz="0" w:space="0" w:color="auto"/>
      </w:divBdr>
    </w:div>
    <w:div w:id="1854568510">
      <w:bodyDiv w:val="1"/>
      <w:marLeft w:val="0"/>
      <w:marRight w:val="0"/>
      <w:marTop w:val="0"/>
      <w:marBottom w:val="0"/>
      <w:divBdr>
        <w:top w:val="none" w:sz="0" w:space="0" w:color="auto"/>
        <w:left w:val="none" w:sz="0" w:space="0" w:color="auto"/>
        <w:bottom w:val="none" w:sz="0" w:space="0" w:color="auto"/>
        <w:right w:val="none" w:sz="0" w:space="0" w:color="auto"/>
      </w:divBdr>
    </w:div>
    <w:div w:id="194919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customXml" Target="ink/ink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11T20:24:07.449"/>
    </inkml:context>
    <inkml:brush xml:id="br0">
      <inkml:brushProperty name="width" value="0.035" units="cm"/>
      <inkml:brushProperty name="height" value="0.035" units="cm"/>
    </inkml:brush>
  </inkml:definitions>
  <inkml:trace contextRef="#ctx0" brushRef="#br0">1 0 24575</inkml:trace>
</inkml:ink>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6</Pages>
  <Words>1346</Words>
  <Characters>7677</Characters>
  <Application>Microsoft Office Word</Application>
  <DocSecurity>0</DocSecurity>
  <Lines>63</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abdulhameed alghaily</dc:creator>
  <cp:keywords/>
  <dc:description/>
  <cp:lastModifiedBy>abdulhameed alghaily</cp:lastModifiedBy>
  <cp:revision>4</cp:revision>
  <cp:lastPrinted>2025-03-11T20:27:00Z</cp:lastPrinted>
  <dcterms:created xsi:type="dcterms:W3CDTF">2025-03-11T18:57:00Z</dcterms:created>
  <dcterms:modified xsi:type="dcterms:W3CDTF">2025-03-11T20:31:00Z</dcterms:modified>
</cp:coreProperties>
</file>