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8B" w:rsidRPr="00163C8B" w:rsidRDefault="00163C8B" w:rsidP="00163C8B">
      <w:pPr>
        <w:shd w:val="clear" w:color="auto" w:fill="FFFFFF"/>
        <w:spacing w:after="240" w:line="240" w:lineRule="auto"/>
        <w:textAlignment w:val="top"/>
        <w:outlineLvl w:val="0"/>
        <w:rPr>
          <w:rFonts w:ascii="Georgia" w:eastAsia="Times New Roman" w:hAnsi="Georgia" w:cs="Times New Roman"/>
          <w:color w:val="3E4B59"/>
          <w:spacing w:val="2"/>
          <w:kern w:val="36"/>
          <w:sz w:val="60"/>
          <w:szCs w:val="60"/>
        </w:rPr>
      </w:pPr>
      <w:r w:rsidRPr="00163C8B">
        <w:rPr>
          <w:rFonts w:ascii="Georgia" w:eastAsia="Times New Roman" w:hAnsi="Georgia" w:cs="Times New Roman"/>
          <w:color w:val="3E4B59"/>
          <w:spacing w:val="2"/>
          <w:kern w:val="36"/>
          <w:sz w:val="60"/>
          <w:szCs w:val="60"/>
        </w:rPr>
        <w:t>Help children</w:t>
      </w:r>
      <w:r w:rsidR="00601202">
        <w:rPr>
          <w:rFonts w:ascii="Georgia" w:eastAsia="Times New Roman" w:hAnsi="Georgia" w:cs="Times New Roman"/>
          <w:color w:val="3E4B59"/>
          <w:spacing w:val="2"/>
          <w:kern w:val="36"/>
          <w:sz w:val="60"/>
          <w:szCs w:val="60"/>
        </w:rPr>
        <w:t xml:space="preserve"> affected by Kerala Floods!</w:t>
      </w:r>
    </w:p>
    <w:p w:rsidR="00163C8B" w:rsidRDefault="00163C8B" w:rsidP="000B26A1">
      <w:pPr>
        <w:jc w:val="both"/>
      </w:pPr>
    </w:p>
    <w:p w:rsidR="004B3AD2" w:rsidRPr="00F2220E" w:rsidRDefault="00F41FE9" w:rsidP="000B26A1">
      <w:pPr>
        <w:jc w:val="both"/>
        <w:rPr>
          <w:b/>
        </w:rPr>
      </w:pPr>
      <w:r w:rsidRPr="00F2220E">
        <w:rPr>
          <w:b/>
        </w:rPr>
        <w:t>BACKGROUND</w:t>
      </w:r>
    </w:p>
    <w:p w:rsidR="00F41FE9" w:rsidRDefault="00163C8B" w:rsidP="000B26A1">
      <w:pPr>
        <w:jc w:val="both"/>
      </w:pPr>
      <w:r w:rsidRPr="00163C8B">
        <w:t>Kerala floods</w:t>
      </w:r>
      <w:r w:rsidR="00F2220E">
        <w:t xml:space="preserve"> – a calamity of severe nature</w:t>
      </w:r>
      <w:r w:rsidRPr="00163C8B">
        <w:t xml:space="preserve"> has claimed 400 lives</w:t>
      </w:r>
      <w:r w:rsidR="00F41FE9">
        <w:t xml:space="preserve"> so far</w:t>
      </w:r>
      <w:r w:rsidRPr="00163C8B">
        <w:t xml:space="preserve"> whi</w:t>
      </w:r>
      <w:r w:rsidR="00F41FE9">
        <w:t>le displacing lakhs of people. H</w:t>
      </w:r>
      <w:r w:rsidR="00F41FE9" w:rsidRPr="00F41FE9">
        <w:t xml:space="preserve">ouses and schools have been </w:t>
      </w:r>
      <w:r w:rsidR="00F41FE9">
        <w:t>damaged very badly; people lost their belongings and</w:t>
      </w:r>
      <w:r w:rsidRPr="00163C8B">
        <w:t xml:space="preserve"> children are left heart-broken to see that their favorite storybooks, school bags etc. hav</w:t>
      </w:r>
      <w:r w:rsidR="00F41FE9">
        <w:t xml:space="preserve">e been washed away. Students pursuing </w:t>
      </w:r>
      <w:r w:rsidRPr="00163C8B">
        <w:t xml:space="preserve">higher education too </w:t>
      </w:r>
      <w:r w:rsidR="00F41FE9">
        <w:t xml:space="preserve">have </w:t>
      </w:r>
      <w:r w:rsidRPr="00163C8B">
        <w:t xml:space="preserve">lost their </w:t>
      </w:r>
      <w:r w:rsidR="00F41FE9">
        <w:t xml:space="preserve">important </w:t>
      </w:r>
      <w:r w:rsidRPr="00163C8B">
        <w:t xml:space="preserve">study materials. </w:t>
      </w:r>
      <w:r w:rsidR="00F41FE9">
        <w:t>We are raising funds to help with renovation of affected schools and for d</w:t>
      </w:r>
      <w:r w:rsidRPr="00163C8B">
        <w:t>onating school mat</w:t>
      </w:r>
      <w:r w:rsidR="00F41FE9">
        <w:t>erials to students</w:t>
      </w:r>
      <w:r w:rsidRPr="00163C8B">
        <w:t>.</w:t>
      </w:r>
    </w:p>
    <w:p w:rsidR="00163C8B" w:rsidRPr="00F2220E" w:rsidRDefault="00F41FE9">
      <w:pPr>
        <w:rPr>
          <w:b/>
        </w:rPr>
      </w:pPr>
      <w:r w:rsidRPr="00F2220E">
        <w:rPr>
          <w:b/>
        </w:rPr>
        <w:t>HOW WILL THIS PROJECT SOLVE THE PROBLEM</w:t>
      </w:r>
      <w:r w:rsidR="00163C8B" w:rsidRPr="00F2220E">
        <w:rPr>
          <w:b/>
        </w:rPr>
        <w:t xml:space="preserve">? </w:t>
      </w:r>
    </w:p>
    <w:p w:rsidR="00F2220E" w:rsidRDefault="00163C8B" w:rsidP="000B26A1">
      <w:pPr>
        <w:jc w:val="both"/>
      </w:pPr>
      <w:bookmarkStart w:id="0" w:name="_GoBack"/>
      <w:r w:rsidRPr="00163C8B">
        <w:t>We are doing our bit by donating school bags and stationery items like notebooks, pencils, colours, storybooks and colouring</w:t>
      </w:r>
      <w:r w:rsidR="00F2220E">
        <w:t xml:space="preserve"> books to the affected students </w:t>
      </w:r>
      <w:r w:rsidRPr="00163C8B">
        <w:t>and</w:t>
      </w:r>
      <w:r w:rsidR="00F2220E">
        <w:t xml:space="preserve"> also help rebuilding of affected schools by contributing towards </w:t>
      </w:r>
      <w:r w:rsidR="001A482F">
        <w:t>Teaching &amp; Learning material</w:t>
      </w:r>
      <w:r w:rsidR="00F2220E">
        <w:t>, setting up libraries and science labs etc. These timely interventions will immensely help in restarting the schools, while replacing lost study materials will give students a sense of normalcy when they ret</w:t>
      </w:r>
      <w:r w:rsidR="00A234A5">
        <w:t xml:space="preserve">urn to their schools/ colleges. </w:t>
      </w:r>
    </w:p>
    <w:bookmarkEnd w:id="0"/>
    <w:p w:rsidR="00163C8B" w:rsidRDefault="00F41FE9">
      <w:pPr>
        <w:rPr>
          <w:b/>
        </w:rPr>
      </w:pPr>
      <w:r w:rsidRPr="00F2220E">
        <w:rPr>
          <w:b/>
        </w:rPr>
        <w:t>WHAT IS OUR PLAN OF ACTION?</w:t>
      </w:r>
    </w:p>
    <w:p w:rsidR="00A234A5" w:rsidRDefault="00A234A5">
      <w:r>
        <w:t xml:space="preserve">We plan to identify </w:t>
      </w:r>
      <w:r w:rsidRPr="00A234A5">
        <w:t>schools from the flood-ravaged areas of Central Kerala</w:t>
      </w:r>
      <w:r>
        <w:t xml:space="preserve"> and provide for the following renovation/ rebuilding work – </w:t>
      </w:r>
    </w:p>
    <w:p w:rsidR="00A234A5" w:rsidRDefault="00A234A5" w:rsidP="00A234A5">
      <w:pPr>
        <w:pStyle w:val="ListParagraph"/>
        <w:numPr>
          <w:ilvl w:val="0"/>
          <w:numId w:val="1"/>
        </w:numPr>
      </w:pPr>
      <w:r>
        <w:t>Science lab equipment</w:t>
      </w:r>
    </w:p>
    <w:p w:rsidR="00A234A5" w:rsidRDefault="00A234A5" w:rsidP="00A234A5">
      <w:pPr>
        <w:pStyle w:val="ListParagraph"/>
        <w:numPr>
          <w:ilvl w:val="0"/>
          <w:numId w:val="1"/>
        </w:numPr>
      </w:pPr>
      <w:r>
        <w:t>Books for school libraries</w:t>
      </w:r>
    </w:p>
    <w:p w:rsidR="00A234A5" w:rsidRDefault="00A234A5" w:rsidP="00A234A5">
      <w:pPr>
        <w:pStyle w:val="ListParagraph"/>
        <w:numPr>
          <w:ilvl w:val="0"/>
          <w:numId w:val="1"/>
        </w:numPr>
      </w:pPr>
      <w:r>
        <w:t>Support for school painting</w:t>
      </w:r>
    </w:p>
    <w:p w:rsidR="00A234A5" w:rsidRDefault="00A234A5" w:rsidP="00A234A5">
      <w:pPr>
        <w:pStyle w:val="ListParagraph"/>
        <w:numPr>
          <w:ilvl w:val="0"/>
          <w:numId w:val="1"/>
        </w:numPr>
      </w:pPr>
      <w:r>
        <w:t>Teaching aid support for school</w:t>
      </w:r>
    </w:p>
    <w:p w:rsidR="00A234A5" w:rsidRDefault="00A234A5" w:rsidP="00A234A5">
      <w:pPr>
        <w:pStyle w:val="ListParagraph"/>
        <w:numPr>
          <w:ilvl w:val="0"/>
          <w:numId w:val="1"/>
        </w:numPr>
      </w:pPr>
      <w:r>
        <w:t>Support to buy new benches and desks</w:t>
      </w:r>
    </w:p>
    <w:p w:rsidR="00A234A5" w:rsidRDefault="00A234A5" w:rsidP="00A234A5">
      <w:r>
        <w:t xml:space="preserve">We will also identify affected students and reimburse or provide in-kind, required study materials. </w:t>
      </w:r>
    </w:p>
    <w:p w:rsidR="00A234A5" w:rsidRDefault="00A234A5" w:rsidP="00A234A5">
      <w:pPr>
        <w:pStyle w:val="ListParagraph"/>
        <w:numPr>
          <w:ilvl w:val="0"/>
          <w:numId w:val="2"/>
        </w:numPr>
      </w:pPr>
      <w:r>
        <w:t>School bags and notebooks for</w:t>
      </w:r>
      <w:r w:rsidR="0057679F">
        <w:t xml:space="preserve"> 500</w:t>
      </w:r>
      <w:r>
        <w:t xml:space="preserve"> </w:t>
      </w:r>
      <w:r w:rsidR="0057679F">
        <w:t>elementary school children</w:t>
      </w:r>
    </w:p>
    <w:p w:rsidR="0057679F" w:rsidRDefault="0057679F" w:rsidP="00A234A5">
      <w:pPr>
        <w:pStyle w:val="ListParagraph"/>
        <w:numPr>
          <w:ilvl w:val="0"/>
          <w:numId w:val="2"/>
        </w:numPr>
      </w:pPr>
      <w:r>
        <w:t>Study material for 300 High school children</w:t>
      </w:r>
    </w:p>
    <w:p w:rsidR="0057679F" w:rsidRDefault="0057679F" w:rsidP="00A234A5">
      <w:pPr>
        <w:pStyle w:val="ListParagraph"/>
        <w:numPr>
          <w:ilvl w:val="0"/>
          <w:numId w:val="2"/>
        </w:numPr>
      </w:pPr>
      <w:r>
        <w:t>Study material for 300 students pursuing Higher Education</w:t>
      </w:r>
    </w:p>
    <w:p w:rsidR="0095043C" w:rsidRDefault="0095043C" w:rsidP="0095043C"/>
    <w:p w:rsidR="0095043C" w:rsidRDefault="0095043C" w:rsidP="0095043C"/>
    <w:p w:rsidR="0095043C" w:rsidRDefault="0095043C" w:rsidP="0095043C"/>
    <w:p w:rsidR="0095043C" w:rsidRDefault="0095043C" w:rsidP="0095043C"/>
    <w:p w:rsidR="0095043C" w:rsidRDefault="0095043C" w:rsidP="0095043C"/>
    <w:p w:rsidR="0095043C" w:rsidRDefault="0095043C" w:rsidP="0095043C"/>
    <w:p w:rsidR="0057679F" w:rsidRPr="0095043C" w:rsidRDefault="0095043C" w:rsidP="0057679F">
      <w:pPr>
        <w:rPr>
          <w:b/>
        </w:rPr>
      </w:pPr>
      <w:r w:rsidRPr="0095043C">
        <w:rPr>
          <w:b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3561"/>
        <w:gridCol w:w="1088"/>
        <w:gridCol w:w="696"/>
        <w:gridCol w:w="1388"/>
        <w:gridCol w:w="1110"/>
      </w:tblGrid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 xml:space="preserve">Sr. No. 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PARTICULARS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Amount</w:t>
            </w:r>
          </w:p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(In INR)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Units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B1241A" w:rsidP="0095043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Total (in INR)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School bag &amp; notebooks for a  child in elementary class</w:t>
            </w:r>
            <w:r w:rsidR="00B1241A">
              <w:rPr>
                <w:b/>
              </w:rPr>
              <w:t>*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600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500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500 kids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3,00,000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2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Study materials for a child in High school</w:t>
            </w:r>
            <w:r w:rsidR="00B1241A">
              <w:rPr>
                <w:b/>
              </w:rPr>
              <w:t>*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6000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300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300 kids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18,00,000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3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Study material  for a poor stud</w:t>
            </w:r>
            <w:r w:rsidR="00B1241A">
              <w:rPr>
                <w:b/>
              </w:rPr>
              <w:t>ent undergoing higher education*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7500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300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300 kids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22,50,000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4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Library books for a school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12000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 schools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1,20,000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5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 xml:space="preserve">Science Lab equipment 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15000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 schools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1,50,000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6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 xml:space="preserve">Support for School painting 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24000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 schools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2,40,000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7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Teaching aid support for a school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30000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 schools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3,00,000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8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 xml:space="preserve">Support for new benches &amp; desks 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75000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10 schools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7,50,000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Human Resou</w:t>
            </w:r>
            <w:r w:rsidR="00B1241A">
              <w:rPr>
                <w:b/>
              </w:rPr>
              <w:t>r</w:t>
            </w:r>
            <w:r>
              <w:rPr>
                <w:b/>
              </w:rPr>
              <w:t>ces</w:t>
            </w:r>
            <w:r w:rsidR="00B1241A">
              <w:rPr>
                <w:b/>
              </w:rPr>
              <w:t xml:space="preserve"> (3 </w:t>
            </w:r>
            <w:r w:rsidR="00CD3B66">
              <w:rPr>
                <w:b/>
              </w:rPr>
              <w:t>months’</w:t>
            </w:r>
            <w:r w:rsidR="00B1241A">
              <w:rPr>
                <w:b/>
              </w:rPr>
              <w:t xml:space="preserve"> salary and conveyance for 2 local coordinators )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B1241A" w:rsidP="0095043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18000</w:t>
            </w:r>
          </w:p>
        </w:tc>
        <w:tc>
          <w:tcPr>
            <w:tcW w:w="696" w:type="dxa"/>
            <w:noWrap/>
            <w:hideMark/>
          </w:tcPr>
          <w:p w:rsidR="0095043C" w:rsidRPr="0095043C" w:rsidRDefault="00B1241A" w:rsidP="0095043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8" w:type="dxa"/>
            <w:noWrap/>
            <w:hideMark/>
          </w:tcPr>
          <w:p w:rsidR="0095043C" w:rsidRPr="0095043C" w:rsidRDefault="001C43E7" w:rsidP="0095043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3 months</w:t>
            </w:r>
          </w:p>
        </w:tc>
        <w:tc>
          <w:tcPr>
            <w:tcW w:w="1042" w:type="dxa"/>
            <w:noWrap/>
            <w:hideMark/>
          </w:tcPr>
          <w:p w:rsidR="0095043C" w:rsidRPr="0095043C" w:rsidRDefault="001C43E7" w:rsidP="001C43E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108</w:t>
            </w:r>
            <w:r w:rsidR="00B1241A">
              <w:rPr>
                <w:b/>
              </w:rPr>
              <w:t>,000</w:t>
            </w: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</w:tcPr>
          <w:p w:rsidR="0095043C" w:rsidRDefault="0095043C" w:rsidP="0095043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61" w:type="dxa"/>
            <w:noWrap/>
          </w:tcPr>
          <w:p w:rsidR="0095043C" w:rsidRDefault="0095043C" w:rsidP="0095043C">
            <w:pPr>
              <w:rPr>
                <w:b/>
              </w:rPr>
            </w:pPr>
            <w:r>
              <w:rPr>
                <w:b/>
              </w:rPr>
              <w:t>Administration</w:t>
            </w:r>
            <w:r w:rsidR="004C2230">
              <w:rPr>
                <w:b/>
              </w:rPr>
              <w:t xml:space="preserve"> (5%)</w:t>
            </w:r>
          </w:p>
        </w:tc>
        <w:tc>
          <w:tcPr>
            <w:tcW w:w="1088" w:type="dxa"/>
            <w:noWrap/>
          </w:tcPr>
          <w:p w:rsidR="0095043C" w:rsidRPr="0095043C" w:rsidRDefault="0095043C" w:rsidP="0095043C">
            <w:pPr>
              <w:rPr>
                <w:b/>
              </w:rPr>
            </w:pPr>
          </w:p>
        </w:tc>
        <w:tc>
          <w:tcPr>
            <w:tcW w:w="696" w:type="dxa"/>
            <w:noWrap/>
          </w:tcPr>
          <w:p w:rsidR="0095043C" w:rsidRPr="0095043C" w:rsidRDefault="0095043C" w:rsidP="0095043C">
            <w:pPr>
              <w:rPr>
                <w:b/>
              </w:rPr>
            </w:pPr>
          </w:p>
        </w:tc>
        <w:tc>
          <w:tcPr>
            <w:tcW w:w="1388" w:type="dxa"/>
            <w:noWrap/>
          </w:tcPr>
          <w:p w:rsidR="0095043C" w:rsidRPr="0095043C" w:rsidRDefault="0095043C" w:rsidP="0095043C">
            <w:pPr>
              <w:rPr>
                <w:b/>
              </w:rPr>
            </w:pPr>
          </w:p>
        </w:tc>
        <w:tc>
          <w:tcPr>
            <w:tcW w:w="1042" w:type="dxa"/>
            <w:noWrap/>
          </w:tcPr>
          <w:p w:rsidR="001C43E7" w:rsidRDefault="001C43E7" w:rsidP="001C43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3,00,900</w:t>
            </w:r>
          </w:p>
          <w:p w:rsidR="0095043C" w:rsidRPr="0095043C" w:rsidRDefault="0095043C" w:rsidP="0095043C">
            <w:pPr>
              <w:rPr>
                <w:b/>
              </w:rPr>
            </w:pPr>
          </w:p>
        </w:tc>
      </w:tr>
      <w:tr w:rsidR="0095043C" w:rsidRPr="0095043C" w:rsidTr="000863DC">
        <w:trPr>
          <w:trHeight w:val="300"/>
        </w:trPr>
        <w:tc>
          <w:tcPr>
            <w:tcW w:w="64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61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  <w:r w:rsidRPr="0095043C">
              <w:rPr>
                <w:b/>
              </w:rPr>
              <w:t>TOTAL</w:t>
            </w:r>
          </w:p>
        </w:tc>
        <w:tc>
          <w:tcPr>
            <w:tcW w:w="10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</w:p>
        </w:tc>
        <w:tc>
          <w:tcPr>
            <w:tcW w:w="696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</w:p>
        </w:tc>
        <w:tc>
          <w:tcPr>
            <w:tcW w:w="1388" w:type="dxa"/>
            <w:noWrap/>
            <w:hideMark/>
          </w:tcPr>
          <w:p w:rsidR="0095043C" w:rsidRPr="0095043C" w:rsidRDefault="0095043C" w:rsidP="0095043C">
            <w:pPr>
              <w:spacing w:after="160" w:line="259" w:lineRule="auto"/>
              <w:rPr>
                <w:b/>
              </w:rPr>
            </w:pPr>
          </w:p>
        </w:tc>
        <w:tc>
          <w:tcPr>
            <w:tcW w:w="1042" w:type="dxa"/>
            <w:noWrap/>
            <w:hideMark/>
          </w:tcPr>
          <w:p w:rsidR="001C43E7" w:rsidRDefault="001C43E7" w:rsidP="001C43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Rs. 63,18,900</w:t>
            </w:r>
          </w:p>
          <w:p w:rsidR="0095043C" w:rsidRPr="0095043C" w:rsidRDefault="0095043C" w:rsidP="0095043C">
            <w:pPr>
              <w:spacing w:after="160" w:line="259" w:lineRule="auto"/>
              <w:rPr>
                <w:b/>
                <w:bCs/>
              </w:rPr>
            </w:pPr>
          </w:p>
        </w:tc>
      </w:tr>
    </w:tbl>
    <w:p w:rsidR="0057679F" w:rsidRDefault="0057679F" w:rsidP="00B1241A">
      <w:pPr>
        <w:tabs>
          <w:tab w:val="left" w:pos="1035"/>
        </w:tabs>
      </w:pPr>
    </w:p>
    <w:p w:rsidR="00B1241A" w:rsidRDefault="00B1241A" w:rsidP="00B1241A">
      <w:pPr>
        <w:pStyle w:val="ListParagraph"/>
        <w:tabs>
          <w:tab w:val="left" w:pos="1035"/>
        </w:tabs>
      </w:pPr>
      <w:r>
        <w:t>*Inclusive of transportation charges</w:t>
      </w:r>
    </w:p>
    <w:p w:rsidR="0057679F" w:rsidRDefault="0057679F" w:rsidP="0057679F"/>
    <w:p w:rsidR="0057679F" w:rsidRPr="00A234A5" w:rsidRDefault="0057679F" w:rsidP="0057679F"/>
    <w:p w:rsidR="0057679F" w:rsidRDefault="0057679F">
      <w:pPr>
        <w:rPr>
          <w:b/>
        </w:rPr>
      </w:pPr>
    </w:p>
    <w:p w:rsidR="0095043C" w:rsidRPr="00F2220E" w:rsidRDefault="0095043C">
      <w:pPr>
        <w:rPr>
          <w:b/>
        </w:rPr>
      </w:pPr>
    </w:p>
    <w:p w:rsidR="00163C8B" w:rsidRDefault="0057679F">
      <w:r>
        <w:t xml:space="preserve"> </w:t>
      </w:r>
    </w:p>
    <w:sectPr w:rsidR="0016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1A" w:rsidRDefault="008D331A" w:rsidP="0057679F">
      <w:pPr>
        <w:spacing w:after="0" w:line="240" w:lineRule="auto"/>
      </w:pPr>
      <w:r>
        <w:separator/>
      </w:r>
    </w:p>
  </w:endnote>
  <w:endnote w:type="continuationSeparator" w:id="0">
    <w:p w:rsidR="008D331A" w:rsidRDefault="008D331A" w:rsidP="0057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1A" w:rsidRDefault="008D331A" w:rsidP="0057679F">
      <w:pPr>
        <w:spacing w:after="0" w:line="240" w:lineRule="auto"/>
      </w:pPr>
      <w:r>
        <w:separator/>
      </w:r>
    </w:p>
  </w:footnote>
  <w:footnote w:type="continuationSeparator" w:id="0">
    <w:p w:rsidR="008D331A" w:rsidRDefault="008D331A" w:rsidP="00576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21F61"/>
    <w:multiLevelType w:val="hybridMultilevel"/>
    <w:tmpl w:val="0CFE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DDB"/>
    <w:multiLevelType w:val="hybridMultilevel"/>
    <w:tmpl w:val="317A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8B"/>
    <w:rsid w:val="000B26A1"/>
    <w:rsid w:val="00163C8B"/>
    <w:rsid w:val="001A482F"/>
    <w:rsid w:val="001C43E7"/>
    <w:rsid w:val="00212782"/>
    <w:rsid w:val="003C4169"/>
    <w:rsid w:val="004B3AD2"/>
    <w:rsid w:val="004C2230"/>
    <w:rsid w:val="0057679F"/>
    <w:rsid w:val="00601202"/>
    <w:rsid w:val="008D331A"/>
    <w:rsid w:val="0095043C"/>
    <w:rsid w:val="00A234A5"/>
    <w:rsid w:val="00B1241A"/>
    <w:rsid w:val="00B51FCC"/>
    <w:rsid w:val="00CD3B66"/>
    <w:rsid w:val="00EE0212"/>
    <w:rsid w:val="00F2220E"/>
    <w:rsid w:val="00F4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20D32-9694-4A04-8275-06BD9150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3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C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23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9F"/>
  </w:style>
  <w:style w:type="paragraph" w:styleId="Footer">
    <w:name w:val="footer"/>
    <w:basedOn w:val="Normal"/>
    <w:link w:val="FooterChar"/>
    <w:uiPriority w:val="99"/>
    <w:unhideWhenUsed/>
    <w:rsid w:val="0057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79F"/>
  </w:style>
  <w:style w:type="table" w:styleId="TableGrid">
    <w:name w:val="Table Grid"/>
    <w:basedOn w:val="TableNormal"/>
    <w:uiPriority w:val="39"/>
    <w:rsid w:val="00576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 Pillai</dc:creator>
  <cp:keywords/>
  <dc:description/>
  <cp:lastModifiedBy>Usha Pillai</cp:lastModifiedBy>
  <cp:revision>12</cp:revision>
  <dcterms:created xsi:type="dcterms:W3CDTF">2018-08-24T02:15:00Z</dcterms:created>
  <dcterms:modified xsi:type="dcterms:W3CDTF">2018-08-24T17:32:00Z</dcterms:modified>
</cp:coreProperties>
</file>