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A9" w:rsidRPr="00614BA9" w:rsidRDefault="00614BA9" w:rsidP="00614BA9">
      <w:pPr>
        <w:spacing w:before="100" w:beforeAutospacing="1" w:after="100" w:afterAutospacing="1" w:line="240" w:lineRule="auto"/>
        <w:outlineLvl w:val="0"/>
        <w:rPr>
          <w:rFonts w:ascii="Times New Roman" w:eastAsia="Times New Roman" w:hAnsi="Times New Roman" w:cs="Times New Roman"/>
          <w:kern w:val="36"/>
          <w:sz w:val="48"/>
          <w:szCs w:val="48"/>
        </w:rPr>
      </w:pPr>
      <w:r w:rsidRPr="00614BA9">
        <w:rPr>
          <w:rFonts w:ascii="Times New Roman" w:eastAsia="Times New Roman" w:hAnsi="Times New Roman" w:cs="Times New Roman"/>
          <w:kern w:val="36"/>
          <w:sz w:val="48"/>
          <w:szCs w:val="48"/>
        </w:rPr>
        <w:t>Hand Hygiene Recommendations</w:t>
      </w:r>
    </w:p>
    <w:p w:rsidR="00614BA9" w:rsidRPr="00614BA9" w:rsidRDefault="00614BA9" w:rsidP="00614BA9">
      <w:pPr>
        <w:spacing w:after="100" w:afterAutospacing="1" w:line="240" w:lineRule="auto"/>
        <w:rPr>
          <w:rFonts w:ascii="Times New Roman" w:eastAsia="Times New Roman" w:hAnsi="Times New Roman" w:cs="Times New Roman"/>
          <w:sz w:val="24"/>
          <w:szCs w:val="24"/>
        </w:rPr>
      </w:pPr>
      <w:r w:rsidRPr="00614BA9">
        <w:rPr>
          <w:rFonts w:ascii="Times New Roman" w:eastAsia="Times New Roman" w:hAnsi="Times New Roman" w:cs="Times New Roman"/>
          <w:sz w:val="24"/>
          <w:szCs w:val="24"/>
        </w:rPr>
        <w:t>Guidance for Healthcare Providers about Hand Hygiene and COVID-19</w:t>
      </w:r>
    </w:p>
    <w:p w:rsidR="00614BA9" w:rsidRPr="00614BA9" w:rsidRDefault="00614BA9" w:rsidP="00614BA9">
      <w:pPr>
        <w:shd w:val="clear" w:color="auto" w:fill="FFFFFF"/>
        <w:spacing w:after="100" w:afterAutospacing="1" w:line="240" w:lineRule="auto"/>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This information complements the </w:t>
      </w:r>
      <w:hyperlink r:id="rId7" w:history="1">
        <w:r w:rsidRPr="00614BA9">
          <w:rPr>
            <w:rFonts w:ascii="Open Sans" w:eastAsia="Times New Roman" w:hAnsi="Open Sans" w:cs="Times New Roman"/>
            <w:color w:val="075290"/>
            <w:sz w:val="29"/>
            <w:u w:val="single"/>
          </w:rPr>
          <w:t>Infection Control Guidance</w:t>
        </w:r>
      </w:hyperlink>
      <w:r w:rsidRPr="00614BA9">
        <w:rPr>
          <w:rFonts w:ascii="Open Sans" w:eastAsia="Times New Roman" w:hAnsi="Open Sans" w:cs="Times New Roman"/>
          <w:color w:val="000000"/>
          <w:sz w:val="29"/>
          <w:szCs w:val="29"/>
        </w:rPr>
        <w:t> and includes additional information about hand hygiene.</w:t>
      </w:r>
    </w:p>
    <w:p w:rsidR="00614BA9" w:rsidRPr="00614BA9" w:rsidRDefault="00614BA9" w:rsidP="00614BA9">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614BA9">
        <w:rPr>
          <w:rFonts w:ascii="Times New Roman" w:eastAsia="Times New Roman" w:hAnsi="Times New Roman" w:cs="Times New Roman"/>
          <w:color w:val="000000"/>
          <w:sz w:val="36"/>
          <w:szCs w:val="36"/>
        </w:rPr>
        <w:t>Background</w:t>
      </w:r>
    </w:p>
    <w:p w:rsidR="00614BA9" w:rsidRPr="00614BA9" w:rsidRDefault="00614BA9" w:rsidP="00614BA9">
      <w:pPr>
        <w:numPr>
          <w:ilvl w:val="0"/>
          <w:numId w:val="1"/>
        </w:numPr>
        <w:shd w:val="clear" w:color="auto" w:fill="FFFFFF"/>
        <w:spacing w:before="100" w:beforeAutospacing="1" w:after="10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b/>
          <w:bCs/>
          <w:color w:val="000000"/>
          <w:sz w:val="29"/>
        </w:rPr>
        <w:t>Hand hygiene is an important part of the U.S. response</w:t>
      </w:r>
      <w:r w:rsidRPr="00614BA9">
        <w:rPr>
          <w:rFonts w:ascii="Open Sans" w:eastAsia="Times New Roman" w:hAnsi="Open Sans" w:cs="Times New Roman"/>
          <w:color w:val="000000"/>
          <w:sz w:val="29"/>
          <w:szCs w:val="29"/>
        </w:rPr>
        <w:t> to the international emergence of COVID-19. Practicing hand hygiene, which includes the use of alcohol-based hand rub (ABHR) or handwashing, is a simple yet effective way to prevent the spread of pathogens and infections in healthcare settings. CDC recommendations reflect this important role.</w:t>
      </w:r>
    </w:p>
    <w:p w:rsidR="00614BA9" w:rsidRPr="00614BA9" w:rsidRDefault="00614BA9" w:rsidP="00614BA9">
      <w:pPr>
        <w:numPr>
          <w:ilvl w:val="0"/>
          <w:numId w:val="1"/>
        </w:numPr>
        <w:shd w:val="clear" w:color="auto" w:fill="FFFFFF"/>
        <w:spacing w:before="100" w:beforeAutospacing="1" w:after="10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b/>
          <w:bCs/>
          <w:color w:val="000000"/>
          <w:sz w:val="29"/>
        </w:rPr>
        <w:t>The exact contribution of hand hygiene </w:t>
      </w:r>
      <w:r w:rsidRPr="00614BA9">
        <w:rPr>
          <w:rFonts w:ascii="Open Sans" w:eastAsia="Times New Roman" w:hAnsi="Open Sans" w:cs="Times New Roman"/>
          <w:color w:val="000000"/>
          <w:sz w:val="29"/>
          <w:szCs w:val="29"/>
        </w:rPr>
        <w:t xml:space="preserve">to the reduction of direct and indirect spread of coronaviruses between people is currently unknown. However, hand washing mechanically removes pathogens, and laboratory data demonstrate that ABHR formulations in the range of alcohol concentrations recommended by </w:t>
      </w:r>
      <w:r w:rsidR="007D2372" w:rsidRPr="00614BA9">
        <w:rPr>
          <w:rFonts w:ascii="Open Sans" w:eastAsia="Times New Roman" w:hAnsi="Open Sans" w:cs="Times New Roman"/>
          <w:color w:val="000000"/>
          <w:sz w:val="29"/>
          <w:szCs w:val="29"/>
        </w:rPr>
        <w:t>CDC</w:t>
      </w:r>
      <w:r w:rsidRPr="00614BA9">
        <w:rPr>
          <w:rFonts w:ascii="Open Sans" w:eastAsia="Times New Roman" w:hAnsi="Open Sans" w:cs="Times New Roman"/>
          <w:color w:val="000000"/>
          <w:sz w:val="29"/>
          <w:szCs w:val="29"/>
        </w:rPr>
        <w:t xml:space="preserve"> inactivate SARS-CoV-2. </w:t>
      </w:r>
      <w:hyperlink r:id="rId8" w:anchor="references" w:history="1">
        <w:r w:rsidRPr="00614BA9">
          <w:rPr>
            <w:rFonts w:ascii="Open Sans" w:eastAsia="Times New Roman" w:hAnsi="Open Sans" w:cs="Times New Roman"/>
            <w:color w:val="075290"/>
            <w:sz w:val="19"/>
            <w:u w:val="single"/>
            <w:vertAlign w:val="superscript"/>
          </w:rPr>
          <w:t>[1,2]</w:t>
        </w:r>
      </w:hyperlink>
    </w:p>
    <w:p w:rsidR="00614BA9" w:rsidRPr="00614BA9" w:rsidRDefault="00614BA9" w:rsidP="00614BA9">
      <w:pPr>
        <w:numPr>
          <w:ilvl w:val="0"/>
          <w:numId w:val="1"/>
        </w:numPr>
        <w:shd w:val="clear" w:color="auto" w:fill="FFFFFF"/>
        <w:spacing w:before="100" w:beforeAutospacing="1" w:after="10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b/>
          <w:bCs/>
          <w:color w:val="000000"/>
          <w:sz w:val="29"/>
        </w:rPr>
        <w:t>ABHR effectively reduces the number of pathogens</w:t>
      </w:r>
      <w:r w:rsidRPr="00614BA9">
        <w:rPr>
          <w:rFonts w:ascii="Open Sans" w:eastAsia="Times New Roman" w:hAnsi="Open Sans" w:cs="Times New Roman"/>
          <w:color w:val="000000"/>
          <w:sz w:val="29"/>
          <w:szCs w:val="29"/>
        </w:rPr>
        <w:t> that may be present on the hands of healthcare providers after brief interactions with patients or the care environment.</w:t>
      </w:r>
    </w:p>
    <w:p w:rsidR="00614BA9" w:rsidRPr="00614BA9" w:rsidRDefault="00614BA9" w:rsidP="00614BA9">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614BA9">
        <w:rPr>
          <w:rFonts w:ascii="Times New Roman" w:eastAsia="Times New Roman" w:hAnsi="Times New Roman" w:cs="Times New Roman"/>
          <w:color w:val="000000"/>
          <w:sz w:val="36"/>
          <w:szCs w:val="36"/>
        </w:rPr>
        <w:t>Hygiene</w:t>
      </w:r>
    </w:p>
    <w:p w:rsidR="00614BA9" w:rsidRPr="00614BA9" w:rsidRDefault="00614BA9" w:rsidP="00614BA9">
      <w:pPr>
        <w:shd w:val="clear" w:color="auto" w:fill="FFFFFF"/>
        <w:spacing w:before="100" w:beforeAutospacing="1" w:after="100" w:afterAutospacing="1" w:line="240" w:lineRule="auto"/>
        <w:outlineLvl w:val="2"/>
        <w:rPr>
          <w:rFonts w:ascii="Times New Roman" w:eastAsia="Times New Roman" w:hAnsi="Times New Roman" w:cs="Times New Roman"/>
          <w:color w:val="000000"/>
          <w:sz w:val="27"/>
          <w:szCs w:val="27"/>
        </w:rPr>
      </w:pPr>
      <w:r w:rsidRPr="00614BA9">
        <w:rPr>
          <w:rFonts w:ascii="Times New Roman" w:eastAsia="Times New Roman" w:hAnsi="Times New Roman" w:cs="Times New Roman"/>
          <w:color w:val="000000"/>
          <w:sz w:val="27"/>
          <w:szCs w:val="27"/>
        </w:rPr>
        <w:t>Methods</w:t>
      </w:r>
    </w:p>
    <w:p w:rsidR="00614BA9" w:rsidRPr="00614BA9" w:rsidRDefault="00614BA9" w:rsidP="00614BA9">
      <w:pPr>
        <w:numPr>
          <w:ilvl w:val="0"/>
          <w:numId w:val="2"/>
        </w:numPr>
        <w:shd w:val="clear" w:color="auto" w:fill="FFFFFF"/>
        <w:spacing w:before="100" w:beforeAutospacing="1" w:after="10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b/>
          <w:bCs/>
          <w:color w:val="000000"/>
          <w:sz w:val="29"/>
        </w:rPr>
        <w:t>CDC recommends using ABHR with greater than 60% ethanol or 70% isopropanol</w:t>
      </w:r>
      <w:r w:rsidRPr="00614BA9">
        <w:rPr>
          <w:rFonts w:ascii="Open Sans" w:eastAsia="Times New Roman" w:hAnsi="Open Sans" w:cs="Times New Roman"/>
          <w:color w:val="000000"/>
          <w:sz w:val="29"/>
          <w:szCs w:val="29"/>
        </w:rPr>
        <w:t> in healthcare settings. Unless hands are visibly soiled, an alcohol-based hand rub is preferred over soap and water in most clinical situations due to evidence of better compliance compared to soap and water. Hand rubs are generally less irritating to hands and are effective in the absence of a sink. </w:t>
      </w:r>
      <w:hyperlink r:id="rId9" w:anchor="references" w:history="1">
        <w:r w:rsidRPr="00614BA9">
          <w:rPr>
            <w:rFonts w:ascii="Open Sans" w:eastAsia="Times New Roman" w:hAnsi="Open Sans" w:cs="Times New Roman"/>
            <w:color w:val="075290"/>
            <w:sz w:val="19"/>
            <w:u w:val="single"/>
            <w:vertAlign w:val="superscript"/>
          </w:rPr>
          <w:t>[3]</w:t>
        </w:r>
      </w:hyperlink>
    </w:p>
    <w:p w:rsidR="00614BA9" w:rsidRPr="00614BA9" w:rsidRDefault="00614BA9" w:rsidP="00614BA9">
      <w:pPr>
        <w:numPr>
          <w:ilvl w:val="0"/>
          <w:numId w:val="2"/>
        </w:numPr>
        <w:shd w:val="clear" w:color="auto" w:fill="FFFFFF"/>
        <w:spacing w:before="100" w:beforeAutospacing="1" w:after="10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b/>
          <w:bCs/>
          <w:color w:val="000000"/>
          <w:sz w:val="29"/>
        </w:rPr>
        <w:lastRenderedPageBreak/>
        <w:t>Hands should be washed</w:t>
      </w:r>
      <w:r w:rsidRPr="00614BA9">
        <w:rPr>
          <w:rFonts w:ascii="Open Sans" w:eastAsia="Times New Roman" w:hAnsi="Open Sans" w:cs="Times New Roman"/>
          <w:color w:val="000000"/>
          <w:sz w:val="29"/>
          <w:szCs w:val="29"/>
        </w:rPr>
        <w:t> </w:t>
      </w:r>
      <w:r w:rsidRPr="00614BA9">
        <w:rPr>
          <w:rFonts w:ascii="Open Sans" w:eastAsia="Times New Roman" w:hAnsi="Open Sans" w:cs="Times New Roman"/>
          <w:b/>
          <w:bCs/>
          <w:color w:val="000000"/>
          <w:sz w:val="29"/>
        </w:rPr>
        <w:t>with soap and water for at least 20 seconds when visibly soiled, before eating, and after using the restroom</w:t>
      </w:r>
      <w:r w:rsidRPr="00614BA9">
        <w:rPr>
          <w:rFonts w:ascii="Open Sans" w:eastAsia="Times New Roman" w:hAnsi="Open Sans" w:cs="Times New Roman"/>
          <w:color w:val="000000"/>
          <w:sz w:val="29"/>
          <w:szCs w:val="29"/>
        </w:rPr>
        <w:t>. Learn more about hand hygiene in </w:t>
      </w:r>
      <w:hyperlink r:id="rId10" w:history="1">
        <w:r w:rsidRPr="00614BA9">
          <w:rPr>
            <w:rFonts w:ascii="Open Sans" w:eastAsia="Times New Roman" w:hAnsi="Open Sans" w:cs="Times New Roman"/>
            <w:color w:val="075290"/>
            <w:sz w:val="29"/>
            <w:u w:val="single"/>
          </w:rPr>
          <w:t>healthcare settings</w:t>
        </w:r>
      </w:hyperlink>
      <w:r w:rsidRPr="00614BA9">
        <w:rPr>
          <w:rFonts w:ascii="Open Sans" w:eastAsia="Times New Roman" w:hAnsi="Open Sans" w:cs="Times New Roman"/>
          <w:color w:val="000000"/>
          <w:sz w:val="29"/>
          <w:szCs w:val="29"/>
        </w:rPr>
        <w:t>.</w:t>
      </w:r>
    </w:p>
    <w:p w:rsidR="00614BA9" w:rsidRPr="00614BA9" w:rsidRDefault="00614BA9" w:rsidP="00614BA9">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614BA9">
        <w:rPr>
          <w:rFonts w:ascii="Times New Roman" w:eastAsia="Times New Roman" w:hAnsi="Times New Roman" w:cs="Times New Roman"/>
          <w:color w:val="000000"/>
          <w:sz w:val="36"/>
          <w:szCs w:val="36"/>
        </w:rPr>
        <w:t>Impact to Operations</w:t>
      </w:r>
    </w:p>
    <w:p w:rsidR="00614BA9" w:rsidRPr="00614BA9" w:rsidRDefault="00614BA9" w:rsidP="00614BA9">
      <w:pPr>
        <w:numPr>
          <w:ilvl w:val="0"/>
          <w:numId w:val="3"/>
        </w:numPr>
        <w:shd w:val="clear" w:color="auto" w:fill="FFFFFF"/>
        <w:spacing w:beforeAutospacing="1" w:after="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b/>
          <w:bCs/>
          <w:color w:val="000000"/>
          <w:sz w:val="29"/>
        </w:rPr>
        <w:t>Healthcare organizations that encounter severe shortages of ABHR</w:t>
      </w:r>
      <w:r w:rsidRPr="00614BA9">
        <w:rPr>
          <w:rFonts w:ascii="Open Sans" w:eastAsia="Times New Roman" w:hAnsi="Open Sans" w:cs="Times New Roman"/>
          <w:color w:val="000000"/>
          <w:sz w:val="29"/>
          <w:szCs w:val="29"/>
        </w:rPr>
        <w:t> (and have exhausted supply chain access to efficacious products) may consider local production of formulations as described by the temporary </w:t>
      </w:r>
      <w:hyperlink r:id="rId11" w:history="1">
        <w:r w:rsidRPr="00614BA9">
          <w:rPr>
            <w:rFonts w:ascii="Open Sans" w:eastAsia="Times New Roman" w:hAnsi="Open Sans" w:cs="Times New Roman"/>
            <w:color w:val="075290"/>
            <w:sz w:val="29"/>
            <w:u w:val="single"/>
          </w:rPr>
          <w:t>FDA Policy for Compounding of Certain Alcohol-Based Hand Sanitizer Productsexternal icon</w:t>
        </w:r>
      </w:hyperlink>
      <w:r w:rsidRPr="00614BA9">
        <w:rPr>
          <w:rFonts w:ascii="Open Sans" w:eastAsia="Times New Roman" w:hAnsi="Open Sans" w:cs="Times New Roman"/>
          <w:color w:val="000000"/>
          <w:sz w:val="29"/>
          <w:szCs w:val="29"/>
        </w:rPr>
        <w:t>. Healthcare organizations should return to using a commercially produced, FDA-approved product when supplies become available.</w:t>
      </w:r>
    </w:p>
    <w:p w:rsidR="00614BA9" w:rsidRPr="00614BA9" w:rsidRDefault="00614BA9" w:rsidP="00614BA9">
      <w:pPr>
        <w:numPr>
          <w:ilvl w:val="1"/>
          <w:numId w:val="3"/>
        </w:numPr>
        <w:shd w:val="clear" w:color="auto" w:fill="FFFFFF"/>
        <w:spacing w:before="100" w:beforeAutospacing="1" w:after="100" w:afterAutospacing="1" w:line="240" w:lineRule="auto"/>
        <w:ind w:left="1189"/>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The FDA policy allows for ethanol or isopropyl to be used as the active ingredient in ABHR manufactured by entities that are not currently registered with the FDA to manufacture drugs.</w:t>
      </w:r>
    </w:p>
    <w:p w:rsidR="00614BA9" w:rsidRPr="00614BA9" w:rsidRDefault="00614BA9" w:rsidP="00614BA9">
      <w:pPr>
        <w:numPr>
          <w:ilvl w:val="1"/>
          <w:numId w:val="3"/>
        </w:numPr>
        <w:shd w:val="clear" w:color="auto" w:fill="FFFFFF"/>
        <w:spacing w:before="100" w:beforeAutospacing="1" w:after="100" w:afterAutospacing="1" w:line="240" w:lineRule="auto"/>
        <w:ind w:left="1189"/>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ABHR must be properly formulated with emollients to protect the health of the skin, reduce pathogens on the hands, and avoid inadvertent exposure to organisms not killed by alcohol (e.g., spores).</w:t>
      </w:r>
    </w:p>
    <w:p w:rsidR="00614BA9" w:rsidRPr="00614BA9" w:rsidRDefault="00614BA9" w:rsidP="00614BA9">
      <w:pPr>
        <w:numPr>
          <w:ilvl w:val="1"/>
          <w:numId w:val="3"/>
        </w:numPr>
        <w:shd w:val="clear" w:color="auto" w:fill="FFFFFF"/>
        <w:spacing w:beforeAutospacing="1" w:after="0" w:afterAutospacing="1" w:line="240" w:lineRule="auto"/>
        <w:ind w:left="1189"/>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Formulations included in the FDA guidance are consistent with </w:t>
      </w:r>
      <w:hyperlink r:id="rId12" w:tgtFrame="new" w:history="1">
        <w:r w:rsidRPr="00614BA9">
          <w:rPr>
            <w:rFonts w:ascii="Open Sans" w:eastAsia="Times New Roman" w:hAnsi="Open Sans" w:cs="Times New Roman"/>
            <w:color w:val="075290"/>
            <w:sz w:val="29"/>
            <w:u w:val="single"/>
          </w:rPr>
          <w:t>World Health Organization Production Guidancepdf iconexternal icon</w:t>
        </w:r>
      </w:hyperlink>
      <w:r w:rsidRPr="00614BA9">
        <w:rPr>
          <w:rFonts w:ascii="Open Sans" w:eastAsia="Times New Roman" w:hAnsi="Open Sans" w:cs="Times New Roman"/>
          <w:color w:val="000000"/>
          <w:sz w:val="29"/>
          <w:szCs w:val="29"/>
        </w:rPr>
        <w:t>. These locally produced products are intended for routine healthcare personnel hand cleaning, must not contain active ingredients other than those specified in the FDA guidance, and should not take the place of other regulated skin antiseptics (e.g., surgical hand rub).</w:t>
      </w:r>
    </w:p>
    <w:p w:rsidR="00614BA9" w:rsidRPr="00614BA9" w:rsidRDefault="00614BA9" w:rsidP="00614BA9">
      <w:pPr>
        <w:numPr>
          <w:ilvl w:val="1"/>
          <w:numId w:val="3"/>
        </w:numPr>
        <w:shd w:val="clear" w:color="auto" w:fill="FFFFFF"/>
        <w:spacing w:before="100" w:beforeAutospacing="1" w:after="100" w:afterAutospacing="1" w:line="240" w:lineRule="auto"/>
        <w:ind w:left="1189"/>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To avoid contamination with spore-forming organisms, WHO formulations require a 72-hour post-production quarantine.</w:t>
      </w:r>
    </w:p>
    <w:p w:rsidR="00614BA9" w:rsidRPr="00614BA9" w:rsidRDefault="00614BA9" w:rsidP="00614BA9">
      <w:pPr>
        <w:numPr>
          <w:ilvl w:val="0"/>
          <w:numId w:val="3"/>
        </w:numPr>
        <w:shd w:val="clear" w:color="auto" w:fill="FFFFFF"/>
        <w:spacing w:beforeAutospacing="1" w:after="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b/>
          <w:bCs/>
          <w:color w:val="000000"/>
          <w:sz w:val="29"/>
        </w:rPr>
        <w:t>CDC does not have a recommended alternative</w:t>
      </w:r>
      <w:r w:rsidRPr="00614BA9">
        <w:rPr>
          <w:rFonts w:ascii="Open Sans" w:eastAsia="Times New Roman" w:hAnsi="Open Sans" w:cs="Times New Roman"/>
          <w:color w:val="000000"/>
          <w:sz w:val="29"/>
          <w:szCs w:val="29"/>
        </w:rPr>
        <w:t> to hand rub products with greater than 60% ethanol or 70% isopropanol as active ingredients. Benzalkonium chloride, along with both ethanol and isopropanol, is deemed eligible by </w:t>
      </w:r>
      <w:hyperlink r:id="rId13" w:history="1">
        <w:r w:rsidRPr="00614BA9">
          <w:rPr>
            <w:rFonts w:ascii="Open Sans" w:eastAsia="Times New Roman" w:hAnsi="Open Sans" w:cs="Times New Roman"/>
            <w:color w:val="075290"/>
            <w:sz w:val="29"/>
            <w:u w:val="single"/>
          </w:rPr>
          <w:t>FDAexternal icon</w:t>
        </w:r>
      </w:hyperlink>
      <w:r w:rsidRPr="00614BA9">
        <w:rPr>
          <w:rFonts w:ascii="Open Sans" w:eastAsia="Times New Roman" w:hAnsi="Open Sans" w:cs="Times New Roman"/>
          <w:color w:val="000000"/>
          <w:sz w:val="29"/>
          <w:szCs w:val="29"/>
        </w:rPr>
        <w:t> for use in the formulation of healthcare personnel hand rubs.</w:t>
      </w:r>
      <w:hyperlink r:id="rId14" w:anchor="references" w:history="1">
        <w:r w:rsidRPr="00614BA9">
          <w:rPr>
            <w:rFonts w:ascii="Open Sans" w:eastAsia="Times New Roman" w:hAnsi="Open Sans" w:cs="Times New Roman"/>
            <w:color w:val="075290"/>
            <w:sz w:val="19"/>
            <w:u w:val="single"/>
            <w:vertAlign w:val="superscript"/>
          </w:rPr>
          <w:t>[ 2 ]</w:t>
        </w:r>
      </w:hyperlink>
      <w:r w:rsidRPr="00614BA9">
        <w:rPr>
          <w:rFonts w:ascii="Open Sans" w:eastAsia="Times New Roman" w:hAnsi="Open Sans" w:cs="Times New Roman"/>
          <w:color w:val="000000"/>
          <w:sz w:val="29"/>
          <w:szCs w:val="29"/>
        </w:rPr>
        <w:t xml:space="preserve"> However, available evidence indicates benzalkonium </w:t>
      </w:r>
      <w:r w:rsidRPr="00614BA9">
        <w:rPr>
          <w:rFonts w:ascii="Open Sans" w:eastAsia="Times New Roman" w:hAnsi="Open Sans" w:cs="Times New Roman"/>
          <w:color w:val="000000"/>
          <w:sz w:val="29"/>
          <w:szCs w:val="29"/>
        </w:rPr>
        <w:lastRenderedPageBreak/>
        <w:t>chloride has less reliable activity against certain bacteria and viruses than either of the alcohols. </w:t>
      </w:r>
      <w:hyperlink r:id="rId15" w:anchor="references" w:history="1">
        <w:r w:rsidRPr="00614BA9">
          <w:rPr>
            <w:rFonts w:ascii="Open Sans" w:eastAsia="Times New Roman" w:hAnsi="Open Sans" w:cs="Times New Roman"/>
            <w:color w:val="075290"/>
            <w:sz w:val="19"/>
            <w:u w:val="single"/>
            <w:vertAlign w:val="superscript"/>
          </w:rPr>
          <w:t>[ 3,4 ]</w:t>
        </w:r>
      </w:hyperlink>
    </w:p>
    <w:p w:rsidR="00614BA9" w:rsidRPr="00614BA9" w:rsidRDefault="00614BA9" w:rsidP="00614BA9">
      <w:pPr>
        <w:numPr>
          <w:ilvl w:val="0"/>
          <w:numId w:val="3"/>
        </w:numPr>
        <w:shd w:val="clear" w:color="auto" w:fill="FFFFFF"/>
        <w:spacing w:beforeAutospacing="1" w:after="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b/>
          <w:bCs/>
          <w:color w:val="000000"/>
          <w:sz w:val="29"/>
        </w:rPr>
        <w:t>The </w:t>
      </w:r>
      <w:hyperlink r:id="rId16" w:history="1">
        <w:r w:rsidRPr="00614BA9">
          <w:rPr>
            <w:rFonts w:ascii="Open Sans" w:eastAsia="Times New Roman" w:hAnsi="Open Sans" w:cs="Times New Roman"/>
            <w:b/>
            <w:bCs/>
            <w:color w:val="075290"/>
            <w:sz w:val="29"/>
            <w:u w:val="single"/>
          </w:rPr>
          <w:t>USP hand sanitizer toolkitexternal icon</w:t>
        </w:r>
      </w:hyperlink>
      <w:r w:rsidRPr="00614BA9">
        <w:rPr>
          <w:rFonts w:ascii="Open Sans" w:eastAsia="Times New Roman" w:hAnsi="Open Sans" w:cs="Times New Roman"/>
          <w:b/>
          <w:bCs/>
          <w:color w:val="000000"/>
          <w:sz w:val="29"/>
        </w:rPr>
        <w:t> formulas</w:t>
      </w:r>
      <w:r w:rsidRPr="00614BA9">
        <w:rPr>
          <w:rFonts w:ascii="Open Sans" w:eastAsia="Times New Roman" w:hAnsi="Open Sans" w:cs="Times New Roman"/>
          <w:color w:val="000000"/>
          <w:sz w:val="29"/>
          <w:szCs w:val="29"/>
        </w:rPr>
        <w:t> have final concentrations of 80% ethanol or 75% isopropyl alcohol concentrations. A final concentration of 80% ethanol or 75% isopropyl alcohol recommended in the USP hand sanitizer toolkit are aligned with </w:t>
      </w:r>
      <w:hyperlink r:id="rId17" w:tgtFrame="new" w:history="1">
        <w:r w:rsidRPr="00614BA9">
          <w:rPr>
            <w:rFonts w:ascii="Open Sans" w:eastAsia="Times New Roman" w:hAnsi="Open Sans" w:cs="Times New Roman"/>
            <w:color w:val="075290"/>
            <w:sz w:val="29"/>
            <w:u w:val="single"/>
          </w:rPr>
          <w:t>World Health Organization (WHO) formulationspdf iconexternal icon</w:t>
        </w:r>
      </w:hyperlink>
      <w:r w:rsidRPr="00614BA9">
        <w:rPr>
          <w:rFonts w:ascii="Open Sans" w:eastAsia="Times New Roman" w:hAnsi="Open Sans" w:cs="Times New Roman"/>
          <w:color w:val="000000"/>
          <w:sz w:val="29"/>
          <w:szCs w:val="29"/>
        </w:rPr>
        <w:t>.</w:t>
      </w:r>
    </w:p>
    <w:p w:rsidR="00614BA9" w:rsidRPr="00614BA9" w:rsidRDefault="00614BA9" w:rsidP="00614BA9">
      <w:pPr>
        <w:numPr>
          <w:ilvl w:val="1"/>
          <w:numId w:val="3"/>
        </w:numPr>
        <w:shd w:val="clear" w:color="auto" w:fill="FFFFFF"/>
        <w:spacing w:before="100" w:beforeAutospacing="1" w:after="100" w:afterAutospacing="1" w:line="240" w:lineRule="auto"/>
        <w:ind w:left="1189"/>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These formulations have been defined at a single concentration value that falls within the range recommended by CDC.</w:t>
      </w:r>
    </w:p>
    <w:p w:rsidR="00614BA9" w:rsidRPr="00614BA9" w:rsidRDefault="00614BA9" w:rsidP="00614BA9">
      <w:pPr>
        <w:numPr>
          <w:ilvl w:val="1"/>
          <w:numId w:val="3"/>
        </w:numPr>
        <w:shd w:val="clear" w:color="auto" w:fill="FFFFFF"/>
        <w:spacing w:before="100" w:beforeAutospacing="1" w:after="100" w:afterAutospacing="1" w:line="240" w:lineRule="auto"/>
        <w:ind w:left="1189"/>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WHO formulations have been manufactured in countries that do not have access to commercially available ABHR, evaluated internationally, and are recommended by WHO for use in response to an emerging viral pathogen, including viruses that are genetically related to, and with similar physical properties as, the SARS-CoV-2.</w:t>
      </w:r>
    </w:p>
    <w:p w:rsidR="00614BA9" w:rsidRPr="00614BA9" w:rsidRDefault="00614BA9" w:rsidP="00614BA9">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36"/>
          <w:szCs w:val="36"/>
        </w:rPr>
      </w:pPr>
      <w:r w:rsidRPr="00614BA9">
        <w:rPr>
          <w:rFonts w:ascii="Times New Roman" w:eastAsia="Times New Roman" w:hAnsi="Times New Roman" w:cs="Times New Roman"/>
          <w:color w:val="000000"/>
          <w:sz w:val="36"/>
          <w:szCs w:val="36"/>
        </w:rPr>
        <w:t>References</w:t>
      </w:r>
    </w:p>
    <w:p w:rsidR="00614BA9" w:rsidRPr="00614BA9" w:rsidRDefault="00614BA9" w:rsidP="00614BA9">
      <w:pPr>
        <w:numPr>
          <w:ilvl w:val="0"/>
          <w:numId w:val="4"/>
        </w:numPr>
        <w:shd w:val="clear" w:color="auto" w:fill="FFFFFF"/>
        <w:spacing w:beforeAutospacing="1" w:after="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Kratzel A, Todt D, V’kovski P, Steiner S, Gultrom M, Thao TTN, et al. Inactivation of severe acute respiratory syndrome coronavirus 2 by WHO-recommended hand rub formulations and alcohols. </w:t>
      </w:r>
      <w:r w:rsidRPr="00614BA9">
        <w:rPr>
          <w:rFonts w:ascii="Open Sans" w:eastAsia="Times New Roman" w:hAnsi="Open Sans" w:cs="Times New Roman"/>
          <w:i/>
          <w:iCs/>
          <w:color w:val="000000"/>
          <w:sz w:val="29"/>
        </w:rPr>
        <w:t>Emerg Infect Dis</w:t>
      </w:r>
      <w:r w:rsidRPr="00614BA9">
        <w:rPr>
          <w:rFonts w:ascii="Open Sans" w:eastAsia="Times New Roman" w:hAnsi="Open Sans" w:cs="Times New Roman"/>
          <w:color w:val="000000"/>
          <w:sz w:val="29"/>
          <w:szCs w:val="29"/>
        </w:rPr>
        <w:t>. 2020 Jul [</w:t>
      </w:r>
      <w:r w:rsidRPr="00614BA9">
        <w:rPr>
          <w:rFonts w:ascii="Open Sans" w:eastAsia="Times New Roman" w:hAnsi="Open Sans" w:cs="Times New Roman"/>
          <w:i/>
          <w:iCs/>
          <w:color w:val="000000"/>
          <w:sz w:val="29"/>
        </w:rPr>
        <w:t>date cited</w:t>
      </w:r>
      <w:r w:rsidRPr="00614BA9">
        <w:rPr>
          <w:rFonts w:ascii="Open Sans" w:eastAsia="Times New Roman" w:hAnsi="Open Sans" w:cs="Times New Roman"/>
          <w:color w:val="000000"/>
          <w:sz w:val="29"/>
          <w:szCs w:val="29"/>
        </w:rPr>
        <w:t>]. </w:t>
      </w:r>
      <w:hyperlink r:id="rId18" w:history="1">
        <w:r w:rsidRPr="00614BA9">
          <w:rPr>
            <w:rFonts w:ascii="Open Sans" w:eastAsia="Times New Roman" w:hAnsi="Open Sans" w:cs="Times New Roman"/>
            <w:color w:val="075290"/>
            <w:sz w:val="29"/>
            <w:u w:val="single"/>
          </w:rPr>
          <w:t>https://doi.org/10.3201/eid2607.200915external icon</w:t>
        </w:r>
      </w:hyperlink>
    </w:p>
    <w:p w:rsidR="00614BA9" w:rsidRPr="00614BA9" w:rsidRDefault="00614BA9" w:rsidP="00614BA9">
      <w:pPr>
        <w:numPr>
          <w:ilvl w:val="0"/>
          <w:numId w:val="4"/>
        </w:numPr>
        <w:shd w:val="clear" w:color="auto" w:fill="FFFFFF"/>
        <w:spacing w:before="100" w:beforeAutospacing="1" w:after="10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Siddharta A, Pfaender S, Vielle NJ, Dijkman R, et al. Virucidal activity of World Health Organization recommended formulations against enveloped viruses include Zika, Ebola, and emerging Coronaviruses. </w:t>
      </w:r>
      <w:r w:rsidRPr="00614BA9">
        <w:rPr>
          <w:rFonts w:ascii="Open Sans" w:eastAsia="Times New Roman" w:hAnsi="Open Sans" w:cs="Times New Roman"/>
          <w:i/>
          <w:iCs/>
          <w:color w:val="000000"/>
          <w:sz w:val="29"/>
        </w:rPr>
        <w:t>J Infect Dis</w:t>
      </w:r>
      <w:r w:rsidRPr="00614BA9">
        <w:rPr>
          <w:rFonts w:ascii="Open Sans" w:eastAsia="Times New Roman" w:hAnsi="Open Sans" w:cs="Times New Roman"/>
          <w:color w:val="000000"/>
          <w:sz w:val="29"/>
          <w:szCs w:val="29"/>
        </w:rPr>
        <w:t>. 2017</w:t>
      </w:r>
    </w:p>
    <w:p w:rsidR="00614BA9" w:rsidRPr="00614BA9" w:rsidRDefault="00614BA9" w:rsidP="00614BA9">
      <w:pPr>
        <w:numPr>
          <w:ilvl w:val="0"/>
          <w:numId w:val="4"/>
        </w:numPr>
        <w:shd w:val="clear" w:color="auto" w:fill="FFFFFF"/>
        <w:spacing w:before="100" w:beforeAutospacing="1" w:after="100" w:afterAutospacing="1" w:line="240" w:lineRule="auto"/>
        <w:ind w:left="469"/>
        <w:rPr>
          <w:rFonts w:ascii="Open Sans" w:eastAsia="Times New Roman" w:hAnsi="Open Sans" w:cs="Times New Roman"/>
          <w:color w:val="000000"/>
          <w:sz w:val="29"/>
          <w:szCs w:val="29"/>
        </w:rPr>
      </w:pPr>
      <w:hyperlink r:id="rId19" w:history="1">
        <w:r w:rsidRPr="00614BA9">
          <w:rPr>
            <w:rFonts w:ascii="Open Sans" w:eastAsia="Times New Roman" w:hAnsi="Open Sans" w:cs="Times New Roman"/>
            <w:color w:val="075290"/>
            <w:sz w:val="29"/>
            <w:u w:val="single"/>
          </w:rPr>
          <w:t>CDC Core Practices for Infection Prevention in All Healthcare Settings</w:t>
        </w:r>
      </w:hyperlink>
      <w:r w:rsidRPr="00614BA9">
        <w:rPr>
          <w:rFonts w:ascii="Open Sans" w:eastAsia="Times New Roman" w:hAnsi="Open Sans" w:cs="Times New Roman"/>
          <w:color w:val="000000"/>
          <w:sz w:val="29"/>
          <w:szCs w:val="29"/>
        </w:rPr>
        <w:t> (2017).</w:t>
      </w:r>
    </w:p>
    <w:p w:rsidR="00614BA9" w:rsidRPr="00614BA9" w:rsidRDefault="00614BA9" w:rsidP="00614BA9">
      <w:pPr>
        <w:numPr>
          <w:ilvl w:val="0"/>
          <w:numId w:val="4"/>
        </w:numPr>
        <w:shd w:val="clear" w:color="auto" w:fill="FFFFFF"/>
        <w:spacing w:beforeAutospacing="1" w:after="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Food and Drug Administration. </w:t>
      </w:r>
      <w:hyperlink r:id="rId20" w:history="1">
        <w:r w:rsidRPr="00614BA9">
          <w:rPr>
            <w:rFonts w:ascii="Open Sans" w:eastAsia="Times New Roman" w:hAnsi="Open Sans" w:cs="Times New Roman"/>
            <w:color w:val="075290"/>
            <w:sz w:val="29"/>
            <w:u w:val="single"/>
          </w:rPr>
          <w:t>Safety and effectiveness for health care antiseptics: Topical antimicrobial drug products for over-the-counter human use (final rule)external icon</w:t>
        </w:r>
      </w:hyperlink>
      <w:r w:rsidRPr="00614BA9">
        <w:rPr>
          <w:rFonts w:ascii="Open Sans" w:eastAsia="Times New Roman" w:hAnsi="Open Sans" w:cs="Times New Roman"/>
          <w:color w:val="000000"/>
          <w:sz w:val="29"/>
          <w:szCs w:val="29"/>
        </w:rPr>
        <w:t>.</w:t>
      </w:r>
    </w:p>
    <w:p w:rsidR="00614BA9" w:rsidRPr="00614BA9" w:rsidRDefault="00614BA9" w:rsidP="00614BA9">
      <w:pPr>
        <w:numPr>
          <w:ilvl w:val="0"/>
          <w:numId w:val="4"/>
        </w:numPr>
        <w:shd w:val="clear" w:color="auto" w:fill="FFFFFF"/>
        <w:spacing w:before="100" w:beforeAutospacing="1" w:after="10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Centers for Disease Control and Prevention. </w:t>
      </w:r>
      <w:hyperlink r:id="rId21" w:history="1">
        <w:r w:rsidRPr="00614BA9">
          <w:rPr>
            <w:rFonts w:ascii="Open Sans" w:eastAsia="Times New Roman" w:hAnsi="Open Sans" w:cs="Times New Roman"/>
            <w:color w:val="075290"/>
            <w:sz w:val="29"/>
            <w:u w:val="single"/>
          </w:rPr>
          <w:t>Guidelines for hand hygiene in healthcare settings (2002)</w:t>
        </w:r>
      </w:hyperlink>
      <w:r w:rsidRPr="00614BA9">
        <w:rPr>
          <w:rFonts w:ascii="Open Sans" w:eastAsia="Times New Roman" w:hAnsi="Open Sans" w:cs="Times New Roman"/>
          <w:color w:val="000000"/>
          <w:sz w:val="29"/>
          <w:szCs w:val="29"/>
        </w:rPr>
        <w:t>.</w:t>
      </w:r>
    </w:p>
    <w:p w:rsidR="005105FE" w:rsidRPr="00614BA9" w:rsidRDefault="00614BA9" w:rsidP="00614BA9">
      <w:pPr>
        <w:numPr>
          <w:ilvl w:val="0"/>
          <w:numId w:val="4"/>
        </w:numPr>
        <w:shd w:val="clear" w:color="auto" w:fill="FFFFFF"/>
        <w:spacing w:beforeAutospacing="1" w:after="0" w:afterAutospacing="1" w:line="240" w:lineRule="auto"/>
        <w:ind w:left="469"/>
        <w:rPr>
          <w:rFonts w:ascii="Open Sans" w:eastAsia="Times New Roman" w:hAnsi="Open Sans" w:cs="Times New Roman"/>
          <w:color w:val="000000"/>
          <w:sz w:val="29"/>
          <w:szCs w:val="29"/>
        </w:rPr>
      </w:pPr>
      <w:r w:rsidRPr="00614BA9">
        <w:rPr>
          <w:rFonts w:ascii="Open Sans" w:eastAsia="Times New Roman" w:hAnsi="Open Sans" w:cs="Times New Roman"/>
          <w:color w:val="000000"/>
          <w:sz w:val="29"/>
          <w:szCs w:val="29"/>
        </w:rPr>
        <w:t>Kampf G, Todt D, Pfaender S, Steinmann E. </w:t>
      </w:r>
      <w:hyperlink r:id="rId22" w:history="1">
        <w:r w:rsidRPr="00614BA9">
          <w:rPr>
            <w:rFonts w:ascii="Open Sans" w:eastAsia="Times New Roman" w:hAnsi="Open Sans" w:cs="Times New Roman"/>
            <w:color w:val="075290"/>
            <w:sz w:val="29"/>
            <w:u w:val="single"/>
          </w:rPr>
          <w:t>Persistence of coronaviruses on inanimate surfaces and its inactivation with biocidal agentsexternal icon</w:t>
        </w:r>
      </w:hyperlink>
      <w:r w:rsidRPr="00614BA9">
        <w:rPr>
          <w:rFonts w:ascii="Open Sans" w:eastAsia="Times New Roman" w:hAnsi="Open Sans" w:cs="Times New Roman"/>
          <w:color w:val="000000"/>
          <w:sz w:val="29"/>
          <w:szCs w:val="29"/>
        </w:rPr>
        <w:t>. </w:t>
      </w:r>
      <w:r w:rsidRPr="00614BA9">
        <w:rPr>
          <w:rFonts w:ascii="Open Sans" w:eastAsia="Times New Roman" w:hAnsi="Open Sans" w:cs="Times New Roman"/>
          <w:i/>
          <w:iCs/>
          <w:color w:val="000000"/>
          <w:sz w:val="29"/>
        </w:rPr>
        <w:t>J Hosp Infect</w:t>
      </w:r>
      <w:r w:rsidRPr="00614BA9">
        <w:rPr>
          <w:rFonts w:ascii="Open Sans" w:eastAsia="Times New Roman" w:hAnsi="Open Sans" w:cs="Times New Roman"/>
          <w:color w:val="000000"/>
          <w:sz w:val="29"/>
          <w:szCs w:val="29"/>
        </w:rPr>
        <w:t>. 2020.</w:t>
      </w:r>
    </w:p>
    <w:sectPr w:rsidR="005105FE" w:rsidRPr="00614BA9" w:rsidSect="00502467">
      <w:footerReference w:type="default" r:id="rId23"/>
      <w:pgSz w:w="12240" w:h="15840" w:code="1"/>
      <w:pgMar w:top="2160" w:right="1440" w:bottom="21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425" w:rsidRDefault="00573425" w:rsidP="00614BA9">
      <w:pPr>
        <w:spacing w:after="0" w:line="240" w:lineRule="auto"/>
      </w:pPr>
      <w:r>
        <w:separator/>
      </w:r>
    </w:p>
  </w:endnote>
  <w:endnote w:type="continuationSeparator" w:id="1">
    <w:p w:rsidR="00573425" w:rsidRDefault="00573425" w:rsidP="00614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34495"/>
      <w:docPartObj>
        <w:docPartGallery w:val="Page Numbers (Bottom of Page)"/>
        <w:docPartUnique/>
      </w:docPartObj>
    </w:sdtPr>
    <w:sdtContent>
      <w:p w:rsidR="00614BA9" w:rsidRDefault="00614BA9">
        <w:pPr>
          <w:pStyle w:val="Footer"/>
          <w:jc w:val="right"/>
        </w:pPr>
        <w:fldSimple w:instr=" PAGE   \* MERGEFORMAT ">
          <w:r w:rsidR="007D2372">
            <w:rPr>
              <w:noProof/>
            </w:rPr>
            <w:t>1</w:t>
          </w:r>
        </w:fldSimple>
      </w:p>
    </w:sdtContent>
  </w:sdt>
  <w:p w:rsidR="00614BA9" w:rsidRDefault="00614B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425" w:rsidRDefault="00573425" w:rsidP="00614BA9">
      <w:pPr>
        <w:spacing w:after="0" w:line="240" w:lineRule="auto"/>
      </w:pPr>
      <w:r>
        <w:separator/>
      </w:r>
    </w:p>
  </w:footnote>
  <w:footnote w:type="continuationSeparator" w:id="1">
    <w:p w:rsidR="00573425" w:rsidRDefault="00573425" w:rsidP="00614B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F3616"/>
    <w:multiLevelType w:val="multilevel"/>
    <w:tmpl w:val="5C661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8C537C"/>
    <w:multiLevelType w:val="multilevel"/>
    <w:tmpl w:val="0F70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84D8E"/>
    <w:multiLevelType w:val="multilevel"/>
    <w:tmpl w:val="E738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D731B"/>
    <w:multiLevelType w:val="multilevel"/>
    <w:tmpl w:val="693E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14BA9"/>
    <w:rsid w:val="00502467"/>
    <w:rsid w:val="005105FE"/>
    <w:rsid w:val="00514847"/>
    <w:rsid w:val="005162FB"/>
    <w:rsid w:val="00573425"/>
    <w:rsid w:val="00614BA9"/>
    <w:rsid w:val="007D2372"/>
    <w:rsid w:val="00942DE2"/>
    <w:rsid w:val="00EB4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FE"/>
  </w:style>
  <w:style w:type="paragraph" w:styleId="Heading1">
    <w:name w:val="heading 1"/>
    <w:basedOn w:val="Normal"/>
    <w:link w:val="Heading1Char"/>
    <w:uiPriority w:val="9"/>
    <w:qFormat/>
    <w:rsid w:val="00614B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4B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4B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4B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4BA9"/>
    <w:rPr>
      <w:rFonts w:ascii="Times New Roman" w:eastAsia="Times New Roman" w:hAnsi="Times New Roman" w:cs="Times New Roman"/>
      <w:b/>
      <w:bCs/>
      <w:sz w:val="27"/>
      <w:szCs w:val="27"/>
    </w:rPr>
  </w:style>
  <w:style w:type="paragraph" w:customStyle="1" w:styleId="lead">
    <w:name w:val="lead"/>
    <w:basedOn w:val="Normal"/>
    <w:rsid w:val="00614B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14B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4BA9"/>
    <w:rPr>
      <w:color w:val="0000FF"/>
      <w:u w:val="single"/>
    </w:rPr>
  </w:style>
  <w:style w:type="character" w:styleId="Strong">
    <w:name w:val="Strong"/>
    <w:basedOn w:val="DefaultParagraphFont"/>
    <w:uiPriority w:val="22"/>
    <w:qFormat/>
    <w:rsid w:val="00614BA9"/>
    <w:rPr>
      <w:b/>
      <w:bCs/>
    </w:rPr>
  </w:style>
  <w:style w:type="character" w:customStyle="1" w:styleId="sr-only">
    <w:name w:val="sr-only"/>
    <w:basedOn w:val="DefaultParagraphFont"/>
    <w:rsid w:val="00614BA9"/>
  </w:style>
  <w:style w:type="character" w:styleId="Emphasis">
    <w:name w:val="Emphasis"/>
    <w:basedOn w:val="DefaultParagraphFont"/>
    <w:uiPriority w:val="20"/>
    <w:qFormat/>
    <w:rsid w:val="00614BA9"/>
    <w:rPr>
      <w:i/>
      <w:iCs/>
    </w:rPr>
  </w:style>
  <w:style w:type="paragraph" w:styleId="Header">
    <w:name w:val="header"/>
    <w:basedOn w:val="Normal"/>
    <w:link w:val="HeaderChar"/>
    <w:uiPriority w:val="99"/>
    <w:semiHidden/>
    <w:unhideWhenUsed/>
    <w:rsid w:val="00614B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4BA9"/>
  </w:style>
  <w:style w:type="paragraph" w:styleId="Footer">
    <w:name w:val="footer"/>
    <w:basedOn w:val="Normal"/>
    <w:link w:val="FooterChar"/>
    <w:uiPriority w:val="99"/>
    <w:unhideWhenUsed/>
    <w:rsid w:val="00614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BA9"/>
  </w:style>
</w:styles>
</file>

<file path=word/webSettings.xml><?xml version="1.0" encoding="utf-8"?>
<w:webSettings xmlns:r="http://schemas.openxmlformats.org/officeDocument/2006/relationships" xmlns:w="http://schemas.openxmlformats.org/wordprocessingml/2006/main">
  <w:divs>
    <w:div w:id="1926261220">
      <w:bodyDiv w:val="1"/>
      <w:marLeft w:val="0"/>
      <w:marRight w:val="0"/>
      <w:marTop w:val="0"/>
      <w:marBottom w:val="0"/>
      <w:divBdr>
        <w:top w:val="none" w:sz="0" w:space="0" w:color="auto"/>
        <w:left w:val="none" w:sz="0" w:space="0" w:color="auto"/>
        <w:bottom w:val="none" w:sz="0" w:space="0" w:color="auto"/>
        <w:right w:val="none" w:sz="0" w:space="0" w:color="auto"/>
      </w:divBdr>
      <w:divsChild>
        <w:div w:id="1143080558">
          <w:marLeft w:val="0"/>
          <w:marRight w:val="0"/>
          <w:marTop w:val="0"/>
          <w:marBottom w:val="0"/>
          <w:divBdr>
            <w:top w:val="none" w:sz="0" w:space="0" w:color="auto"/>
            <w:left w:val="none" w:sz="0" w:space="0" w:color="auto"/>
            <w:bottom w:val="none" w:sz="0" w:space="0" w:color="auto"/>
            <w:right w:val="none" w:sz="0" w:space="0" w:color="auto"/>
          </w:divBdr>
        </w:div>
        <w:div w:id="854340826">
          <w:marLeft w:val="0"/>
          <w:marRight w:val="0"/>
          <w:marTop w:val="0"/>
          <w:marBottom w:val="553"/>
          <w:divBdr>
            <w:top w:val="none" w:sz="0" w:space="0" w:color="auto"/>
            <w:left w:val="none" w:sz="0" w:space="0" w:color="auto"/>
            <w:bottom w:val="none" w:sz="0" w:space="0" w:color="auto"/>
            <w:right w:val="none" w:sz="0" w:space="0" w:color="auto"/>
          </w:divBdr>
        </w:div>
        <w:div w:id="1478500180">
          <w:marLeft w:val="0"/>
          <w:marRight w:val="0"/>
          <w:marTop w:val="0"/>
          <w:marBottom w:val="0"/>
          <w:divBdr>
            <w:top w:val="none" w:sz="0" w:space="0" w:color="auto"/>
            <w:left w:val="none" w:sz="0" w:space="0" w:color="auto"/>
            <w:bottom w:val="none" w:sz="0" w:space="0" w:color="auto"/>
            <w:right w:val="none" w:sz="0" w:space="0" w:color="auto"/>
          </w:divBdr>
          <w:divsChild>
            <w:div w:id="115687457">
              <w:marLeft w:val="-251"/>
              <w:marRight w:val="-251"/>
              <w:marTop w:val="0"/>
              <w:marBottom w:val="0"/>
              <w:divBdr>
                <w:top w:val="none" w:sz="0" w:space="0" w:color="auto"/>
                <w:left w:val="none" w:sz="0" w:space="0" w:color="auto"/>
                <w:bottom w:val="none" w:sz="0" w:space="0" w:color="auto"/>
                <w:right w:val="none" w:sz="0" w:space="0" w:color="auto"/>
              </w:divBdr>
              <w:divsChild>
                <w:div w:id="204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hand-hygiene.html" TargetMode="External"/><Relationship Id="rId13" Type="http://schemas.openxmlformats.org/officeDocument/2006/relationships/hyperlink" Target="https://www.fda.gov/about-fda/economic-impact-analyses-fda-regulations/safety-and-effectiveness-health-care-antiseptics-topical-antimicrobial-drug-products-over-counter" TargetMode="External"/><Relationship Id="rId18" Type="http://schemas.openxmlformats.org/officeDocument/2006/relationships/hyperlink" Target="https://doi.org/10.3201/eid2607.200915" TargetMode="External"/><Relationship Id="rId3" Type="http://schemas.openxmlformats.org/officeDocument/2006/relationships/settings" Target="settings.xml"/><Relationship Id="rId21" Type="http://schemas.openxmlformats.org/officeDocument/2006/relationships/hyperlink" Target="https://www.cdc.gov/infectioncontrol/guidelines/hand-hygiene/index.html" TargetMode="External"/><Relationship Id="rId7" Type="http://schemas.openxmlformats.org/officeDocument/2006/relationships/hyperlink" Target="https://www.cdc.gov/coronavirus/2019-ncov/hcp/infection-control-recommendations.html" TargetMode="External"/><Relationship Id="rId12" Type="http://schemas.openxmlformats.org/officeDocument/2006/relationships/hyperlink" Target="https://www.who.int/gpsc/5may/Guide_to_Local_Production.pdf?ua=1" TargetMode="External"/><Relationship Id="rId17" Type="http://schemas.openxmlformats.org/officeDocument/2006/relationships/hyperlink" Target="https://www.who.int/gpsc/5may/Guide_to_Local_Production.pdf?ua=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sp.org/covid-19/hand-sanitizer-information" TargetMode="External"/><Relationship Id="rId20" Type="http://schemas.openxmlformats.org/officeDocument/2006/relationships/hyperlink" Target="https://www.federalregister.gov/documents/2017/12/20/2017-27317/safety-and-effectiveness-of-health-care-antiseptics-topical-antimicrobial-drug-products-f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regulatory-information/search-fda-guidance-documents/policy-temporary-compounding-certain-alcohol-based-hand-sanitizer-products-during-public-healt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c.gov/coronavirus/2019-ncov/hcp/hand-hygiene.html" TargetMode="External"/><Relationship Id="rId23" Type="http://schemas.openxmlformats.org/officeDocument/2006/relationships/footer" Target="footer1.xml"/><Relationship Id="rId10" Type="http://schemas.openxmlformats.org/officeDocument/2006/relationships/hyperlink" Target="https://www.cdc.gov/handhygiene/providers/index.html" TargetMode="External"/><Relationship Id="rId19" Type="http://schemas.openxmlformats.org/officeDocument/2006/relationships/hyperlink" Target="https://www.cdc.gov/hicpac/recommendations/core-practices.html" TargetMode="External"/><Relationship Id="rId4" Type="http://schemas.openxmlformats.org/officeDocument/2006/relationships/webSettings" Target="webSettings.xml"/><Relationship Id="rId9" Type="http://schemas.openxmlformats.org/officeDocument/2006/relationships/hyperlink" Target="https://www.cdc.gov/coronavirus/2019-ncov/hcp/hand-hygiene.html" TargetMode="External"/><Relationship Id="rId14" Type="http://schemas.openxmlformats.org/officeDocument/2006/relationships/hyperlink" Target="https://www.cdc.gov/coronavirus/2019-ncov/hcp/hand-hygiene.html" TargetMode="External"/><Relationship Id="rId22" Type="http://schemas.openxmlformats.org/officeDocument/2006/relationships/hyperlink" Target="https://www.sciencedirect.com/science/article/pii/S0195670120300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3</cp:revision>
  <dcterms:created xsi:type="dcterms:W3CDTF">2020-06-11T17:51:00Z</dcterms:created>
  <dcterms:modified xsi:type="dcterms:W3CDTF">2020-06-11T17:55:00Z</dcterms:modified>
</cp:coreProperties>
</file>