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p14">
  <w:body>
    <w:p>
      <w:pPr>
        <w:pStyle w:val="113"/>
      </w:pPr>
      <w:r>
        <w:t xml:space="preserve">Evaluation planning Event No 5</w:t>
      </w:r>
      <w:r/>
    </w:p>
    <w:p>
      <w:pPr>
        <w:rPr>
          <w:b/>
        </w:rPr>
      </w:pPr>
      <w:r>
        <w:rPr>
          <w:rStyle w:val="122"/>
        </w:rPr>
        <w:t xml:space="preserve">Evaluated period:</w:t>
      </w:r>
      <w:r>
        <w:rPr>
          <w:b/>
          <w:color w:val="4F81BD" w:themeColor="accent1"/>
        </w:rPr>
        <w:t xml:space="preserve"> </w:t>
      </w:r>
      <w:r>
        <w:rPr>
          <w:b/>
          <w:color w:val="4F81BD" w:themeColor="accent1"/>
        </w:rPr>
        <w:t xml:space="preserve"> </w:t>
      </w:r>
      <w:r>
        <w:t xml:space="preserve">2015 - 2016</w:t>
      </w:r>
      <w:r/>
    </w:p>
    <w:p>
      <w:pPr>
        <w:rPr>
          <w:color w:val="4F81BD"/>
        </w:rPr>
      </w:pPr>
      <w:r>
        <w:rPr>
          <w:b/>
          <w:color w:val="4F81BD" w:themeColor="accent1"/>
        </w:rPr>
        <w:t xml:space="preserve">Notes: </w:t>
      </w:r>
      <w:r>
        <w:rPr>
          <w:color w:val="4F81BD" w:themeColor="accent1"/>
        </w:rPr>
        <w:t xml:space="preserve"> </w:t>
      </w:r>
      <w:r/>
    </w:p>
    <w:p>
      <w:r>
        <w:t xml:space="preserve">It may be so that the women do not use the money as explained in the business management training. But in total SEVIE Action10 get 100 % back.  It seems that even though we do the training they still put all money into one pot. Even though they pay back well, sometimes the paying back is delayed. Sometimes up to six months. </w:t>
      </w:r>
      <w:r/>
    </w:p>
    <w:p>
      <w:r>
        <w:t xml:space="preserve">The truth is that life is so extremely difficult that it is not possible to be hard on them. The really struggle and we feel we can’t push them more….</w:t>
      </w:r>
      <w:r/>
    </w:p>
    <w:p>
      <w:r>
        <w:t xml:space="preserve">If they manage to pay back according to plan, then they will get a second loan. </w:t>
      </w:r>
      <w:r>
        <w:t xml:space="preserve">But only then.</w:t>
      </w:r>
      <w:r/>
    </w:p>
    <w:p>
      <w:r>
        <w:t xml:space="preserve">The saving that was intended for bank never </w:t>
      </w:r>
      <w:r>
        <w:t xml:space="preserve">reach</w:t>
      </w:r>
      <w:r>
        <w:t xml:space="preserve"> the level of a bank. The women use the money at once, possibly to expand their businesses.</w:t>
      </w:r>
      <w:r/>
    </w:p>
    <w:p>
      <w:pPr>
        <w:pStyle w:val="115"/>
      </w:pPr>
      <w:r>
        <w:t xml:space="preserve">New initiatives</w:t>
      </w:r>
      <w:r>
        <w:br/>
        <w:t xml:space="preserve">Investment, medium scale</w:t>
      </w:r>
      <w:r/>
    </w:p>
    <w:p>
      <w:r>
        <w:rPr>
          <w:u w:val="single"/>
        </w:rPr>
        <w:t xml:space="preserve">Solar panel:</w:t>
      </w:r>
      <w:r>
        <w:t xml:space="preserve"> One family bought a solar panel and borrowed funds from Action10 SEVIE. They set it up at their roof and it is now used to charge mainly cell phones but also computers and torches. The cost to charge is 100 CFA. The solar panel buyer will pay back with 10 % interest. The panel also charges a lamp and the room can be used for homework for pupils. (They bought the solar panel for 400.000 CFA?) . The equipment cost, transportation and installation </w:t>
      </w:r>
      <w:r>
        <w:t xml:space="preserve">was  in</w:t>
      </w:r>
      <w:r>
        <w:t xml:space="preserve"> total 368.000 CFA. The solar panel was bought in </w:t>
      </w:r>
      <w:r>
        <w:t xml:space="preserve">Lomé</w:t>
      </w:r>
      <w:r>
        <w:t xml:space="preserve">.</w:t>
      </w:r>
      <w:r/>
    </w:p>
    <w:p>
      <w:pPr>
        <w:rPr>
          <w:u w:val="single"/>
        </w:rPr>
      </w:pPr>
      <w:r>
        <w:rPr>
          <w:u w:val="single"/>
        </w:rPr>
        <w:t xml:space="preserve">Mill</w:t>
      </w:r>
      <w:r>
        <w:rPr>
          <w:u w:val="single"/>
        </w:rPr>
        <w:t xml:space="preserve">:</w:t>
      </w:r>
      <w:r>
        <w:t xml:space="preserve"> Another family bought a mill and provides milling services to the village. Details are available in the interview material.</w:t>
      </w:r>
      <w:r>
        <w:rPr>
          <w:u w:val="single"/>
        </w:rPr>
        <w:br/>
      </w:r>
      <w:r/>
    </w:p>
    <w:p>
      <w:pPr>
        <w:pStyle w:val="115"/>
      </w:pPr>
      <w:r>
        <w:t xml:space="preserve">Microfinance institutions</w:t>
      </w:r>
      <w:r/>
    </w:p>
    <w:p>
      <w:pPr>
        <w:rPr>
          <w:u w:val="single"/>
        </w:rPr>
      </w:pPr>
      <w:r>
        <w:rPr>
          <w:u w:val="single"/>
        </w:rPr>
        <w:t xml:space="preserve">Levels of interest</w:t>
      </w:r>
      <w:r/>
    </w:p>
    <w:p>
      <w:r>
        <w:t xml:space="preserve">The government has a programme where they give microfinance loans at 8% interest, FNFI. The government has included training. But the government does not implement the activities on-site but has assigned the Microfinance institutions to do it. The maximum loan amount is 30 000 CFA. The women have to be in co-operatives. In the field we have noticed that the Microfinance does not always provide training. </w:t>
      </w:r>
      <w:r/>
    </w:p>
    <w:p>
      <w:r>
        <w:t xml:space="preserve">The Government agrees that other Microfinance Institutions, which have not been assigned by the Government take 18%. The normal level, accepted by everyone, in the field is therefore 18%. They give larger loans than 30,000 CFA and the women do not have to be </w:t>
      </w:r>
      <w:r>
        <w:t xml:space="preserve">in a cooperatives</w:t>
      </w:r>
      <w:r>
        <w:t xml:space="preserve">. In the field we have noticed that there are also </w:t>
      </w:r>
      <w:r>
        <w:t xml:space="preserve">Microfinance institutes that takes</w:t>
      </w:r>
      <w:r>
        <w:t xml:space="preserve"> 25 % interest. </w:t>
      </w:r>
      <w:r/>
    </w:p>
    <w:p>
      <w:pPr>
        <w:rPr>
          <w:u w:val="single"/>
        </w:rPr>
      </w:pPr>
      <w:r>
        <w:rPr>
          <w:u w:val="single"/>
        </w:rPr>
        <w:t xml:space="preserve">Training</w:t>
      </w:r>
      <w:r/>
    </w:p>
    <w:p>
      <w:r>
        <w:t xml:space="preserve">In the field we have noticed that the Microfinance does not always provide training, even though the Government institutions. </w:t>
      </w:r>
      <w:r/>
    </w:p>
    <w:p>
      <w:pPr>
        <w:rPr>
          <w:u w:val="single"/>
        </w:rPr>
      </w:pPr>
      <w:r>
        <w:rPr>
          <w:u w:val="single"/>
        </w:rPr>
        <w:t xml:space="preserve">Address challenges / Penalties</w:t>
      </w:r>
      <w:r/>
    </w:p>
    <w:p>
      <w:r>
        <w:t xml:space="preserve">We have learnt from the field that some Microfinance come with harsh penalties if they don’t pay back, the villagers mention (killing but means the pressure is too much), arrested by the police, or that the microfinance come to the village and just take their belongings. </w:t>
      </w:r>
      <w:r/>
    </w:p>
    <w:p>
      <w:pPr>
        <w:rPr>
          <w:u w:val="single"/>
        </w:rPr>
      </w:pPr>
      <w:r>
        <w:rPr>
          <w:u w:val="single"/>
        </w:rPr>
        <w:t xml:space="preserve">How to pay back</w:t>
      </w:r>
      <w:r/>
    </w:p>
    <w:p>
      <w:r>
        <w:t xml:space="preserve">The villagers have to travel to the office to pay back the loan back to the Microfinance institute.</w:t>
      </w:r>
      <w:r/>
    </w:p>
    <w:p>
      <w:pPr>
        <w:rPr>
          <w:u w:val="single"/>
        </w:rPr>
      </w:pPr>
      <w:r>
        <w:rPr>
          <w:u w:val="single"/>
        </w:rPr>
        <w:t xml:space="preserve">SEVIE Action10</w:t>
      </w:r>
      <w:r/>
    </w:p>
    <w:p>
      <w:r>
        <w:t xml:space="preserve">SEVIE Action10 </w:t>
      </w:r>
      <w:r>
        <w:t xml:space="preserve">provide</w:t>
      </w:r>
      <w:r>
        <w:t xml:space="preserve"> investment capital at 10 % interest. We visit our partners every week, coordinate the entrepreneurs</w:t>
      </w:r>
      <w:r>
        <w:t xml:space="preserve"> into cooperative groups so that the group pay back in time and the group members cover for each other. The first loan is 40,000 CFA and the second depends on how well the entrepreneur has managed the first</w:t>
      </w:r>
      <w:r>
        <w:t xml:space="preserve">,  but</w:t>
      </w:r>
      <w:r>
        <w:t xml:space="preserve"> maximum 80,000 CFA. If one member does not pay back in time due to lack of seriousness, then she will not be eligible for another loan (until she pays back). If members face challenges then we sort them out together. We also provide training on business management according to a method developed by SEVIE. (One lady said the training had transferred her from ignorance to being aware). The children to the entrepreneurs are offered to be included in the Basic education programme. This is an improvement from the </w:t>
      </w:r>
      <w:r>
        <w:t xml:space="preserve">previous  education</w:t>
      </w:r>
      <w:r>
        <w:t xml:space="preserve"> programme, as we now have contact with the parents.</w:t>
      </w:r>
      <w:r/>
    </w:p>
    <w:p>
      <w:r>
        <w:t xml:space="preserve">In January ?2016 S.E.VIE made a change to adapt to the government programme and lowered the interest rate to 8%, because the government offer microfinance loans to that level. Several microfinance institutions operate in the villages on behalf of the government. We discussed and agreed to increase to10 % again, as we also provide training, which has been developed to match very well the realities on the ground, and coaching in the sense that we face challenges together as equal partners. We do not have a penalty system where we come and collect the belongings or put in jail if the partner is not paying back. Our equal partnership approach together with the cooperative system (groups of five who are responsible for each other), ensures a 100% pay back. If we include family members then the payback decreases, so we do not.</w:t>
      </w:r>
      <w:r/>
    </w:p>
    <w:p>
      <w:r>
        <w:t xml:space="preserve">When we met in May we discussed the situation and we agree to change back to 10 %, as our programme is more supportive than the governmental and we need the funds to cover our running costs. We do continue with 8 % at sites where we have introduced the change.</w:t>
      </w:r>
      <w:r/>
    </w:p>
    <w:p>
      <w:r>
        <w:t xml:space="preserve">We take 10 % interest and give out the same money twice so we earn 20 %. We are considering </w:t>
      </w:r>
      <w:r>
        <w:t xml:space="preserve">to use</w:t>
      </w:r>
      <w:r>
        <w:t xml:space="preserve"> 5 % of the funds earned for the school programme. To have a sustainable economy we need to have 10,000,000 CFA (142,000 SEK) on the SEVIE Action10 account. This will thus generate a yearly income for SEVIE of 1,500,000 CFA (15%, 21,000 SEK). The running costs for the programme include; traveling to the villages, work hour /salary to collect funds, provide trainings and address challenges; office space and material.  We have to make the calculations of all running costs to ensure that we actually do cover them with the interest generated.  </w:t>
      </w:r>
      <w:r/>
    </w:p>
    <w:p>
      <w:r>
        <w:t xml:space="preserve">We have 6,438,450 CFA on our account SEVIE Action10 account and an unpaid amount of 334,550 CFA.  Thus we will need to add about 3,500,000 (</w:t>
      </w:r>
      <w:r>
        <w:t xml:space="preserve">ca</w:t>
      </w:r>
      <w:r>
        <w:t xml:space="preserve"> 50,000 </w:t>
      </w:r>
      <w:r>
        <w:t xml:space="preserve">sek</w:t>
      </w:r>
      <w:r>
        <w:t xml:space="preserve">) to achieve the expected 10,000,000 CFA.  To cover the first capital needed for giving double loans we will borrow money from other </w:t>
      </w:r>
      <w:r>
        <w:t xml:space="preserve">programmes.  We also need a motorbike, which is 555,000 CFA. We agreed that an Action10 crowd funding campaign of 4,000,000 CFA, would be a suitable initiative.</w:t>
      </w:r>
      <w:r/>
    </w:p>
    <w:p>
      <w:r>
        <w:t xml:space="preserve">We will focus on a few villages only, rather than trying to be in many villages, in order to reduce the running costs. The number of entrepreneurs will be the same as planned; just the number of villages will be decreased. We will remain in one village until all the entrepreneurs involved in the programme have enough capital for the businesses, to ensure sustainability and limit the number of travels and work hours. </w:t>
      </w:r>
      <w:r/>
    </w:p>
    <w:p>
      <w:r>
        <w:t xml:space="preserve">We will save money from the businesses for a village and start health emergency program if they </w:t>
      </w:r>
      <w:r>
        <w:t xml:space="preserve">want,</w:t>
      </w:r>
      <w:r>
        <w:t xml:space="preserve"> they have to pay back with 10 %.  We will not do that now.</w:t>
      </w:r>
      <w:r/>
    </w:p>
    <w:p>
      <w:r>
        <w:t xml:space="preserve">We also save a capital for them as in rural bank. The capital is always paid back with the last business payment. </w:t>
      </w:r>
      <w:r/>
    </w:p>
    <w:p>
      <w:r/>
      <w:r/>
    </w:p>
    <w:sectPr>
      <w:footnotePr/>
      <w:type w:val="nextPage"/>
      <w:pgSz w:w="11906" w:h="16838"/>
      <w:pgMar w:top="1417" w:right="1417" w:bottom="1417" w:left="1417" w:gutter="0" w:header="708" w:footer="708"/>
      <w:cols w:num="1" w:sep="0" w:space="708" w:equalWidth="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font>
  <w:font w:name="Calibri">
    <w:panose1 w:val="020F0502020204030204"/>
  </w:font>
  <w:font w:name="Cambria">
    <w:panose1 w:val="02040503050406030204"/>
  </w:font>
  <w:font w:name="Times New Roman">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Rule="auto" w:line="240" w:after="0"/>
      </w:pPr>
      <w:r/>
      <w:r>
        <w:separator/>
      </w:r>
    </w:p>
  </w:footnote>
  <w:footnote w:type="continuationSeparator" w:id="0">
    <w:p>
      <w:pPr>
        <w:spacing w:lineRule="auto" w:line="240" w:after="0"/>
      </w:pPr>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pStyle w:val="112"/>
      <w:suff w:val="tab"/>
      <w:lvlText w:val="%1."/>
      <w:lvlJc w:val="left"/>
      <w:pPr>
        <w:ind w:left="360" w:hanging="359"/>
      </w:pPr>
    </w:lvl>
    <w:lvl w:ilvl="1">
      <w:start w:val="1"/>
      <w:numFmt w:val="lowerLetter"/>
      <w:suff w:val="tab"/>
      <w:lvlText w:val="%2."/>
      <w:lvlJc w:val="left"/>
      <w:pPr>
        <w:ind w:left="1440" w:hanging="359"/>
      </w:pPr>
    </w:lvl>
    <w:lvl w:ilvl="2">
      <w:start w:val="1"/>
      <w:numFmt w:val="lowerRoman"/>
      <w:suff w:val="tab"/>
      <w:lvlText w:val="%3."/>
      <w:lvlJc w:val="right"/>
      <w:pPr>
        <w:ind w:left="2160" w:hanging="179"/>
      </w:pPr>
    </w:lvl>
    <w:lvl w:ilvl="3">
      <w:start w:val="1"/>
      <w:numFmt w:val="decimal"/>
      <w:suff w:val="tab"/>
      <w:lvlText w:val="%4."/>
      <w:lvlJc w:val="left"/>
      <w:pPr>
        <w:ind w:left="2880" w:hanging="359"/>
      </w:pPr>
    </w:lvl>
    <w:lvl w:ilvl="4">
      <w:start w:val="1"/>
      <w:numFmt w:val="lowerLetter"/>
      <w:suff w:val="tab"/>
      <w:lvlText w:val="%5."/>
      <w:lvlJc w:val="left"/>
      <w:pPr>
        <w:ind w:left="3600" w:hanging="359"/>
      </w:pPr>
    </w:lvl>
    <w:lvl w:ilvl="5">
      <w:start w:val="1"/>
      <w:numFmt w:val="lowerRoman"/>
      <w:suff w:val="tab"/>
      <w:lvlText w:val="%6."/>
      <w:lvlJc w:val="right"/>
      <w:pPr>
        <w:ind w:left="4320" w:hanging="179"/>
      </w:pPr>
    </w:lvl>
    <w:lvl w:ilvl="6">
      <w:start w:val="1"/>
      <w:numFmt w:val="decimal"/>
      <w:suff w:val="tab"/>
      <w:lvlText w:val="%7."/>
      <w:lvlJc w:val="left"/>
      <w:pPr>
        <w:ind w:left="5040" w:hanging="359"/>
      </w:pPr>
    </w:lvl>
    <w:lvl w:ilvl="7">
      <w:start w:val="1"/>
      <w:numFmt w:val="lowerLetter"/>
      <w:suff w:val="tab"/>
      <w:lvlText w:val="%8."/>
      <w:lvlJc w:val="left"/>
      <w:pPr>
        <w:ind w:left="5760" w:hanging="359"/>
      </w:pPr>
    </w:lvl>
    <w:lvl w:ilvl="8">
      <w:start w:val="1"/>
      <w:numFmt w:val="lowerRoman"/>
      <w:suff w:val="tab"/>
      <w:lvlText w:val="%9."/>
      <w:lvlJc w:val="right"/>
      <w:pPr>
        <w:ind w:left="6480" w:hanging="179"/>
      </w:pPr>
    </w:lvl>
  </w:abstractNum>
  <w:abstractNum w:abstractNumId="1">
    <w:multiLevelType w:val="hybridMultilevel"/>
    <w:lvl w:ilvl="0">
      <w:start w:val="1"/>
      <w:numFmt w:val="decimal"/>
      <w:suff w:val="tab"/>
      <w:lvlText w:val="%1."/>
      <w:lvlJc w:val="left"/>
      <w:pPr>
        <w:ind w:left="360" w:hanging="359"/>
        <w:tabs>
          <w:tab w:val="left" w:pos="360"/>
        </w:tabs>
      </w:pPr>
      <w:rPr>
        <w:rFonts w:hint="default"/>
      </w:rPr>
    </w:lvl>
    <w:lvl w:ilvl="1">
      <w:start w:val="1"/>
      <w:numFmt w:val="decimal"/>
      <w:suff w:val="tab"/>
      <w:lvlText w:val="%1.%2."/>
      <w:lvlJc w:val="left"/>
      <w:pPr>
        <w:ind w:left="792" w:hanging="431"/>
        <w:tabs>
          <w:tab w:val="left" w:pos="792"/>
        </w:tabs>
      </w:pPr>
      <w:rPr>
        <w:rFonts w:hint="default"/>
      </w:rPr>
    </w:lvl>
    <w:lvl w:ilvl="2">
      <w:start w:val="1"/>
      <w:numFmt w:val="decimal"/>
      <w:suff w:val="tab"/>
      <w:lvlText w:val="%1.%2.%3."/>
      <w:lvlJc w:val="left"/>
      <w:pPr>
        <w:ind w:left="1224" w:hanging="503"/>
        <w:tabs>
          <w:tab w:val="left" w:pos="1440"/>
        </w:tabs>
      </w:pPr>
      <w:rPr>
        <w:rFonts w:hint="default"/>
      </w:rPr>
    </w:lvl>
    <w:lvl w:ilvl="3">
      <w:start w:val="1"/>
      <w:numFmt w:val="decimal"/>
      <w:suff w:val="tab"/>
      <w:lvlText w:val="%1.%2.%3.%4."/>
      <w:lvlJc w:val="left"/>
      <w:pPr>
        <w:ind w:left="1728" w:hanging="647"/>
        <w:tabs>
          <w:tab w:val="left" w:pos="2160"/>
        </w:tabs>
      </w:pPr>
      <w:rPr>
        <w:rFonts w:hint="default"/>
      </w:rPr>
    </w:lvl>
    <w:lvl w:ilvl="4">
      <w:start w:val="1"/>
      <w:numFmt w:val="decimal"/>
      <w:suff w:val="tab"/>
      <w:lvlText w:val="%1.%2.%3.%4.%5."/>
      <w:lvlJc w:val="left"/>
      <w:pPr>
        <w:ind w:left="2232" w:hanging="791"/>
        <w:tabs>
          <w:tab w:val="left" w:pos="2520"/>
        </w:tabs>
      </w:pPr>
      <w:rPr>
        <w:rFonts w:hint="default"/>
      </w:rPr>
    </w:lvl>
    <w:lvl w:ilvl="5">
      <w:start w:val="1"/>
      <w:numFmt w:val="decimal"/>
      <w:suff w:val="tab"/>
      <w:lvlText w:val="%1.%2.%3.%4.%5.%6."/>
      <w:lvlJc w:val="left"/>
      <w:pPr>
        <w:ind w:left="2736" w:hanging="935"/>
        <w:tabs>
          <w:tab w:val="left" w:pos="3240"/>
        </w:tabs>
      </w:pPr>
      <w:rPr>
        <w:rFonts w:hint="default"/>
      </w:rPr>
    </w:lvl>
    <w:lvl w:ilvl="6">
      <w:start w:val="1"/>
      <w:numFmt w:val="decimal"/>
      <w:suff w:val="tab"/>
      <w:lvlText w:val="%1.%2.%3.%4.%5.%6.%7."/>
      <w:lvlJc w:val="left"/>
      <w:pPr>
        <w:ind w:left="3240" w:hanging="1079"/>
        <w:tabs>
          <w:tab w:val="left" w:pos="3960"/>
        </w:tabs>
      </w:pPr>
      <w:rPr>
        <w:rFonts w:hint="default"/>
      </w:rPr>
    </w:lvl>
    <w:lvl w:ilvl="7">
      <w:start w:val="1"/>
      <w:numFmt w:val="decimal"/>
      <w:suff w:val="tab"/>
      <w:lvlText w:val="%1.%2.%3.%4.%5.%6.%7.%8."/>
      <w:lvlJc w:val="left"/>
      <w:pPr>
        <w:ind w:left="3744" w:hanging="1223"/>
        <w:tabs>
          <w:tab w:val="left" w:pos="4320"/>
        </w:tabs>
      </w:pPr>
      <w:rPr>
        <w:rFonts w:hint="default"/>
      </w:rPr>
    </w:lvl>
    <w:lvl w:ilvl="8">
      <w:start w:val="1"/>
      <w:numFmt w:val="decimal"/>
      <w:suff w:val="tab"/>
      <w:lvlText w:val="%1.%2.%3.%4.%5.%6.%7.%8.%9."/>
      <w:lvlJc w:val="left"/>
      <w:pPr>
        <w:ind w:left="4320" w:hanging="1439"/>
        <w:tabs>
          <w:tab w:val="left" w:pos="5040"/>
        </w:tabs>
      </w:pPr>
      <w:rPr>
        <w:rFonts w:hint="default"/>
      </w:rPr>
    </w:lvl>
  </w:abstractNum>
  <w:num w:numId="1">
    <w:abstractNumId w:val="0"/>
  </w:num>
  <w:num w:numId="2">
    <w:abstractNumId w:val="1"/>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1304"/>
  <m:mathPr>
    <m:brkBin m:val="before"/>
    <m:defJc m:val="centerGroup"/>
    <m:intLim m:val="subSup"/>
    <m:lMargin m:val="0"/>
    <m:mathFont m:val="Cambria Math"/>
    <m:naryLim m:val="undOvr"/>
    <m:rMargin m:val="0"/>
    <m:smallFrac m:val="false"/>
    <m:wrapIndent m:val="1440"/>
  </m:mathPr>
  <w:trackRevisions w:val="false"/>
  <w:footnotePr>
    <w:footnote w:id="-1"/>
    <w:footnote w:id="0"/>
    <w:numFmt w:val="decimal"/>
    <w:numRestart w:val="continuous"/>
    <w:numStart w:val="1"/>
    <w:pos w:val="pageBottom"/>
  </w:footnotePr>
  <w:zoom w:percent="10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cs="Calibri" w:eastAsia="Calibri" w:hint="default"/>
        <w:color w:val="auto"/>
        <w:spacing w:val="0"/>
        <w:position w:val="0"/>
        <w:sz w:val="22"/>
        <w:szCs w:val="22"/>
        <w:lang w:val="sv-SE" w:bidi="ar-SA" w:eastAsia="en-US"/>
      </w:rPr>
    </w:rPrDefault>
    <w:pPrDefault>
      <w:pPr>
        <w:ind w:left="0" w:right="0" w:hanging="0"/>
        <w:jc w:val="left"/>
        <w:spacing w:lineRule="auto" w:line="276" w:after="200" w:afterAutospacing="0" w:before="0" w:beforeAutospacing="0"/>
        <w:shd w:val="clear" w:color="auto" w:fill="auto"/>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6">
    <w:name w:val="Heading 6"/>
    <w:basedOn w:val="111"/>
    <w:next w:val="111"/>
    <w:qFormat/>
    <w:uiPriority w:val="9"/>
    <w:unhideWhenUsed/>
    <w:rPr>
      <w:rFonts w:ascii="Arial" w:hAnsi="Arial" w:cs="Arial" w:eastAsia="Arial"/>
      <w:i/>
      <w:iCs/>
      <w:color w:val="232323"/>
      <w:sz w:val="28"/>
      <w:szCs w:val="28"/>
    </w:rPr>
    <w:pPr>
      <w:keepLines/>
      <w:keepNext/>
      <w:spacing w:after="0" w:before="200"/>
    </w:pPr>
  </w:style>
  <w:style w:type="paragraph" w:styleId="17">
    <w:name w:val="Heading 7"/>
    <w:basedOn w:val="111"/>
    <w:next w:val="111"/>
    <w:qFormat/>
    <w:uiPriority w:val="9"/>
    <w:unhideWhenUsed/>
    <w:rPr>
      <w:rFonts w:ascii="Arial" w:hAnsi="Arial" w:cs="Arial" w:eastAsia="Arial"/>
      <w:b/>
      <w:bCs/>
      <w:color w:val="606060"/>
      <w:sz w:val="24"/>
      <w:szCs w:val="24"/>
    </w:rPr>
    <w:pPr>
      <w:keepLines/>
      <w:keepNext/>
      <w:spacing w:after="0" w:before="200"/>
    </w:pPr>
  </w:style>
  <w:style w:type="paragraph" w:styleId="18">
    <w:name w:val="Heading 8"/>
    <w:basedOn w:val="111"/>
    <w:next w:val="111"/>
    <w:qFormat/>
    <w:uiPriority w:val="9"/>
    <w:unhideWhenUsed/>
    <w:rPr>
      <w:rFonts w:ascii="Arial" w:hAnsi="Arial" w:cs="Arial" w:eastAsia="Arial"/>
      <w:color w:val="444444"/>
      <w:sz w:val="24"/>
      <w:szCs w:val="24"/>
    </w:rPr>
    <w:pPr>
      <w:keepLines/>
      <w:keepNext/>
      <w:spacing w:after="0" w:before="200"/>
    </w:pPr>
  </w:style>
  <w:style w:type="paragraph" w:styleId="19">
    <w:name w:val="Heading 9"/>
    <w:basedOn w:val="111"/>
    <w:next w:val="111"/>
    <w:qFormat/>
    <w:uiPriority w:val="9"/>
    <w:unhideWhenUsed/>
    <w:rPr>
      <w:rFonts w:ascii="Arial" w:hAnsi="Arial" w:cs="Arial" w:eastAsia="Arial"/>
      <w:i/>
      <w:iCs/>
      <w:color w:val="444444"/>
      <w:sz w:val="23"/>
      <w:szCs w:val="23"/>
    </w:rPr>
    <w:pPr>
      <w:keepLines/>
      <w:keepNext/>
      <w:spacing w:after="0" w:before="200"/>
    </w:pPr>
  </w:style>
  <w:style w:type="paragraph" w:styleId="25">
    <w:name w:val="Quote"/>
    <w:basedOn w:val="111"/>
    <w:next w:val="111"/>
    <w:qFormat/>
    <w:uiPriority w:val="29"/>
    <w:rPr>
      <w:i/>
      <w:color w:val="373737"/>
      <w:sz w:val="18"/>
    </w:rPr>
    <w:pPr>
      <w:ind w:left="3402"/>
      <w:pBdr>
        <w:left w:val="single" w:color="A6A6A6" w:sz="12" w:space="11"/>
        <w:bottom w:val="single" w:color="A6A6A6" w:sz="12" w:space="3"/>
      </w:pBdr>
    </w:pPr>
  </w:style>
  <w:style w:type="paragraph" w:styleId="26">
    <w:name w:val="Intense Quote"/>
    <w:basedOn w:val="111"/>
    <w:next w:val="111"/>
    <w:qFormat/>
    <w:uiPriority w:val="30"/>
    <w:rPr>
      <w:i/>
      <w:color w:val="606060"/>
      <w:sz w:val="19"/>
    </w:rPr>
    <w:pPr>
      <w:ind w:left="567" w:right="567"/>
      <w:shd w:val="clear" w:color="auto" w:fill="D9D9D9"/>
      <w:pBdr>
        <w:left w:val="single" w:color="808080" w:sz="4" w:space="11"/>
        <w:top w:val="single" w:color="808080" w:sz="4" w:space="3"/>
        <w:right w:val="single" w:color="808080" w:sz="4" w:space="11"/>
        <w:bottom w:val="single" w:color="808080" w:sz="4" w:space="3"/>
      </w:pBdr>
    </w:pPr>
  </w:style>
  <w:style w:type="paragraph" w:styleId="27">
    <w:name w:val="Header"/>
    <w:basedOn w:val="111"/>
    <w:uiPriority w:val="99"/>
    <w:unhideWhenUsed/>
    <w:rPr>
      <w:color w:val="000000"/>
      <w:sz w:val="22"/>
    </w:rPr>
    <w:pPr>
      <w:spacing w:lineRule="auto" w:line="240" w:after="0"/>
      <w:tabs>
        <w:tab w:val="center" w:pos="7143"/>
        <w:tab w:val="right" w:pos="14287"/>
      </w:tabs>
    </w:pPr>
  </w:style>
  <w:style w:type="paragraph" w:styleId="28">
    <w:name w:val="Footer"/>
    <w:basedOn w:val="111"/>
    <w:uiPriority w:val="99"/>
    <w:unhideWhenUsed/>
    <w:rPr>
      <w:color w:val="000000"/>
      <w:sz w:val="22"/>
    </w:rPr>
    <w:pPr>
      <w:spacing w:lineRule="auto" w:line="240" w:after="0"/>
      <w:tabs>
        <w:tab w:val="center" w:pos="7143"/>
        <w:tab w:val="right" w:pos="14287"/>
      </w:tabs>
    </w:pPr>
  </w:style>
  <w:style w:type="table" w:styleId="29">
    <w:name w:val="Table Grid"/>
    <w:basedOn w:val="118"/>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30">
    <w:name w:val="Lined"/>
    <w:basedOn w:val="118"/>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F2F2F2"/>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31">
    <w:name w:val="Lined - Accent 1"/>
    <w:basedOn w:val="118"/>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32">
    <w:name w:val="Lined - Accent 2"/>
    <w:basedOn w:val="118"/>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33">
    <w:name w:val="Lined - Accent 3"/>
    <w:basedOn w:val="118"/>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559"/>
      </w:tcPr>
    </w:tblStylePr>
    <w:tblStylePr w:type="firstRow">
      <w:rPr>
        <w:rFonts w:ascii="Arial" w:hAnsi="Arial"/>
        <w:color w:val="F2F2F2"/>
        <w:sz w:val="22"/>
      </w:rPr>
      <w:tcPr>
        <w:shd w:val="clear" w:color="auto" w:fill="9BB559"/>
      </w:tcPr>
    </w:tblStylePr>
    <w:tblStylePr w:type="lastCol">
      <w:rPr>
        <w:rFonts w:ascii="Arial" w:hAnsi="Arial"/>
        <w:color w:val="F2F2F2"/>
        <w:sz w:val="22"/>
      </w:rPr>
      <w:tcPr>
        <w:shd w:val="clear" w:color="auto" w:fill="9BB559"/>
      </w:tcPr>
    </w:tblStylePr>
    <w:tblStylePr w:type="lastRow">
      <w:rPr>
        <w:rFonts w:ascii="Arial" w:hAnsi="Arial"/>
        <w:color w:val="F2F2F2"/>
        <w:sz w:val="22"/>
      </w:rPr>
      <w:tcPr>
        <w:shd w:val="clear" w:color="auto" w:fill="9BB559"/>
      </w:tcPr>
    </w:tblStylePr>
  </w:style>
  <w:style w:type="table" w:styleId="34">
    <w:name w:val="Lined - Accent 4"/>
    <w:basedOn w:val="118"/>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35">
    <w:name w:val="Lined - Accent 5"/>
    <w:basedOn w:val="118"/>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36">
    <w:name w:val="Lined - Accent 6"/>
    <w:basedOn w:val="118"/>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table" w:styleId="37">
    <w:name w:val="Bordered"/>
    <w:basedOn w:val="118"/>
    <w:uiPriority w:val="99"/>
    <w:pPr>
      <w:spacing w:lineRule="auto" w:line="240" w:after="0"/>
    </w:pPr>
    <w:tblPr>
      <w:tblStyleRowBandSize w:val="1"/>
      <w:tblStyleColBandSize w:val="1"/>
      <w:tblInd w:w="0" w:type="dxa"/>
      <w:tblBorders>
        <w:left w:val="single" w:color="D9D9D9" w:sz="4" w:space="0"/>
        <w:top w:val="single" w:color="D9D9D9" w:sz="4" w:space="0"/>
        <w:right w:val="single" w:color="D9D9D9" w:sz="4" w:space="0"/>
        <w:bottom w:val="single" w:color="D9D9D9" w:sz="4" w:space="0"/>
        <w:insideV w:val="single" w:color="D9D9D9" w:sz="4" w:space="0"/>
        <w:insideH w:val="single" w:color="D9D9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9D9D9" w:sz="4" w:space="0"/>
          <w:top w:val="single" w:color="D9D9D9" w:sz="4" w:space="0"/>
          <w:right w:val="single" w:color="D9D9D9" w:sz="4" w:space="0"/>
          <w:bottom w:val="single" w:color="D9D9D9" w:sz="4" w:space="0"/>
        </w:tcBorders>
      </w:tcPr>
    </w:tblStylePr>
    <w:tblStylePr w:type="firstCol">
      <w:rPr>
        <w:rFonts w:ascii="Arial" w:hAnsi="Arial"/>
        <w:color w:val="404040"/>
        <w:sz w:val="22"/>
      </w:rPr>
      <w:tcPr>
        <w:tcBorders>
          <w:right w:val="single" w:color="7F7F7F" w:sz="12" w:space="0"/>
        </w:tcBorders>
      </w:tcPr>
    </w:tblStylePr>
    <w:tblStylePr w:type="firstRow">
      <w:rPr>
        <w:rFonts w:ascii="Arial" w:hAnsi="Arial"/>
        <w:color w:val="404040"/>
        <w:sz w:val="22"/>
      </w:rPr>
      <w:tcPr>
        <w:tcBorders>
          <w:bottom w:val="single" w:color="7F7F7F" w:sz="12" w:space="0"/>
        </w:tcBorders>
      </w:tcPr>
    </w:tblStylePr>
    <w:tblStylePr w:type="lastCol">
      <w:rPr>
        <w:rFonts w:ascii="Arial" w:hAnsi="Arial"/>
        <w:color w:val="404040"/>
        <w:sz w:val="22"/>
      </w:rPr>
      <w:tcPr>
        <w:tcBorders>
          <w:left w:val="single" w:color="7F7F7F" w:sz="12" w:space="0"/>
        </w:tcBorders>
      </w:tcPr>
    </w:tblStylePr>
    <w:tblStylePr w:type="lastRow">
      <w:rPr>
        <w:rFonts w:ascii="Arial" w:hAnsi="Arial"/>
        <w:color w:val="404040"/>
        <w:sz w:val="22"/>
      </w:rPr>
      <w:tcPr>
        <w:tcBorders>
          <w:top w:val="single" w:color="7F7F7F" w:sz="12" w:space="0"/>
        </w:tcBorders>
      </w:tcPr>
    </w:tblStylePr>
  </w:style>
  <w:style w:type="table" w:styleId="38">
    <w:name w:val="Bordered - Accent 1"/>
    <w:basedOn w:val="118"/>
    <w:uiPriority w:val="99"/>
    <w:pPr>
      <w:spacing w:lineRule="auto" w:line="240" w:after="0"/>
    </w:pPr>
    <w:tblPr>
      <w:tblStyleRowBandSize w:val="1"/>
      <w:tblStyleColBandSize w:val="1"/>
      <w:tblInd w:w="0" w:type="dxa"/>
      <w:tblBorders>
        <w:left w:val="single" w:color="B8CCE4" w:sz="4" w:space="0"/>
        <w:top w:val="single" w:color="B8CCE4" w:sz="4" w:space="0"/>
        <w:right w:val="single" w:color="B8CCE4" w:sz="4" w:space="0"/>
        <w:bottom w:val="single" w:color="B8CCE4" w:sz="4" w:space="0"/>
        <w:insideV w:val="single" w:color="B8CCE4" w:sz="4" w:space="0"/>
        <w:insideH w:val="single" w:color="B8CCE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8CCE4" w:sz="4" w:space="0"/>
          <w:top w:val="single" w:color="B8CCE4" w:sz="4" w:space="0"/>
          <w:right w:val="single" w:color="B8CCE4" w:sz="4" w:space="0"/>
          <w:bottom w:val="single" w:color="B8CCE4" w:sz="4" w:space="0"/>
        </w:tcBorders>
      </w:tcPr>
    </w:tblStylePr>
    <w:tblStylePr w:type="firstCol">
      <w:rPr>
        <w:rFonts w:ascii="Arial" w:hAnsi="Arial"/>
        <w:color w:val="404040"/>
        <w:sz w:val="22"/>
      </w:rPr>
      <w:tcPr>
        <w:tcBorders>
          <w:right w:val="single" w:color="4F81BD" w:sz="12" w:space="0"/>
        </w:tcBorders>
      </w:tcPr>
    </w:tblStylePr>
    <w:tblStylePr w:type="firstRow">
      <w:rPr>
        <w:rFonts w:ascii="Arial" w:hAnsi="Arial"/>
        <w:color w:val="404040"/>
        <w:sz w:val="22"/>
      </w:rPr>
      <w:tcPr>
        <w:tcBorders>
          <w:bottom w:val="single" w:color="4F81BD" w:sz="12" w:space="0"/>
        </w:tcBorders>
      </w:tcPr>
    </w:tblStylePr>
    <w:tblStylePr w:type="lastCol">
      <w:rPr>
        <w:rFonts w:ascii="Arial" w:hAnsi="Arial"/>
        <w:color w:val="404040"/>
        <w:sz w:val="22"/>
      </w:rPr>
      <w:tcPr>
        <w:tcBorders>
          <w:left w:val="single" w:color="4F81BD" w:sz="12" w:space="0"/>
        </w:tcBorders>
      </w:tcPr>
    </w:tblStylePr>
    <w:tblStylePr w:type="lastRow">
      <w:rPr>
        <w:rFonts w:ascii="Arial" w:hAnsi="Arial"/>
        <w:color w:val="404040"/>
        <w:sz w:val="22"/>
      </w:rPr>
      <w:tcPr>
        <w:tcBorders>
          <w:top w:val="single" w:color="4F81BD" w:sz="12" w:space="0"/>
        </w:tcBorders>
      </w:tcPr>
    </w:tblStylePr>
  </w:style>
  <w:style w:type="table" w:styleId="39">
    <w:name w:val="Bordered - Accent 2"/>
    <w:basedOn w:val="118"/>
    <w:uiPriority w:val="99"/>
    <w:pPr>
      <w:spacing w:lineRule="auto" w:line="240" w:after="0"/>
    </w:pPr>
    <w:tblPr>
      <w:tblStyleRowBandSize w:val="1"/>
      <w:tblStyleColBandSize w:val="1"/>
      <w:tblInd w:w="0" w:type="dxa"/>
      <w:tblBorders>
        <w:left w:val="single" w:color="E5B8B7" w:sz="4" w:space="0"/>
        <w:top w:val="single" w:color="E5B8B7" w:sz="4" w:space="0"/>
        <w:right w:val="single" w:color="E5B8B7" w:sz="4" w:space="0"/>
        <w:bottom w:val="single" w:color="E5B8B7" w:sz="4" w:space="0"/>
        <w:insideV w:val="single" w:color="E5B8B7" w:sz="4" w:space="0"/>
        <w:insideH w:val="single" w:color="E5B8B7" w:sz="4" w:space="0"/>
      </w:tblBorders>
      <w:tblCellMar>
        <w:left w:w="170" w:type="dxa"/>
        <w:top w:w="96" w:type="dxa"/>
        <w:right w:w="170" w:type="dxa"/>
        <w:bottom w:w="96" w:type="dxa"/>
      </w:tblCellMar>
    </w:tblPr>
    <w:tblStylePr w:type="band1Horz">
      <w:rPr>
        <w:rFonts w:ascii="Arial" w:hAnsi="Arial"/>
        <w:color w:val="404040"/>
        <w:sz w:val="22"/>
      </w:rPr>
      <w:tcPr>
        <w:tcBorders>
          <w:left w:val="single" w:color="E5B8B7" w:sz="4" w:space="0"/>
          <w:top w:val="single" w:color="E5B8B7" w:sz="4" w:space="0"/>
          <w:right w:val="single" w:color="E5B8B7" w:sz="4" w:space="0"/>
          <w:bottom w:val="single" w:color="E5B8B7" w:sz="4" w:space="0"/>
        </w:tcBorders>
      </w:tcPr>
    </w:tblStylePr>
    <w:tblStylePr w:type="firstCol">
      <w:rPr>
        <w:rFonts w:ascii="Arial" w:hAnsi="Arial"/>
        <w:color w:val="404040"/>
        <w:sz w:val="22"/>
      </w:rPr>
      <w:tcPr>
        <w:tcBorders>
          <w:right w:val="single" w:color="D99594" w:sz="12" w:space="0"/>
        </w:tcBorders>
      </w:tcPr>
    </w:tblStylePr>
    <w:tblStylePr w:type="firstRow">
      <w:rPr>
        <w:rFonts w:ascii="Arial" w:hAnsi="Arial"/>
        <w:color w:val="404040"/>
        <w:sz w:val="22"/>
      </w:rPr>
      <w:tcPr>
        <w:tcBorders>
          <w:bottom w:val="single" w:color="D99594" w:sz="12" w:space="0"/>
        </w:tcBorders>
      </w:tcPr>
    </w:tblStylePr>
    <w:tblStylePr w:type="lastCol">
      <w:rPr>
        <w:rFonts w:ascii="Arial" w:hAnsi="Arial"/>
        <w:color w:val="404040"/>
        <w:sz w:val="22"/>
      </w:rPr>
      <w:tcPr>
        <w:tcBorders>
          <w:left w:val="single" w:color="D99594" w:sz="12" w:space="0"/>
        </w:tcBorders>
      </w:tcPr>
    </w:tblStylePr>
    <w:tblStylePr w:type="lastRow">
      <w:rPr>
        <w:rFonts w:ascii="Arial" w:hAnsi="Arial"/>
        <w:color w:val="404040"/>
        <w:sz w:val="22"/>
      </w:rPr>
      <w:tcPr>
        <w:tcBorders>
          <w:top w:val="single" w:color="D99594" w:sz="12" w:space="0"/>
        </w:tcBorders>
      </w:tcPr>
    </w:tblStylePr>
  </w:style>
  <w:style w:type="table" w:styleId="40">
    <w:name w:val="Bordered - Accent 3"/>
    <w:basedOn w:val="118"/>
    <w:uiPriority w:val="99"/>
    <w:pPr>
      <w:spacing w:lineRule="auto" w:line="240" w:after="0"/>
    </w:pPr>
    <w:tblPr>
      <w:tblStyleRowBandSize w:val="1"/>
      <w:tblStyleColBandSize w:val="1"/>
      <w:tblInd w:w="0" w:type="dxa"/>
      <w:tblBorders>
        <w:left w:val="single" w:color="D6E3BC" w:sz="4" w:space="0"/>
        <w:top w:val="single" w:color="D6E3BC" w:sz="4" w:space="0"/>
        <w:right w:val="single" w:color="D6E3BC" w:sz="4" w:space="0"/>
        <w:bottom w:val="single" w:color="D6E3BC" w:sz="4" w:space="0"/>
        <w:insideV w:val="single" w:color="D6E3BC" w:sz="4" w:space="0"/>
        <w:insideH w:val="single" w:color="D6E3BC"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6E3BC" w:sz="4" w:space="0"/>
          <w:top w:val="single" w:color="D6E3BC" w:sz="4" w:space="0"/>
          <w:right w:val="single" w:color="D6E3BC" w:sz="4" w:space="0"/>
          <w:bottom w:val="single" w:color="D6E3BC" w:sz="4" w:space="0"/>
        </w:tcBorders>
      </w:tcPr>
    </w:tblStylePr>
    <w:tblStylePr w:type="firstCol">
      <w:rPr>
        <w:rFonts w:ascii="Arial" w:hAnsi="Arial"/>
        <w:color w:val="404040"/>
        <w:sz w:val="22"/>
      </w:rPr>
      <w:tcPr>
        <w:tcBorders>
          <w:right w:val="single" w:color="C2D69B" w:sz="12" w:space="0"/>
        </w:tcBorders>
      </w:tcPr>
    </w:tblStylePr>
    <w:tblStylePr w:type="firstRow">
      <w:rPr>
        <w:rFonts w:ascii="Arial" w:hAnsi="Arial"/>
        <w:color w:val="404040"/>
        <w:sz w:val="22"/>
      </w:rPr>
      <w:tcPr>
        <w:tcBorders>
          <w:bottom w:val="single" w:color="C2D69B" w:sz="12" w:space="0"/>
        </w:tcBorders>
      </w:tcPr>
    </w:tblStylePr>
    <w:tblStylePr w:type="lastCol">
      <w:rPr>
        <w:rFonts w:ascii="Arial" w:hAnsi="Arial"/>
        <w:color w:val="404040"/>
        <w:sz w:val="22"/>
      </w:rPr>
      <w:tcPr>
        <w:tcBorders>
          <w:left w:val="single" w:color="C2D69B" w:sz="12" w:space="0"/>
        </w:tcBorders>
      </w:tcPr>
    </w:tblStylePr>
    <w:tblStylePr w:type="lastRow">
      <w:rPr>
        <w:rFonts w:ascii="Arial" w:hAnsi="Arial"/>
        <w:color w:val="404040"/>
        <w:sz w:val="22"/>
      </w:rPr>
      <w:tcPr>
        <w:tcBorders>
          <w:top w:val="single" w:color="C2D69B" w:sz="12" w:space="0"/>
        </w:tcBorders>
      </w:tcPr>
    </w:tblStylePr>
  </w:style>
  <w:style w:type="table" w:styleId="41">
    <w:name w:val="Bordered - Accent 4"/>
    <w:basedOn w:val="118"/>
    <w:uiPriority w:val="99"/>
    <w:pPr>
      <w:spacing w:lineRule="auto" w:line="240" w:after="0"/>
    </w:pPr>
    <w:tblPr>
      <w:tblStyleRowBandSize w:val="1"/>
      <w:tblStyleColBandSize w:val="1"/>
      <w:tblInd w:w="0" w:type="dxa"/>
      <w:tblBorders>
        <w:left w:val="single" w:color="CCC0D9" w:sz="4" w:space="0"/>
        <w:top w:val="single" w:color="CCC0D9" w:sz="4" w:space="0"/>
        <w:right w:val="single" w:color="CCC0D9" w:sz="4" w:space="0"/>
        <w:bottom w:val="single" w:color="CCC0D9" w:sz="4" w:space="0"/>
        <w:insideV w:val="single" w:color="CCC0D9" w:sz="4" w:space="0"/>
        <w:insideH w:val="single" w:color="CCC0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CCC0D9" w:sz="4" w:space="0"/>
          <w:top w:val="single" w:color="CCC0D9" w:sz="4" w:space="0"/>
          <w:right w:val="single" w:color="CCC0D9" w:sz="4" w:space="0"/>
          <w:bottom w:val="single" w:color="CCC0D9" w:sz="4" w:space="0"/>
        </w:tcBorders>
      </w:tcPr>
    </w:tblStylePr>
    <w:tblStylePr w:type="firstCol">
      <w:rPr>
        <w:rFonts w:ascii="Arial" w:hAnsi="Arial"/>
        <w:color w:val="404040"/>
        <w:sz w:val="22"/>
      </w:rPr>
      <w:tcPr>
        <w:tcBorders>
          <w:right w:val="single" w:color="B2A1C7" w:sz="12" w:space="0"/>
        </w:tcBorders>
      </w:tcPr>
    </w:tblStylePr>
    <w:tblStylePr w:type="firstRow">
      <w:rPr>
        <w:rFonts w:ascii="Arial" w:hAnsi="Arial"/>
        <w:color w:val="404040"/>
        <w:sz w:val="22"/>
      </w:rPr>
      <w:tcPr>
        <w:tcBorders>
          <w:bottom w:val="single" w:color="B2A1C7" w:sz="12" w:space="0"/>
        </w:tcBorders>
      </w:tcPr>
    </w:tblStylePr>
    <w:tblStylePr w:type="lastCol">
      <w:rPr>
        <w:rFonts w:ascii="Arial" w:hAnsi="Arial"/>
        <w:color w:val="404040"/>
        <w:sz w:val="22"/>
      </w:rPr>
      <w:tcPr>
        <w:tcBorders>
          <w:left w:val="single" w:color="B2A1C7" w:sz="12" w:space="0"/>
        </w:tcBorders>
      </w:tcPr>
    </w:tblStylePr>
    <w:tblStylePr w:type="lastRow">
      <w:rPr>
        <w:rFonts w:ascii="Arial" w:hAnsi="Arial"/>
        <w:color w:val="404040"/>
        <w:sz w:val="22"/>
      </w:rPr>
      <w:tcPr>
        <w:tcBorders>
          <w:top w:val="single" w:color="B2A1C7" w:sz="12" w:space="0"/>
        </w:tcBorders>
      </w:tcPr>
    </w:tblStylePr>
  </w:style>
  <w:style w:type="table" w:styleId="42">
    <w:name w:val="Bordered - Accent 5"/>
    <w:basedOn w:val="118"/>
    <w:uiPriority w:val="99"/>
    <w:pPr>
      <w:spacing w:lineRule="auto" w:line="240" w:after="0"/>
    </w:pPr>
    <w:tblPr>
      <w:tblStyleRowBandSize w:val="1"/>
      <w:tblStyleColBandSize w:val="1"/>
      <w:tblInd w:w="0" w:type="dxa"/>
      <w:tblBorders>
        <w:left w:val="single" w:color="B6DDE8" w:sz="4" w:space="0"/>
        <w:top w:val="single" w:color="B6DDE8" w:sz="4" w:space="0"/>
        <w:right w:val="single" w:color="B6DDE8" w:sz="4" w:space="0"/>
        <w:bottom w:val="single" w:color="B6DDE8" w:sz="4" w:space="0"/>
        <w:insideV w:val="single" w:color="B6DDE8" w:sz="4" w:space="0"/>
        <w:insideH w:val="single" w:color="B6DDE8"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6DDE8" w:sz="4" w:space="0"/>
          <w:top w:val="single" w:color="B6DDE8" w:sz="4" w:space="0"/>
          <w:right w:val="single" w:color="B6DDE8" w:sz="4" w:space="0"/>
          <w:bottom w:val="single" w:color="B6DDE8" w:sz="4" w:space="0"/>
        </w:tcBorders>
      </w:tcPr>
    </w:tblStylePr>
    <w:tblStylePr w:type="firstCol">
      <w:rPr>
        <w:rFonts w:ascii="Arial" w:hAnsi="Arial"/>
        <w:color w:val="404040"/>
        <w:sz w:val="22"/>
      </w:rPr>
      <w:tcPr>
        <w:tcBorders>
          <w:right w:val="single" w:color="92CDDC" w:sz="12" w:space="0"/>
        </w:tcBorders>
      </w:tcPr>
    </w:tblStylePr>
    <w:tblStylePr w:type="firstRow">
      <w:rPr>
        <w:rFonts w:ascii="Arial" w:hAnsi="Arial"/>
        <w:color w:val="404040"/>
        <w:sz w:val="22"/>
      </w:rPr>
      <w:tcPr>
        <w:tcBorders>
          <w:bottom w:val="single" w:color="92CDDC" w:sz="12" w:space="0"/>
        </w:tcBorders>
      </w:tcPr>
    </w:tblStylePr>
    <w:tblStylePr w:type="lastCol">
      <w:rPr>
        <w:rFonts w:ascii="Arial" w:hAnsi="Arial"/>
        <w:color w:val="404040"/>
        <w:sz w:val="22"/>
      </w:rPr>
      <w:tcPr>
        <w:tcBorders>
          <w:left w:val="single" w:color="92CDDC" w:sz="12" w:space="0"/>
        </w:tcBorders>
      </w:tcPr>
    </w:tblStylePr>
    <w:tblStylePr w:type="lastRow">
      <w:rPr>
        <w:rFonts w:ascii="Arial" w:hAnsi="Arial"/>
        <w:color w:val="404040"/>
        <w:sz w:val="22"/>
      </w:rPr>
      <w:tcPr>
        <w:tcBorders>
          <w:top w:val="single" w:color="92CDDC" w:sz="12" w:space="0"/>
        </w:tcBorders>
      </w:tcPr>
    </w:tblStylePr>
  </w:style>
  <w:style w:type="table" w:styleId="43">
    <w:name w:val="Bordered - Accent 6"/>
    <w:basedOn w:val="118"/>
    <w:uiPriority w:val="99"/>
    <w:pPr>
      <w:spacing w:lineRule="auto" w:line="240" w:after="0"/>
    </w:pPr>
    <w:tblPr>
      <w:tblStyleRowBandSize w:val="1"/>
      <w:tblStyleColBandSize w:val="1"/>
      <w:tblInd w:w="0" w:type="dxa"/>
      <w:tblBorders>
        <w:left w:val="single" w:color="FBD4B4" w:sz="4" w:space="0"/>
        <w:top w:val="single" w:color="FBD4B4" w:sz="4" w:space="0"/>
        <w:right w:val="single" w:color="FBD4B4" w:sz="4" w:space="0"/>
        <w:bottom w:val="single" w:color="FBD4B4" w:sz="4" w:space="0"/>
        <w:insideV w:val="single" w:color="FBD4B4" w:sz="4" w:space="0"/>
        <w:insideH w:val="single" w:color="FBD4B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FBD4B4" w:sz="4" w:space="0"/>
          <w:top w:val="single" w:color="FBD4B4" w:sz="4" w:space="0"/>
          <w:right w:val="single" w:color="FBD4B4" w:sz="4" w:space="0"/>
          <w:bottom w:val="single" w:color="FBD4B4" w:sz="4" w:space="0"/>
        </w:tcBorders>
      </w:tcPr>
    </w:tblStylePr>
    <w:tblStylePr w:type="firstCol">
      <w:rPr>
        <w:rFonts w:ascii="Arial" w:hAnsi="Arial"/>
        <w:color w:val="404040"/>
        <w:sz w:val="22"/>
      </w:rPr>
      <w:tcPr>
        <w:tcBorders>
          <w:right w:val="single" w:color="FABF8F" w:sz="12" w:space="0"/>
        </w:tcBorders>
      </w:tcPr>
    </w:tblStylePr>
    <w:tblStylePr w:type="firstRow">
      <w:rPr>
        <w:rFonts w:ascii="Arial" w:hAnsi="Arial"/>
        <w:color w:val="404040"/>
        <w:sz w:val="22"/>
      </w:rPr>
      <w:tcPr>
        <w:tcBorders>
          <w:bottom w:val="single" w:color="FABF8F" w:sz="12" w:space="0"/>
        </w:tcBorders>
      </w:tcPr>
    </w:tblStylePr>
    <w:tblStylePr w:type="lastCol">
      <w:rPr>
        <w:rFonts w:ascii="Arial" w:hAnsi="Arial"/>
        <w:color w:val="404040"/>
        <w:sz w:val="22"/>
      </w:rPr>
      <w:tcPr>
        <w:tcBorders>
          <w:left w:val="single" w:color="FABF8F" w:sz="12" w:space="0"/>
        </w:tcBorders>
      </w:tcPr>
    </w:tblStylePr>
    <w:tblStylePr w:type="lastRow">
      <w:rPr>
        <w:rFonts w:ascii="Arial" w:hAnsi="Arial"/>
        <w:color w:val="404040"/>
        <w:sz w:val="22"/>
      </w:rPr>
      <w:tcPr>
        <w:tcBorders>
          <w:top w:val="single" w:color="FABF8F" w:sz="12" w:space="0"/>
        </w:tcBorders>
      </w:tcPr>
    </w:tblStylePr>
  </w:style>
  <w:style w:type="table" w:styleId="44">
    <w:name w:val="Bordered &amp; Lined"/>
    <w:basedOn w:val="118"/>
    <w:uiPriority w:val="99"/>
    <w:rPr>
      <w:color w:val="404040"/>
    </w:rPr>
    <w:pPr>
      <w:spacing w:lineRule="auto" w:line="240" w:after="0"/>
    </w:pPr>
    <w:tblPr>
      <w:tblStyleRowBandSize w:val="1"/>
      <w:tblStyleColBandSize w:val="1"/>
      <w:tblInd w:w="0" w:type="dxa"/>
      <w:tblBorders>
        <w:left w:val="single" w:color="595959" w:sz="4" w:space="0"/>
        <w:top w:val="single" w:color="595959" w:sz="4" w:space="0"/>
        <w:right w:val="single" w:color="595959" w:sz="4" w:space="0"/>
        <w:bottom w:val="single" w:color="595959" w:sz="4" w:space="0"/>
        <w:insideV w:val="single" w:color="595959" w:sz="4" w:space="0"/>
        <w:insideH w:val="single" w:color="595959"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D9D9D9"/>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45">
    <w:name w:val="Bordered &amp; Lined - Accent 1"/>
    <w:basedOn w:val="118"/>
    <w:uiPriority w:val="99"/>
    <w:rPr>
      <w:color w:val="404040"/>
    </w:rPr>
    <w:pPr>
      <w:spacing w:lineRule="auto" w:line="240" w:after="0"/>
    </w:pPr>
    <w:tblPr>
      <w:tblStyleRowBandSize w:val="1"/>
      <w:tblStyleColBandSize w:val="1"/>
      <w:tblInd w:w="0" w:type="dxa"/>
      <w:tblBorders>
        <w:left w:val="single" w:color="1F497D" w:sz="4" w:space="0"/>
        <w:top w:val="single" w:color="1F497D" w:sz="4" w:space="0"/>
        <w:right w:val="single" w:color="1F497D" w:sz="4" w:space="0"/>
        <w:bottom w:val="single" w:color="1F497D" w:sz="4" w:space="0"/>
        <w:insideV w:val="single" w:color="1F497D" w:sz="4" w:space="0"/>
        <w:insideH w:val="single" w:color="1F497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46">
    <w:name w:val="Bordered &amp; Lined - Accent 2"/>
    <w:basedOn w:val="118"/>
    <w:uiPriority w:val="99"/>
    <w:rPr>
      <w:color w:val="404040"/>
    </w:rPr>
    <w:pPr>
      <w:spacing w:lineRule="auto" w:line="240" w:after="0"/>
    </w:pPr>
    <w:tblPr>
      <w:tblStyleRowBandSize w:val="1"/>
      <w:tblStyleColBandSize w:val="1"/>
      <w:tblInd w:w="0" w:type="dxa"/>
      <w:tblBorders>
        <w:left w:val="single" w:color="C0504D" w:sz="4" w:space="0"/>
        <w:top w:val="single" w:color="C0504D" w:sz="4" w:space="0"/>
        <w:right w:val="single" w:color="C0504D" w:sz="4" w:space="0"/>
        <w:bottom w:val="single" w:color="C0504D" w:sz="4" w:space="0"/>
        <w:insideV w:val="single" w:color="C0504D" w:sz="4" w:space="0"/>
        <w:insideH w:val="single" w:color="C0504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47">
    <w:name w:val="Bordered &amp; Lined - Accent 3"/>
    <w:basedOn w:val="118"/>
    <w:uiPriority w:val="99"/>
    <w:rPr>
      <w:color w:val="404040"/>
    </w:rPr>
    <w:pPr>
      <w:spacing w:lineRule="auto" w:line="240" w:after="0"/>
    </w:pPr>
    <w:tblPr>
      <w:tblStyleRowBandSize w:val="1"/>
      <w:tblStyleColBandSize w:val="1"/>
      <w:tblInd w:w="0" w:type="dxa"/>
      <w:tblBorders>
        <w:left w:val="single" w:color="76923C" w:sz="4" w:space="0"/>
        <w:top w:val="single" w:color="76923C" w:sz="4" w:space="0"/>
        <w:right w:val="single" w:color="76923C" w:sz="4" w:space="0"/>
        <w:bottom w:val="single" w:color="76923C" w:sz="4" w:space="0"/>
        <w:insideV w:val="single" w:color="76923C" w:sz="4" w:space="0"/>
        <w:insideH w:val="single" w:color="76923C"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B59"/>
      </w:tcPr>
    </w:tblStylePr>
    <w:tblStylePr w:type="firstRow">
      <w:rPr>
        <w:rFonts w:ascii="Arial" w:hAnsi="Arial"/>
        <w:color w:val="F2F2F2"/>
        <w:sz w:val="22"/>
      </w:rPr>
      <w:tcPr>
        <w:shd w:val="clear" w:color="auto" w:fill="9BBB59"/>
      </w:tcPr>
    </w:tblStylePr>
    <w:tblStylePr w:type="lastCol">
      <w:rPr>
        <w:rFonts w:ascii="Arial" w:hAnsi="Arial"/>
        <w:color w:val="F2F2F2"/>
        <w:sz w:val="22"/>
      </w:rPr>
      <w:tcPr>
        <w:shd w:val="clear" w:color="auto" w:fill="9BBB59"/>
      </w:tcPr>
    </w:tblStylePr>
    <w:tblStylePr w:type="lastRow">
      <w:rPr>
        <w:rFonts w:ascii="Arial" w:hAnsi="Arial"/>
        <w:color w:val="F2F2F2"/>
        <w:sz w:val="22"/>
      </w:rPr>
      <w:tcPr>
        <w:shd w:val="clear" w:color="auto" w:fill="9BBB59"/>
      </w:tcPr>
    </w:tblStylePr>
  </w:style>
  <w:style w:type="table" w:styleId="48">
    <w:name w:val="Bordered &amp; Lined - Accent 4"/>
    <w:basedOn w:val="118"/>
    <w:uiPriority w:val="99"/>
    <w:rPr>
      <w:color w:val="404040"/>
    </w:rPr>
    <w:pPr>
      <w:spacing w:lineRule="auto" w:line="240" w:after="0"/>
    </w:pPr>
    <w:tblPr>
      <w:tblStyleRowBandSize w:val="1"/>
      <w:tblStyleColBandSize w:val="1"/>
      <w:tblInd w:w="0" w:type="dxa"/>
      <w:tblBorders>
        <w:left w:val="single" w:color="8064A2" w:sz="4" w:space="0"/>
        <w:top w:val="single" w:color="8064A2" w:sz="4" w:space="0"/>
        <w:right w:val="single" w:color="8064A2" w:sz="4" w:space="0"/>
        <w:bottom w:val="single" w:color="8064A2" w:sz="4" w:space="0"/>
        <w:insideV w:val="single" w:color="8064A2" w:sz="4" w:space="0"/>
        <w:insideH w:val="single" w:color="8064A2"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49">
    <w:name w:val="Bordered &amp; Lined - Accent 5"/>
    <w:basedOn w:val="118"/>
    <w:uiPriority w:val="99"/>
    <w:rPr>
      <w:color w:val="404040"/>
    </w:rPr>
    <w:pPr>
      <w:spacing w:lineRule="auto" w:line="240" w:after="0"/>
    </w:pPr>
    <w:tblPr>
      <w:tblStyleRowBandSize w:val="1"/>
      <w:tblStyleColBandSize w:val="1"/>
      <w:tblInd w:w="0" w:type="dxa"/>
      <w:tblBorders>
        <w:left w:val="single" w:color="31849B" w:sz="4" w:space="0"/>
        <w:top w:val="single" w:color="31849B" w:sz="4" w:space="0"/>
        <w:right w:val="single" w:color="31849B" w:sz="4" w:space="0"/>
        <w:bottom w:val="single" w:color="31849B" w:sz="4" w:space="0"/>
        <w:insideV w:val="single" w:color="31849B" w:sz="4" w:space="0"/>
        <w:insideH w:val="single" w:color="31849B"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50">
    <w:name w:val="Bordered &amp; Lined - Accent 6"/>
    <w:basedOn w:val="118"/>
    <w:uiPriority w:val="99"/>
    <w:rPr>
      <w:color w:val="404040"/>
    </w:rPr>
    <w:pPr>
      <w:spacing w:lineRule="auto" w:line="240" w:after="0"/>
    </w:pPr>
    <w:tblPr>
      <w:tblStyleRowBandSize w:val="1"/>
      <w:tblStyleColBandSize w:val="1"/>
      <w:tblInd w:w="0" w:type="dxa"/>
      <w:tblBorders>
        <w:left w:val="single" w:color="E36C0A" w:sz="4" w:space="0"/>
        <w:top w:val="single" w:color="E36C0A" w:sz="4" w:space="0"/>
        <w:right w:val="single" w:color="E36C0A" w:sz="4" w:space="0"/>
        <w:bottom w:val="single" w:color="E36C0A" w:sz="4" w:space="0"/>
        <w:insideV w:val="single" w:color="E36C0A" w:sz="4" w:space="0"/>
        <w:insideH w:val="single" w:color="E36C0A"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character" w:styleId="51">
    <w:name w:val="Hyperlink"/>
    <w:uiPriority w:val="99"/>
    <w:unhideWhenUsed/>
    <w:rPr>
      <w:color w:val="0000FF" w:themeColor="hyperlink"/>
      <w:u w:val="single"/>
    </w:rPr>
  </w:style>
  <w:style w:type="paragraph" w:styleId="52">
    <w:name w:val="footnote text"/>
    <w:basedOn w:val="111"/>
    <w:uiPriority w:val="99"/>
    <w:semiHidden/>
    <w:unhideWhenUsed/>
    <w:rPr>
      <w:sz w:val="20"/>
    </w:rPr>
    <w:pPr>
      <w:spacing w:lineRule="auto" w:line="240" w:after="0"/>
    </w:pPr>
  </w:style>
  <w:style w:type="character" w:styleId="53">
    <w:name w:val="Footnote Text Char"/>
    <w:basedOn w:val="117"/>
    <w:uiPriority w:val="99"/>
    <w:semiHidden/>
    <w:rPr>
      <w:sz w:val="20"/>
    </w:rPr>
  </w:style>
  <w:style w:type="character" w:styleId="54">
    <w:name w:val="footnote reference"/>
    <w:basedOn w:val="117"/>
    <w:uiPriority w:val="99"/>
    <w:semiHidden/>
    <w:unhideWhenUsed/>
    <w:rPr>
      <w:vertAlign w:val="superscript"/>
    </w:rPr>
  </w:style>
  <w:style w:type="paragraph" w:styleId="111" w:default="1">
    <w:name w:val="Normal"/>
    <w:qFormat/>
    <w:rPr>
      <w:lang w:val="en-GB"/>
    </w:rPr>
  </w:style>
  <w:style w:type="paragraph" w:styleId="112">
    <w:name w:val="Heading 1"/>
    <w:basedOn w:val="111"/>
    <w:next w:val="111"/>
    <w:qFormat/>
    <w:uiPriority w:val="9"/>
    <w:rPr>
      <w:rFonts w:ascii="Cambria" w:hAnsi="Cambria" w:cs="Cambria" w:eastAsia="Cambria"/>
      <w:b/>
      <w:bCs/>
      <w:color w:val="365F91" w:themeColor="accent1" w:themeShade="BF"/>
      <w:sz w:val="28"/>
      <w:szCs w:val="28"/>
    </w:rPr>
    <w:pPr>
      <w:numPr>
        <w:numId w:val="1"/>
      </w:numPr>
      <w:keepLines/>
      <w:keepNext/>
      <w:spacing w:after="0" w:before="480"/>
    </w:pPr>
  </w:style>
  <w:style w:type="paragraph" w:styleId="113">
    <w:name w:val="Heading 2"/>
    <w:basedOn w:val="111"/>
    <w:next w:val="111"/>
    <w:qFormat/>
    <w:uiPriority w:val="9"/>
    <w:unhideWhenUsed/>
    <w:rPr>
      <w:rFonts w:ascii="Cambria" w:hAnsi="Cambria" w:cs="Cambria" w:eastAsia="Cambria"/>
      <w:b/>
      <w:bCs/>
      <w:color w:val="4F81BD" w:themeColor="accent1"/>
      <w:sz w:val="26"/>
      <w:szCs w:val="26"/>
    </w:rPr>
    <w:pPr>
      <w:keepLines/>
      <w:keepNext/>
      <w:spacing w:after="0" w:before="200"/>
    </w:pPr>
  </w:style>
  <w:style w:type="paragraph" w:styleId="114">
    <w:name w:val="Heading 3"/>
    <w:basedOn w:val="111"/>
    <w:next w:val="111"/>
    <w:qFormat/>
    <w:uiPriority w:val="9"/>
    <w:unhideWhenUsed/>
    <w:rPr>
      <w:rFonts w:ascii="Cambria" w:hAnsi="Cambria" w:cs="Cambria" w:eastAsia="Cambria"/>
      <w:b/>
      <w:bCs/>
      <w:color w:val="4F81BD" w:themeColor="accent1"/>
    </w:rPr>
    <w:pPr>
      <w:keepLines/>
      <w:keepNext/>
      <w:spacing w:after="0" w:before="200"/>
    </w:pPr>
  </w:style>
  <w:style w:type="paragraph" w:styleId="115">
    <w:name w:val="Heading 4"/>
    <w:basedOn w:val="111"/>
    <w:next w:val="111"/>
    <w:qFormat/>
    <w:uiPriority w:val="9"/>
    <w:unhideWhenUsed/>
    <w:rPr>
      <w:rFonts w:ascii="Cambria" w:hAnsi="Cambria" w:cs="Cambria" w:eastAsia="Cambria"/>
      <w:b/>
      <w:bCs/>
      <w:i/>
      <w:iCs/>
      <w:color w:val="4F81BD" w:themeColor="accent1"/>
    </w:rPr>
    <w:pPr>
      <w:keepLines/>
      <w:keepNext/>
      <w:spacing w:after="0" w:before="200"/>
    </w:pPr>
  </w:style>
  <w:style w:type="paragraph" w:styleId="116">
    <w:name w:val="Heading 5"/>
    <w:basedOn w:val="111"/>
    <w:next w:val="111"/>
    <w:qFormat/>
    <w:uiPriority w:val="9"/>
    <w:semiHidden/>
    <w:unhideWhenUsed/>
    <w:rPr>
      <w:rFonts w:ascii="Cambria" w:hAnsi="Cambria" w:cs="Cambria" w:eastAsia="Cambria"/>
      <w:color w:val="243F60" w:themeColor="accent1" w:themeShade="7F"/>
    </w:rPr>
    <w:pPr>
      <w:keepLines/>
      <w:keepNext/>
      <w:spacing w:after="0" w:before="200"/>
    </w:pPr>
  </w:style>
  <w:style w:type="character" w:styleId="117" w:default="1">
    <w:name w:val="Default Paragraph Font"/>
    <w:uiPriority w:val="1"/>
    <w:semiHidden/>
    <w:unhideWhenUsed/>
  </w:style>
  <w:style w:type="table" w:styleId="118" w:default="1">
    <w:name w:val="Normal Table"/>
    <w:uiPriority w:val="99"/>
    <w:semiHidden/>
    <w:unhideWhenUsed/>
    <w:tblPr>
      <w:tblInd w:w="0" w:type="dxa"/>
      <w:tblCellMar>
        <w:left w:w="108" w:type="dxa"/>
        <w:top w:w="0" w:type="dxa"/>
        <w:right w:w="108" w:type="dxa"/>
        <w:bottom w:w="0" w:type="dxa"/>
      </w:tblCellMar>
    </w:tblPr>
  </w:style>
  <w:style w:type="numbering" w:styleId="119" w:default="1">
    <w:name w:val="No List"/>
    <w:uiPriority w:val="99"/>
    <w:semiHidden/>
    <w:unhideWhenUsed/>
  </w:style>
  <w:style w:type="character" w:styleId="120">
    <w:name w:val="Heading 1 Char"/>
    <w:basedOn w:val="117"/>
    <w:uiPriority w:val="9"/>
    <w:rPr>
      <w:rFonts w:ascii="Cambria" w:hAnsi="Cambria" w:cs="Cambria" w:eastAsia="Cambria"/>
      <w:b/>
      <w:bCs/>
      <w:color w:val="365F91" w:themeColor="accent1" w:themeShade="BF"/>
      <w:sz w:val="28"/>
      <w:szCs w:val="28"/>
    </w:rPr>
  </w:style>
  <w:style w:type="character" w:styleId="121">
    <w:name w:val="Heading 2 Char"/>
    <w:basedOn w:val="117"/>
    <w:uiPriority w:val="9"/>
    <w:rPr>
      <w:rFonts w:ascii="Cambria" w:hAnsi="Cambria" w:cs="Cambria" w:eastAsia="Cambria"/>
      <w:b/>
      <w:bCs/>
      <w:color w:val="4F81BD" w:themeColor="accent1"/>
      <w:sz w:val="26"/>
      <w:szCs w:val="26"/>
    </w:rPr>
  </w:style>
  <w:style w:type="character" w:styleId="122">
    <w:name w:val="Heading 3 Char"/>
    <w:basedOn w:val="117"/>
    <w:uiPriority w:val="9"/>
    <w:rPr>
      <w:rFonts w:ascii="Cambria" w:hAnsi="Cambria" w:cs="Cambria" w:eastAsia="Cambria"/>
      <w:b/>
      <w:bCs/>
      <w:color w:val="4F81BD" w:themeColor="accent1"/>
    </w:rPr>
  </w:style>
  <w:style w:type="character" w:styleId="123">
    <w:name w:val="Heading 4 Char"/>
    <w:basedOn w:val="117"/>
    <w:uiPriority w:val="9"/>
    <w:rPr>
      <w:rFonts w:ascii="Cambria" w:hAnsi="Cambria" w:cs="Cambria" w:eastAsia="Cambria"/>
      <w:b/>
      <w:bCs/>
      <w:i/>
      <w:iCs/>
      <w:color w:val="4F81BD" w:themeColor="accent1"/>
    </w:rPr>
  </w:style>
  <w:style w:type="character" w:styleId="124">
    <w:name w:val="Heading 5 Char"/>
    <w:basedOn w:val="117"/>
    <w:uiPriority w:val="9"/>
    <w:semiHidden/>
    <w:rPr>
      <w:rFonts w:ascii="Cambria" w:hAnsi="Cambria" w:cs="Cambria" w:eastAsia="Cambria"/>
      <w:color w:val="243F60" w:themeColor="accent1" w:themeShade="7F"/>
    </w:rPr>
  </w:style>
  <w:style w:type="paragraph" w:styleId="125">
    <w:name w:val="Title"/>
    <w:basedOn w:val="111"/>
    <w:next w:val="111"/>
    <w:qFormat/>
    <w:uiPriority w:val="10"/>
    <w:rPr>
      <w:rFonts w:ascii="Cambria" w:hAnsi="Cambria" w:cs="Cambria" w:eastAsia="Cambria"/>
      <w:color w:val="17365D" w:themeColor="text2" w:themeShade="BF"/>
      <w:spacing w:val="5"/>
      <w:sz w:val="52"/>
      <w:szCs w:val="52"/>
    </w:rPr>
    <w:pPr>
      <w:contextualSpacing w:val="true"/>
      <w:spacing w:lineRule="auto" w:line="240" w:after="300"/>
      <w:pBdr>
        <w:bottom w:val="single" w:color="4F81BD" w:sz="8" w:space="4" w:themeColor="accent1"/>
      </w:pBdr>
    </w:pPr>
  </w:style>
  <w:style w:type="character" w:styleId="126">
    <w:name w:val="Title Char"/>
    <w:basedOn w:val="117"/>
    <w:uiPriority w:val="10"/>
    <w:rPr>
      <w:rFonts w:ascii="Cambria" w:hAnsi="Cambria" w:cs="Cambria" w:eastAsia="Cambria"/>
      <w:color w:val="17365D" w:themeColor="text2" w:themeShade="BF"/>
      <w:spacing w:val="5"/>
      <w:sz w:val="52"/>
      <w:szCs w:val="52"/>
    </w:rPr>
  </w:style>
  <w:style w:type="character" w:styleId="127">
    <w:name w:val="Emphasis"/>
    <w:basedOn w:val="117"/>
    <w:qFormat/>
    <w:uiPriority w:val="20"/>
    <w:rPr>
      <w:i/>
      <w:iCs/>
    </w:rPr>
  </w:style>
  <w:style w:type="paragraph" w:styleId="128">
    <w:name w:val="No Spacing"/>
    <w:qFormat/>
    <w:uiPriority w:val="1"/>
    <w:pPr>
      <w:spacing w:lineRule="auto" w:line="240" w:after="0"/>
    </w:pPr>
  </w:style>
  <w:style w:type="character" w:styleId="129">
    <w:name w:val="No Spacing Char"/>
    <w:basedOn w:val="117"/>
    <w:uiPriority w:val="1"/>
  </w:style>
  <w:style w:type="paragraph" w:styleId="130">
    <w:name w:val="List Paragraph"/>
    <w:basedOn w:val="111"/>
    <w:qFormat/>
    <w:uiPriority w:val="99"/>
    <w:pPr>
      <w:contextualSpacing w:val="true"/>
      <w:ind w:left="720"/>
    </w:pPr>
  </w:style>
  <w:style w:type="character" w:styleId="131">
    <w:name w:val="Subtle Emphasis"/>
    <w:basedOn w:val="117"/>
    <w:qFormat/>
    <w:uiPriority w:val="19"/>
    <w:rPr>
      <w:i/>
      <w:iCs/>
      <w:color w:val="808080" w:themeColor="text1" w:themeTint="7F"/>
    </w:rPr>
  </w:style>
  <w:style w:type="paragraph" w:styleId="132">
    <w:name w:val="TOC Heading"/>
    <w:basedOn w:val="112"/>
    <w:next w:val="111"/>
    <w:qFormat/>
    <w:uiPriority w:val="39"/>
    <w:unhideWhenUsed/>
    <w:rPr>
      <w:lang w:val="en-US"/>
    </w:rPr>
    <w:pPr>
      <w:numPr>
        <w:numId w:val="0"/>
      </w:numPr>
    </w:pPr>
  </w:style>
  <w:style w:type="paragraph" w:styleId="133">
    <w:name w:val="Subtitle"/>
    <w:basedOn w:val="111"/>
    <w:next w:val="111"/>
    <w:qFormat/>
    <w:uiPriority w:val="11"/>
    <w:rPr>
      <w:rFonts w:ascii="Cambria" w:hAnsi="Cambria" w:cs="Cambria" w:eastAsia="Cambria"/>
      <w:i/>
      <w:iCs/>
      <w:color w:val="4F81BD" w:themeColor="accent1"/>
      <w:spacing w:val="15"/>
      <w:sz w:val="24"/>
      <w:szCs w:val="24"/>
    </w:rPr>
    <w:pPr>
      <w:numPr>
        <w:ilvl w:val="1"/>
      </w:numPr>
    </w:pPr>
  </w:style>
  <w:style w:type="character" w:styleId="134">
    <w:name w:val="Subtitle Char"/>
    <w:basedOn w:val="117"/>
    <w:uiPriority w:val="11"/>
    <w:rPr>
      <w:rFonts w:ascii="Cambria" w:hAnsi="Cambria" w:cs="Cambria" w:eastAsia="Cambria"/>
      <w:i/>
      <w:iCs/>
      <w:color w:val="4F81BD" w:themeColor="accent1"/>
      <w:spacing w:val="15"/>
      <w:sz w:val="24"/>
      <w:szCs w:val="24"/>
    </w:rPr>
  </w:style>
  <w:style w:type="character" w:styleId="135">
    <w:name w:val="Strong"/>
    <w:basedOn w:val="117"/>
    <w:qFormat/>
    <w:uiPriority w:val="22"/>
    <w:rPr>
      <w:b/>
      <w:bCs/>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Application>
  <AppVersion>5.0</AppVers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coreProperties>
</file>