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1339" w:rsidRPr="00EC0A0D" w:rsidRDefault="001D1339">
      <w:pPr>
        <w:jc w:val="both"/>
        <w:rPr>
          <w:rFonts w:ascii="Lato" w:hAnsi="Lato" w:cs="Tahoma"/>
          <w:snapToGrid w:val="0"/>
          <w:color w:val="auto"/>
          <w:sz w:val="22"/>
          <w:szCs w:val="22"/>
          <w:lang w:val="en-US"/>
        </w:rPr>
      </w:pPr>
    </w:p>
    <w:p w:rsidR="001D1339" w:rsidRPr="00EC0A0D" w:rsidRDefault="00DB7F4F">
      <w:pPr>
        <w:jc w:val="both"/>
        <w:rPr>
          <w:rFonts w:ascii="Lato" w:hAnsi="Lato" w:cs="Tahoma"/>
          <w:snapToGrid w:val="0"/>
          <w:color w:val="auto"/>
          <w:sz w:val="22"/>
          <w:szCs w:val="22"/>
          <w:lang w:val="en-US"/>
        </w:rPr>
      </w:pPr>
      <w:r w:rsidRPr="00EC0A0D">
        <w:rPr>
          <w:rFonts w:ascii="Lato" w:eastAsia="Arial" w:hAnsi="Lato" w:cs="Tahoma"/>
          <w:b/>
          <w:snapToGrid w:val="0"/>
          <w:color w:val="auto"/>
          <w:sz w:val="22"/>
          <w:szCs w:val="22"/>
          <w:lang w:val="en-US"/>
        </w:rPr>
        <w:t>Technical Analysis of Current Situation (Local Context)</w:t>
      </w:r>
    </w:p>
    <w:p w:rsidR="001D1339" w:rsidRPr="00EC0A0D" w:rsidRDefault="001D1339">
      <w:pPr>
        <w:jc w:val="both"/>
        <w:rPr>
          <w:rFonts w:ascii="Lato" w:eastAsia="Arial" w:hAnsi="Lato" w:cs="Tahoma"/>
          <w:snapToGrid w:val="0"/>
          <w:color w:val="auto"/>
          <w:sz w:val="22"/>
          <w:szCs w:val="22"/>
          <w:lang w:val="en-US"/>
        </w:rPr>
      </w:pPr>
    </w:p>
    <w:p w:rsidR="001D1339" w:rsidRPr="00EC0A0D" w:rsidRDefault="00DB7F4F">
      <w:pPr>
        <w:jc w:val="both"/>
        <w:rPr>
          <w:rFonts w:ascii="Lato" w:hAnsi="Lato" w:cs="Tahoma"/>
          <w:sz w:val="22"/>
          <w:szCs w:val="22"/>
          <w:lang w:val="en-US"/>
        </w:rPr>
      </w:pPr>
      <w:bookmarkStart w:id="0" w:name="OLE_LINK7"/>
      <w:bookmarkStart w:id="1" w:name="OLE_LINK2"/>
      <w:bookmarkStart w:id="2" w:name="OLE_LINK3"/>
      <w:r w:rsidRPr="00EC0A0D">
        <w:rPr>
          <w:rFonts w:ascii="Lato" w:eastAsia="SimSun" w:hAnsi="Lato" w:cs="Tahoma"/>
          <w:color w:val="auto"/>
          <w:sz w:val="22"/>
          <w:szCs w:val="22"/>
          <w:lang w:val="en-US"/>
        </w:rPr>
        <w:t xml:space="preserve">In </w:t>
      </w:r>
      <w:r w:rsidRPr="00EC0A0D">
        <w:rPr>
          <w:rFonts w:ascii="Lato" w:hAnsi="Lato" w:cs="Tahoma"/>
          <w:color w:val="auto"/>
          <w:sz w:val="22"/>
          <w:szCs w:val="22"/>
          <w:lang w:val="en-US"/>
        </w:rPr>
        <w:t xml:space="preserve">Democratic Republic of the </w:t>
      </w:r>
      <w:r w:rsidR="004474A0" w:rsidRPr="00EC0A0D">
        <w:rPr>
          <w:rFonts w:ascii="Lato" w:hAnsi="Lato" w:cs="Tahoma"/>
          <w:color w:val="auto"/>
          <w:sz w:val="22"/>
          <w:szCs w:val="22"/>
          <w:lang w:val="en-US"/>
        </w:rPr>
        <w:t>Congo,</w:t>
      </w:r>
      <w:r w:rsidRPr="00EC0A0D">
        <w:rPr>
          <w:rFonts w:ascii="Lato" w:eastAsia="SimSun" w:hAnsi="Lato" w:cs="Tahoma"/>
          <w:color w:val="auto"/>
          <w:sz w:val="22"/>
          <w:szCs w:val="22"/>
          <w:lang w:val="en-US"/>
        </w:rPr>
        <w:t xml:space="preserve"> poor educational access and poor quality education has been linked with the historic Instability the country has seen</w:t>
      </w:r>
      <w:r w:rsidRPr="00EC0A0D">
        <w:rPr>
          <w:rFonts w:ascii="Lato" w:hAnsi="Lato" w:cs="Tahoma"/>
          <w:color w:val="auto"/>
          <w:sz w:val="22"/>
          <w:szCs w:val="22"/>
          <w:lang w:val="en-US"/>
        </w:rPr>
        <w:t xml:space="preserve"> since 1996</w:t>
      </w:r>
      <w:r w:rsidRPr="00EC0A0D">
        <w:rPr>
          <w:rFonts w:ascii="Lato" w:eastAsia="SimSun" w:hAnsi="Lato" w:cs="Tahoma"/>
          <w:color w:val="auto"/>
          <w:sz w:val="22"/>
          <w:szCs w:val="22"/>
          <w:lang w:val="en-US"/>
        </w:rPr>
        <w:t xml:space="preserve">. </w:t>
      </w:r>
      <w:r w:rsidRPr="00EC0A0D">
        <w:rPr>
          <w:rFonts w:ascii="Lato" w:eastAsia="Open Sans" w:hAnsi="Lato" w:cs="Tahoma"/>
          <w:snapToGrid w:val="0"/>
          <w:color w:val="auto"/>
          <w:sz w:val="22"/>
          <w:szCs w:val="22"/>
          <w:shd w:val="clear" w:color="auto" w:fill="FFFFFF"/>
          <w:lang w:val="en-US"/>
        </w:rPr>
        <w:t xml:space="preserve">Also, Corruption hampers all development efforts, but it is a debilitating presence in the education sector, undermining the goal of ensuring that all children and youth go to school and learn. </w:t>
      </w:r>
      <w:r w:rsidRPr="00EC0A0D">
        <w:rPr>
          <w:rFonts w:ascii="Lato" w:hAnsi="Lato" w:cs="Tahoma"/>
          <w:sz w:val="22"/>
          <w:szCs w:val="22"/>
          <w:lang w:val="en-US"/>
        </w:rPr>
        <w:t>In a country where international aid is meant to improve the quality of life, corruption denies this and can put future funding in jeopard</w:t>
      </w:r>
      <w:bookmarkEnd w:id="0"/>
      <w:r w:rsidRPr="00EC0A0D">
        <w:rPr>
          <w:rFonts w:ascii="Lato" w:hAnsi="Lato" w:cs="Tahoma"/>
          <w:sz w:val="22"/>
          <w:szCs w:val="22"/>
          <w:lang w:val="en-US"/>
        </w:rPr>
        <w:t xml:space="preserve">y. </w:t>
      </w:r>
    </w:p>
    <w:bookmarkEnd w:id="1"/>
    <w:p w:rsidR="001D1339" w:rsidRPr="00EC0A0D" w:rsidRDefault="001D1339">
      <w:pPr>
        <w:jc w:val="both"/>
        <w:rPr>
          <w:rFonts w:ascii="Lato" w:hAnsi="Lato" w:cs="Tahoma"/>
          <w:sz w:val="22"/>
          <w:szCs w:val="22"/>
          <w:lang w:val="en-US"/>
        </w:rPr>
      </w:pPr>
    </w:p>
    <w:p w:rsidR="001D1339" w:rsidRPr="00EC0A0D" w:rsidRDefault="00DB7F4F">
      <w:pPr>
        <w:pStyle w:val="Pa2"/>
        <w:jc w:val="both"/>
        <w:rPr>
          <w:rFonts w:ascii="Lato" w:hAnsi="Lato" w:cs="Tahoma"/>
          <w:sz w:val="22"/>
          <w:szCs w:val="22"/>
          <w:lang w:val="en-US"/>
        </w:rPr>
      </w:pPr>
      <w:r w:rsidRPr="00EC0A0D">
        <w:rPr>
          <w:rFonts w:ascii="Lato" w:hAnsi="Lato" w:cs="Tahoma"/>
          <w:sz w:val="22"/>
          <w:szCs w:val="22"/>
          <w:lang w:val="en-US"/>
        </w:rPr>
        <w:t>Examples of corruption in education abound. Academ</w:t>
      </w:r>
      <w:r w:rsidR="002A68E6" w:rsidRPr="00EC0A0D">
        <w:rPr>
          <w:rFonts w:ascii="Lato" w:hAnsi="Lato" w:cs="Tahoma"/>
          <w:sz w:val="22"/>
          <w:szCs w:val="22"/>
          <w:lang w:val="en-US"/>
        </w:rPr>
        <w:t xml:space="preserve">ic fraud, for instance, is rife </w:t>
      </w:r>
      <w:r w:rsidRPr="00EC0A0D">
        <w:rPr>
          <w:rFonts w:ascii="Lato" w:hAnsi="Lato" w:cs="Tahoma"/>
          <w:sz w:val="22"/>
          <w:szCs w:val="22"/>
          <w:lang w:val="en-US"/>
        </w:rPr>
        <w:t xml:space="preserve">and is regarded as a serious threat to integrity and reliability of certification in secondary education. Procurement wastage in the education sector, including school buildings, false maintenance costs and text books paid for but never received, costs the public dearly. And “ghost” or absentee teachers who feature on the list of active teachers in schools are a huge drain on parent’s pending (school fees in DRC are paid by parents). As a result, educational performance among the poorest populations is severely hampered and the system’s ability to deliver is harmed. </w:t>
      </w:r>
    </w:p>
    <w:p w:rsidR="001D1339" w:rsidRPr="007C54D3" w:rsidRDefault="00DB7F4F" w:rsidP="00074923">
      <w:pPr>
        <w:pStyle w:val="Default"/>
        <w:tabs>
          <w:tab w:val="left" w:pos="3975"/>
        </w:tabs>
        <w:rPr>
          <w:rFonts w:ascii="Lato" w:eastAsia="Arial" w:hAnsi="Lato" w:cs="Tahoma"/>
          <w:snapToGrid w:val="0"/>
          <w:sz w:val="22"/>
          <w:szCs w:val="22"/>
          <w:lang w:val="en-US"/>
        </w:rPr>
      </w:pPr>
      <w:r w:rsidRPr="00074923">
        <w:rPr>
          <w:rFonts w:ascii="Lato" w:hAnsi="Lato" w:cs="Tahoma"/>
          <w:sz w:val="22"/>
          <w:szCs w:val="22"/>
          <w:lang w:val="en-US"/>
        </w:rPr>
        <w:t xml:space="preserve">Ensuring that educational funds are invested and administered in a fair and transparent manner protects a country’s most valuable asset, its children. </w:t>
      </w:r>
      <w:r w:rsidRPr="007C54D3">
        <w:rPr>
          <w:rFonts w:ascii="Lato" w:hAnsi="Lato" w:cs="Tahoma"/>
          <w:sz w:val="22"/>
          <w:szCs w:val="22"/>
          <w:lang w:val="en-US"/>
        </w:rPr>
        <w:t xml:space="preserve">If </w:t>
      </w:r>
      <w:r w:rsidR="00074923" w:rsidRPr="007C54D3">
        <w:rPr>
          <w:rFonts w:ascii="Lato" w:hAnsi="Lato" w:cs="Tahoma"/>
          <w:sz w:val="22"/>
          <w:szCs w:val="22"/>
          <w:lang w:val="en-US"/>
        </w:rPr>
        <w:t>Young</w:t>
      </w:r>
      <w:r w:rsidRPr="007C54D3">
        <w:rPr>
          <w:rFonts w:ascii="Lato" w:hAnsi="Lato" w:cs="Tahoma"/>
          <w:sz w:val="22"/>
          <w:szCs w:val="22"/>
          <w:lang w:val="en-US"/>
        </w:rPr>
        <w:t xml:space="preserve"> people come to believe that school or university admission and marks can be bought, a country’s economic and political future is in jeopardy and this entrenches a culture of corruption. Students may graduate with poor skills and thus contribute less to the economy and public sector. </w:t>
      </w:r>
      <w:r w:rsidRPr="007C54D3">
        <w:rPr>
          <w:rFonts w:ascii="Lato" w:eastAsia="Arial" w:hAnsi="Lato" w:cs="Tahoma"/>
          <w:snapToGrid w:val="0"/>
          <w:sz w:val="22"/>
          <w:szCs w:val="22"/>
          <w:lang w:val="en-US"/>
        </w:rPr>
        <w:t xml:space="preserve">  </w:t>
      </w:r>
    </w:p>
    <w:p w:rsidR="001D1339" w:rsidRPr="00EC0A0D" w:rsidRDefault="00DB7F4F">
      <w:pPr>
        <w:pStyle w:val="NormalWeb"/>
        <w:shd w:val="clear" w:color="auto" w:fill="FFFFFF"/>
        <w:spacing w:beforeAutospacing="0" w:after="150" w:afterAutospacing="0"/>
        <w:jc w:val="both"/>
        <w:textAlignment w:val="baseline"/>
        <w:rPr>
          <w:rFonts w:ascii="Lato" w:eastAsia="Open Sans" w:hAnsi="Lato" w:cs="Tahoma"/>
          <w:snapToGrid w:val="0"/>
          <w:sz w:val="22"/>
          <w:szCs w:val="22"/>
          <w:shd w:val="clear" w:color="auto" w:fill="FFFFFF"/>
        </w:rPr>
      </w:pPr>
      <w:r w:rsidRPr="00EC0A0D">
        <w:rPr>
          <w:rFonts w:ascii="Lato" w:eastAsia="Open Sans" w:hAnsi="Lato" w:cs="Tahoma"/>
          <w:snapToGrid w:val="0"/>
          <w:sz w:val="22"/>
          <w:szCs w:val="22"/>
          <w:shd w:val="clear" w:color="auto" w:fill="FFFFFF"/>
        </w:rPr>
        <w:t xml:space="preserve">Stepping up the fight against corruption in education is necessary not only to keep children in school and meet literacy and development goals, but also to ensure that the next generation  is prepared to say no to corruption, and get skills and knowledge allow them to monitor and fix problems within public and education services and infrastructures. </w:t>
      </w:r>
    </w:p>
    <w:bookmarkEnd w:id="2"/>
    <w:p w:rsidR="001D1339" w:rsidRPr="00EC0A0D" w:rsidRDefault="00DB7F4F">
      <w:pPr>
        <w:jc w:val="both"/>
        <w:rPr>
          <w:rFonts w:ascii="Lato" w:hAnsi="Lato" w:cs="Tahoma"/>
          <w:snapToGrid w:val="0"/>
          <w:color w:val="auto"/>
          <w:sz w:val="22"/>
          <w:szCs w:val="22"/>
          <w:lang w:val="en-US"/>
        </w:rPr>
      </w:pPr>
      <w:r w:rsidRPr="00EC0A0D">
        <w:rPr>
          <w:rFonts w:ascii="Lato" w:eastAsia="Arial" w:hAnsi="Lato" w:cs="Tahoma"/>
          <w:b/>
          <w:snapToGrid w:val="0"/>
          <w:color w:val="auto"/>
          <w:sz w:val="22"/>
          <w:szCs w:val="22"/>
          <w:lang w:val="en-US"/>
        </w:rPr>
        <w:t>Rationale for the Proposed Intervention</w:t>
      </w:r>
    </w:p>
    <w:p w:rsidR="001D1339" w:rsidRPr="00EC0A0D" w:rsidRDefault="001D1339">
      <w:pPr>
        <w:jc w:val="both"/>
        <w:rPr>
          <w:rFonts w:ascii="Lato" w:eastAsia="Arial" w:hAnsi="Lato" w:cs="Tahoma"/>
          <w:b/>
          <w:bCs/>
          <w:snapToGrid w:val="0"/>
          <w:color w:val="auto"/>
          <w:sz w:val="22"/>
          <w:szCs w:val="22"/>
          <w:lang w:val="en-US"/>
        </w:rPr>
      </w:pPr>
    </w:p>
    <w:p w:rsidR="001D1339" w:rsidRPr="00EC0A0D" w:rsidRDefault="00DB7F4F">
      <w:pPr>
        <w:jc w:val="both"/>
        <w:rPr>
          <w:rFonts w:ascii="Lato" w:eastAsia="Arial" w:hAnsi="Lato" w:cs="Tahoma"/>
          <w:snapToGrid w:val="0"/>
          <w:color w:val="auto"/>
          <w:sz w:val="22"/>
          <w:szCs w:val="22"/>
          <w:lang w:val="en-US"/>
        </w:rPr>
      </w:pPr>
      <w:bookmarkStart w:id="3" w:name="OLE_LINK9"/>
      <w:r w:rsidRPr="00EC0A0D">
        <w:rPr>
          <w:rFonts w:ascii="Lato" w:eastAsia="Arial" w:hAnsi="Lato" w:cs="Tahoma"/>
          <w:snapToGrid w:val="0"/>
          <w:color w:val="auto"/>
          <w:sz w:val="22"/>
          <w:szCs w:val="22"/>
          <w:lang w:val="en-US"/>
        </w:rPr>
        <w:t xml:space="preserve">One idea that is gaining ground is that young people which represent half of active people in the Democratic Republic of the Congo can hold policy-makers and services </w:t>
      </w:r>
      <w:r w:rsidR="004176DE" w:rsidRPr="00EC0A0D">
        <w:rPr>
          <w:rFonts w:ascii="Lato" w:eastAsia="Arial" w:hAnsi="Lato" w:cs="Tahoma"/>
          <w:snapToGrid w:val="0"/>
          <w:color w:val="auto"/>
          <w:sz w:val="22"/>
          <w:szCs w:val="22"/>
          <w:lang w:val="en-US"/>
        </w:rPr>
        <w:t>providers accountable</w:t>
      </w:r>
      <w:r w:rsidRPr="00EC0A0D">
        <w:rPr>
          <w:rFonts w:ascii="Lato" w:eastAsia="Arial" w:hAnsi="Lato" w:cs="Tahoma"/>
          <w:snapToGrid w:val="0"/>
          <w:color w:val="auto"/>
          <w:sz w:val="22"/>
          <w:szCs w:val="22"/>
          <w:lang w:val="en-US"/>
        </w:rPr>
        <w:t xml:space="preserve"> and thus contribute to improved quality of service delivery.  This resonates strongly in the development sectors – health, education and social protection – which involve close interactions between providers and citizens/users of services. </w:t>
      </w:r>
    </w:p>
    <w:p w:rsidR="001D1339" w:rsidRPr="00EC0A0D" w:rsidRDefault="001D1339">
      <w:pPr>
        <w:jc w:val="both"/>
        <w:rPr>
          <w:rFonts w:ascii="Lato" w:eastAsia="Arial" w:hAnsi="Lato" w:cs="Tahoma"/>
          <w:snapToGrid w:val="0"/>
          <w:color w:val="auto"/>
          <w:sz w:val="22"/>
          <w:szCs w:val="22"/>
          <w:lang w:val="en-US"/>
        </w:rPr>
      </w:pPr>
    </w:p>
    <w:p w:rsidR="001D1339" w:rsidRPr="00EC0A0D" w:rsidRDefault="00DB7F4F">
      <w:pPr>
        <w:jc w:val="both"/>
        <w:rPr>
          <w:rFonts w:ascii="Lato" w:eastAsia="Arial" w:hAnsi="Lato" w:cs="Tahoma"/>
          <w:b/>
          <w:bCs/>
          <w:snapToGrid w:val="0"/>
          <w:color w:val="auto"/>
          <w:sz w:val="22"/>
          <w:szCs w:val="22"/>
          <w:lang w:val="en-US"/>
        </w:rPr>
      </w:pPr>
      <w:r w:rsidRPr="00EC0A0D">
        <w:rPr>
          <w:rFonts w:ascii="Lato" w:eastAsia="Arial" w:hAnsi="Lato" w:cs="Tahoma"/>
          <w:snapToGrid w:val="0"/>
          <w:color w:val="auto"/>
          <w:sz w:val="22"/>
          <w:szCs w:val="22"/>
          <w:lang w:val="en-US"/>
        </w:rPr>
        <w:t>Young people have the potential to drive real change as today’s citizens and tomorrow’s leaders. Many young people are passionate about creating a better services in theirs schools and communities.</w:t>
      </w:r>
      <w:r w:rsidRPr="00EC0A0D">
        <w:rPr>
          <w:rFonts w:ascii="Lato" w:eastAsia="Arial" w:hAnsi="Lato" w:cs="Tahoma"/>
          <w:snapToGrid w:val="0"/>
          <w:color w:val="244061" w:themeColor="accent1" w:themeShade="80"/>
          <w:sz w:val="22"/>
          <w:szCs w:val="22"/>
          <w:lang w:val="en-US"/>
        </w:rPr>
        <w:t xml:space="preserve"> To act on their values, they need the skills and knowledge that this ELIMU BORA project seeks to offer through Integrity Clubs</w:t>
      </w:r>
      <w:r w:rsidRPr="00EC0A0D">
        <w:rPr>
          <w:rFonts w:ascii="Lato" w:eastAsia="Arial" w:hAnsi="Lato" w:cs="Tahoma"/>
          <w:b/>
          <w:bCs/>
          <w:snapToGrid w:val="0"/>
          <w:color w:val="auto"/>
          <w:sz w:val="22"/>
          <w:szCs w:val="22"/>
          <w:lang w:val="en-US"/>
        </w:rPr>
        <w:t>.</w:t>
      </w:r>
      <w:r w:rsidRPr="00EC0A0D">
        <w:rPr>
          <w:rFonts w:ascii="Lato" w:eastAsia="Arial" w:hAnsi="Lato" w:cs="Tahoma"/>
          <w:snapToGrid w:val="0"/>
          <w:color w:val="auto"/>
          <w:sz w:val="22"/>
          <w:szCs w:val="22"/>
          <w:lang w:val="en-US"/>
        </w:rPr>
        <w:t xml:space="preserve"> </w:t>
      </w:r>
      <w:r w:rsidRPr="00EC0A0D">
        <w:rPr>
          <w:rFonts w:ascii="Lato" w:eastAsia="Arial" w:hAnsi="Lato" w:cs="Tahoma"/>
          <w:b/>
          <w:bCs/>
          <w:snapToGrid w:val="0"/>
          <w:color w:val="auto"/>
          <w:sz w:val="22"/>
          <w:szCs w:val="22"/>
          <w:lang w:val="en-US"/>
        </w:rPr>
        <w:t xml:space="preserve"> </w:t>
      </w:r>
      <w:r w:rsidRPr="00EC0A0D">
        <w:rPr>
          <w:rFonts w:ascii="Lato" w:eastAsia="Helvetica Neue" w:hAnsi="Lato" w:cs="Tahoma"/>
          <w:b/>
          <w:bCs/>
          <w:color w:val="333333"/>
          <w:sz w:val="21"/>
          <w:szCs w:val="21"/>
          <w:shd w:val="clear" w:color="auto" w:fill="FFFFFF"/>
          <w:lang w:val="en-US"/>
        </w:rPr>
        <w:t>Elimu Bora is a Kiswahili word meaning Quality Education.</w:t>
      </w:r>
    </w:p>
    <w:bookmarkEnd w:id="3"/>
    <w:p w:rsidR="001D1339" w:rsidRPr="00EC0A0D" w:rsidRDefault="001D1339">
      <w:pPr>
        <w:jc w:val="both"/>
        <w:rPr>
          <w:rFonts w:ascii="Lato" w:eastAsia="Arial" w:hAnsi="Lato" w:cs="Tahoma"/>
          <w:b/>
          <w:bCs/>
          <w:snapToGrid w:val="0"/>
          <w:color w:val="auto"/>
          <w:sz w:val="22"/>
          <w:szCs w:val="22"/>
          <w:lang w:val="en-US"/>
        </w:rPr>
      </w:pPr>
    </w:p>
    <w:p w:rsidR="001D1339" w:rsidRPr="00EC0A0D" w:rsidRDefault="00DB7F4F">
      <w:pPr>
        <w:jc w:val="both"/>
        <w:rPr>
          <w:rFonts w:ascii="Lato" w:hAnsi="Lato" w:cs="Tahoma"/>
          <w:snapToGrid w:val="0"/>
          <w:color w:val="auto"/>
          <w:sz w:val="22"/>
          <w:szCs w:val="22"/>
          <w:lang w:val="en-US"/>
        </w:rPr>
      </w:pPr>
      <w:r w:rsidRPr="00EC0A0D">
        <w:rPr>
          <w:rFonts w:ascii="Lato" w:eastAsia="Helvetica" w:hAnsi="Lato" w:cs="Tahoma"/>
          <w:color w:val="244061" w:themeColor="accent1" w:themeShade="80"/>
          <w:sz w:val="22"/>
          <w:szCs w:val="22"/>
          <w:shd w:val="clear" w:color="auto" w:fill="FFFFFF"/>
          <w:lang w:val="en-US"/>
        </w:rPr>
        <w:t>Integrity Clubs</w:t>
      </w:r>
      <w:r w:rsidRPr="00EC0A0D">
        <w:rPr>
          <w:rFonts w:ascii="Lato" w:eastAsia="Helvetica" w:hAnsi="Lato" w:cs="Tahoma"/>
          <w:color w:val="auto"/>
          <w:sz w:val="22"/>
          <w:szCs w:val="22"/>
          <w:shd w:val="clear" w:color="auto" w:fill="FFFFFF"/>
          <w:lang w:val="en-US"/>
        </w:rPr>
        <w:t xml:space="preserve"> sets out to inspire youth (future leaders) and invest in those who will be making public decisions in the near future.  To be established in Uvira, Walungu, Kabare, the Integrity Clubs will offer an intensive integrity building training for students aged 14 to 19 years old on the concepts of gender equality and social inclusion, civic empowerment, democracy, public monitoring, transparency and accountability and inspires trained students to stand up to monitor </w:t>
      </w:r>
      <w:r w:rsidRPr="00EC0A0D">
        <w:rPr>
          <w:rFonts w:ascii="Lato" w:eastAsia="Helvetica" w:hAnsi="Lato" w:cs="Tahoma"/>
          <w:color w:val="auto"/>
          <w:sz w:val="22"/>
          <w:szCs w:val="22"/>
          <w:shd w:val="clear" w:color="auto" w:fill="FFFFFF"/>
          <w:lang w:val="en-US"/>
        </w:rPr>
        <w:lastRenderedPageBreak/>
        <w:t>education and infrastructure services in their schools and communities</w:t>
      </w:r>
      <w:r w:rsidRPr="00EC0A0D">
        <w:rPr>
          <w:rFonts w:ascii="Lato" w:hAnsi="Lato" w:cs="Tahoma"/>
          <w:snapToGrid w:val="0"/>
          <w:color w:val="auto"/>
          <w:sz w:val="22"/>
          <w:szCs w:val="22"/>
          <w:lang w:val="en-US"/>
        </w:rPr>
        <w:t xml:space="preserve"> and provide citizen-led oversight and feedback through “DevelopmentCheck”. </w:t>
      </w:r>
    </w:p>
    <w:p w:rsidR="001D1339" w:rsidRPr="00EC0A0D" w:rsidRDefault="001D1339">
      <w:pPr>
        <w:jc w:val="both"/>
        <w:rPr>
          <w:rFonts w:ascii="Lato" w:hAnsi="Lato" w:cs="Tahoma"/>
          <w:snapToGrid w:val="0"/>
          <w:color w:val="auto"/>
          <w:sz w:val="22"/>
          <w:szCs w:val="22"/>
          <w:lang w:val="en-US"/>
        </w:rPr>
      </w:pPr>
    </w:p>
    <w:p w:rsidR="001D1339" w:rsidRPr="00EC0A0D" w:rsidRDefault="00DB7F4F">
      <w:pPr>
        <w:jc w:val="both"/>
        <w:rPr>
          <w:rFonts w:ascii="Lato" w:eastAsia="sourcesanspro-regular-webfont" w:hAnsi="Lato" w:cs="Tahoma"/>
          <w:color w:val="auto"/>
          <w:sz w:val="22"/>
          <w:szCs w:val="22"/>
          <w:shd w:val="clear" w:color="auto" w:fill="FFFFFF"/>
          <w:lang w:val="en-US"/>
        </w:rPr>
      </w:pPr>
      <w:r w:rsidRPr="00EC0A0D">
        <w:rPr>
          <w:rFonts w:ascii="Lato" w:hAnsi="Lato" w:cs="Tahoma"/>
          <w:snapToGrid w:val="0"/>
          <w:color w:val="auto"/>
          <w:sz w:val="22"/>
          <w:szCs w:val="22"/>
          <w:lang w:val="en-US"/>
        </w:rPr>
        <w:t xml:space="preserve">DevelopmentCheck offer remarkable opportunities for promoting transparency, accountability and civic participation because it allow rapid data collection and </w:t>
      </w:r>
      <w:r w:rsidRPr="00EC0A0D">
        <w:rPr>
          <w:rFonts w:ascii="Lato" w:eastAsia="sourcesanspro-regular-webfont" w:hAnsi="Lato" w:cs="Tahoma"/>
          <w:color w:val="auto"/>
          <w:sz w:val="22"/>
          <w:szCs w:val="22"/>
          <w:shd w:val="clear" w:color="auto" w:fill="FFFFFF"/>
          <w:lang w:val="en-US"/>
        </w:rPr>
        <w:t xml:space="preserve">supports citizens, contractors and governments to resolve service delivery problems through constructive engagement (Joint Working Groups). </w:t>
      </w:r>
    </w:p>
    <w:p w:rsidR="001D1339" w:rsidRPr="00EC0A0D" w:rsidRDefault="001D1339">
      <w:pPr>
        <w:jc w:val="both"/>
        <w:rPr>
          <w:rFonts w:ascii="Lato" w:eastAsia="sourcesanspro-regular-webfont" w:hAnsi="Lato" w:cs="Tahoma"/>
          <w:color w:val="auto"/>
          <w:sz w:val="22"/>
          <w:szCs w:val="22"/>
          <w:shd w:val="clear" w:color="auto" w:fill="FFFFFF"/>
          <w:lang w:val="en-US"/>
        </w:rPr>
      </w:pPr>
    </w:p>
    <w:p w:rsidR="001D1339" w:rsidRPr="00EC0A0D" w:rsidRDefault="00DB7F4F">
      <w:pPr>
        <w:jc w:val="both"/>
        <w:rPr>
          <w:rFonts w:ascii="Lato" w:hAnsi="Lato" w:cs="Tahoma"/>
          <w:color w:val="auto"/>
          <w:sz w:val="22"/>
          <w:szCs w:val="22"/>
          <w:lang w:val="en-US"/>
        </w:rPr>
      </w:pPr>
      <w:bookmarkStart w:id="4" w:name="OLE_LINK8"/>
      <w:r w:rsidRPr="00EC0A0D">
        <w:rPr>
          <w:rFonts w:ascii="Lato" w:hAnsi="Lato" w:cs="Tahoma"/>
          <w:color w:val="auto"/>
          <w:sz w:val="22"/>
          <w:szCs w:val="22"/>
          <w:lang w:val="en-US"/>
        </w:rPr>
        <w:t>This project aims to improve the state of the infrastructure, the physical conditions of students in the classroom and the availability of educational resources in secondary schools. Thus making education relevant to attract students and convince parents that sending their children to school is a worthwhile investment.</w:t>
      </w:r>
      <w:bookmarkEnd w:id="4"/>
    </w:p>
    <w:p w:rsidR="001D1339" w:rsidRPr="00EC0A0D" w:rsidRDefault="001D1339">
      <w:pPr>
        <w:jc w:val="both"/>
        <w:rPr>
          <w:rFonts w:ascii="Lato" w:hAnsi="Lato" w:cs="Tahoma"/>
          <w:snapToGrid w:val="0"/>
          <w:color w:val="auto"/>
          <w:sz w:val="22"/>
          <w:szCs w:val="22"/>
          <w:lang w:val="en-US"/>
        </w:rPr>
      </w:pPr>
    </w:p>
    <w:p w:rsidR="001D1339" w:rsidRPr="00EC0A0D" w:rsidRDefault="00DB7F4F">
      <w:pPr>
        <w:jc w:val="both"/>
        <w:rPr>
          <w:rFonts w:ascii="Lato" w:hAnsi="Lato" w:cs="Tahoma"/>
          <w:snapToGrid w:val="0"/>
          <w:color w:val="auto"/>
          <w:sz w:val="22"/>
          <w:szCs w:val="22"/>
          <w:lang w:val="en-US"/>
        </w:rPr>
      </w:pPr>
      <w:r w:rsidRPr="00EC0A0D">
        <w:rPr>
          <w:rFonts w:ascii="Lato" w:eastAsia="Arial" w:hAnsi="Lato" w:cs="Tahoma"/>
          <w:b/>
          <w:snapToGrid w:val="0"/>
          <w:color w:val="auto"/>
          <w:sz w:val="22"/>
          <w:szCs w:val="22"/>
          <w:lang w:val="en-US"/>
        </w:rPr>
        <w:t>Past Performance in Proposed Area of Intervention</w:t>
      </w:r>
    </w:p>
    <w:p w:rsidR="001D1339" w:rsidRPr="00EC0A0D" w:rsidRDefault="001D1339">
      <w:pPr>
        <w:jc w:val="both"/>
        <w:rPr>
          <w:rFonts w:ascii="Lato" w:hAnsi="Lato" w:cs="Tahoma"/>
          <w:snapToGrid w:val="0"/>
          <w:color w:val="auto"/>
          <w:sz w:val="22"/>
          <w:szCs w:val="22"/>
          <w:lang w:val="en-US"/>
        </w:rPr>
      </w:pPr>
    </w:p>
    <w:p w:rsidR="001D1339" w:rsidRPr="00EC0A0D" w:rsidRDefault="00DB7F4F">
      <w:pPr>
        <w:jc w:val="both"/>
        <w:rPr>
          <w:rFonts w:ascii="Lato" w:eastAsia="Roboto Slab" w:hAnsi="Lato" w:cs="Tahoma"/>
          <w:color w:val="auto"/>
          <w:sz w:val="22"/>
          <w:szCs w:val="22"/>
          <w:shd w:val="clear" w:color="auto" w:fill="FFFFFF"/>
          <w:lang w:val="en-US"/>
        </w:rPr>
      </w:pPr>
      <w:r w:rsidRPr="00EC0A0D">
        <w:rPr>
          <w:rFonts w:ascii="Lato" w:eastAsia="Roboto Slab" w:hAnsi="Lato" w:cs="Tahoma"/>
          <w:color w:val="auto"/>
          <w:sz w:val="22"/>
          <w:szCs w:val="22"/>
          <w:shd w:val="clear" w:color="auto" w:fill="FFFFFF"/>
          <w:lang w:val="en-US"/>
        </w:rPr>
        <w:t>CERC is comprised of mainly young people with significant experience in integrity clubs implementation, analytical research, civic activism, advocacy and Law. By developing different integrity building mechanisms,  In may 2017, CERC conducted a households corruption survey surveyed around 1000 people in South-Kivu to provide baseline study  aimed to help government, civil society and the private sector to formulate and implement policies and programs to strengthening integrity and good governance in DRC and thereby reduce corrupt practices.</w:t>
      </w:r>
    </w:p>
    <w:p w:rsidR="001D1339" w:rsidRPr="00EC0A0D" w:rsidRDefault="001D1339">
      <w:pPr>
        <w:jc w:val="both"/>
        <w:rPr>
          <w:rFonts w:ascii="Lato" w:eastAsia="Roboto Slab" w:hAnsi="Lato" w:cs="Tahoma"/>
          <w:color w:val="auto"/>
          <w:sz w:val="22"/>
          <w:szCs w:val="22"/>
          <w:shd w:val="clear" w:color="auto" w:fill="FFFFFF"/>
          <w:lang w:val="en-US"/>
        </w:rPr>
      </w:pPr>
    </w:p>
    <w:p w:rsidR="001D1339" w:rsidRPr="00EC0A0D" w:rsidRDefault="00DB7F4F">
      <w:pPr>
        <w:jc w:val="both"/>
        <w:rPr>
          <w:rFonts w:ascii="Lato" w:eastAsia="Roboto Slab" w:hAnsi="Lato" w:cs="Tahoma"/>
          <w:color w:val="auto"/>
          <w:sz w:val="22"/>
          <w:szCs w:val="22"/>
          <w:shd w:val="clear" w:color="auto" w:fill="FFFFFF"/>
          <w:lang w:val="en-US"/>
        </w:rPr>
      </w:pPr>
      <w:r w:rsidRPr="00EC0A0D">
        <w:rPr>
          <w:rFonts w:ascii="Lato" w:eastAsia="Roboto Slab" w:hAnsi="Lato" w:cs="Tahoma"/>
          <w:color w:val="auto"/>
          <w:sz w:val="22"/>
          <w:szCs w:val="22"/>
          <w:shd w:val="clear" w:color="auto" w:fill="FFFFFF"/>
          <w:lang w:val="en-US"/>
        </w:rPr>
        <w:t>In order to scaling up effort beyond civil society on the introduction of Community Integrity Building in communities, In May 13, 2017, a total of 40 persons from 23 grassroots organisations in Uvira were trained in anti-corruption strategies and provided with social accountability approach and tools such as the Community Integrity Building, DevelopmentCheck Online platform and Health/Education Assessment tools. </w:t>
      </w:r>
    </w:p>
    <w:p w:rsidR="001D1339" w:rsidRPr="00EC0A0D" w:rsidRDefault="00DB7F4F">
      <w:pPr>
        <w:jc w:val="both"/>
        <w:rPr>
          <w:rFonts w:ascii="Lato" w:eastAsia="Roboto Slab" w:hAnsi="Lato" w:cs="Tahoma"/>
          <w:color w:val="auto"/>
          <w:sz w:val="22"/>
          <w:szCs w:val="22"/>
          <w:shd w:val="clear" w:color="auto" w:fill="FFFFFF"/>
          <w:lang w:val="en-US"/>
        </w:rPr>
      </w:pPr>
      <w:r w:rsidRPr="00EC0A0D">
        <w:rPr>
          <w:rFonts w:ascii="Lato" w:eastAsia="Roboto Slab" w:hAnsi="Lato" w:cs="Tahoma"/>
          <w:color w:val="auto"/>
          <w:sz w:val="22"/>
          <w:szCs w:val="22"/>
          <w:shd w:val="clear" w:color="auto" w:fill="FFFFFF"/>
          <w:lang w:val="en-US"/>
        </w:rPr>
        <w:t xml:space="preserve"> </w:t>
      </w:r>
    </w:p>
    <w:p w:rsidR="001D1339" w:rsidRPr="00EC0A0D" w:rsidRDefault="00DB7F4F">
      <w:pPr>
        <w:jc w:val="both"/>
        <w:rPr>
          <w:rFonts w:ascii="Lato" w:eastAsia="Roboto Slab" w:hAnsi="Lato" w:cs="Tahoma"/>
          <w:color w:val="auto"/>
          <w:sz w:val="22"/>
          <w:szCs w:val="22"/>
          <w:shd w:val="clear" w:color="auto" w:fill="FFFFFF"/>
          <w:lang w:val="en-US"/>
        </w:rPr>
      </w:pPr>
      <w:r w:rsidRPr="00EC0A0D">
        <w:rPr>
          <w:rFonts w:ascii="Lato" w:eastAsia="Roboto Slab" w:hAnsi="Lato" w:cs="Tahoma"/>
          <w:color w:val="auto"/>
          <w:sz w:val="22"/>
          <w:szCs w:val="22"/>
          <w:shd w:val="clear" w:color="auto" w:fill="FFFFFF"/>
          <w:lang w:val="en-US"/>
        </w:rPr>
        <w:t>As part of effort to raise youth’s voice on issues relating to the failing rate of infrastructure projects and social basic services in the communities in which they live.  CERC realised that it needed to train 27 community monitors drawn from approximately 5 local villages and townships in social accountability. They are actively engaged to monitor 9 projects and 3 public services  and the work of public officials at local level and demand from decision makers, contractors and services providers to provide better quality services/projects and become accountable.</w:t>
      </w:r>
    </w:p>
    <w:p w:rsidR="00860845" w:rsidRDefault="00860845">
      <w:pPr>
        <w:jc w:val="both"/>
        <w:rPr>
          <w:rFonts w:ascii="Lato" w:eastAsia="Arial" w:hAnsi="Lato" w:cs="Tahoma"/>
          <w:b/>
          <w:snapToGrid w:val="0"/>
          <w:color w:val="auto"/>
          <w:sz w:val="22"/>
          <w:szCs w:val="22"/>
          <w:lang w:val="en-US"/>
        </w:rPr>
      </w:pPr>
      <w:bookmarkStart w:id="5" w:name="_GoBack"/>
      <w:bookmarkEnd w:id="5"/>
    </w:p>
    <w:p w:rsidR="001D1339" w:rsidRPr="00EC0A0D" w:rsidRDefault="001D1339">
      <w:pPr>
        <w:jc w:val="both"/>
        <w:rPr>
          <w:rFonts w:ascii="Lato" w:hAnsi="Lato" w:cs="Tahoma"/>
          <w:snapToGrid w:val="0"/>
          <w:color w:val="auto"/>
          <w:sz w:val="22"/>
          <w:szCs w:val="22"/>
          <w:lang w:val="en-US"/>
        </w:rPr>
      </w:pPr>
    </w:p>
    <w:p w:rsidR="001D1339" w:rsidRPr="00EC0A0D" w:rsidRDefault="00DB7F4F">
      <w:pPr>
        <w:jc w:val="both"/>
        <w:rPr>
          <w:rFonts w:ascii="Lato" w:eastAsia="Arial" w:hAnsi="Lato" w:cs="Tahoma"/>
          <w:b/>
          <w:snapToGrid w:val="0"/>
          <w:color w:val="auto"/>
          <w:sz w:val="22"/>
          <w:szCs w:val="22"/>
          <w:lang w:val="en-US"/>
        </w:rPr>
      </w:pPr>
      <w:r w:rsidRPr="00EC0A0D">
        <w:rPr>
          <w:rFonts w:ascii="Lato" w:eastAsia="Arial" w:hAnsi="Lato" w:cs="Tahoma"/>
          <w:b/>
          <w:snapToGrid w:val="0"/>
          <w:color w:val="auto"/>
          <w:sz w:val="22"/>
          <w:szCs w:val="22"/>
          <w:lang w:val="en-US"/>
        </w:rPr>
        <w:t>Major Objectives</w:t>
      </w:r>
    </w:p>
    <w:p w:rsidR="001D1339" w:rsidRPr="00EC0A0D" w:rsidRDefault="001D1339">
      <w:pPr>
        <w:jc w:val="both"/>
        <w:rPr>
          <w:rFonts w:ascii="Lato" w:eastAsia="Arial" w:hAnsi="Lato" w:cs="Tahoma"/>
          <w:b/>
          <w:snapToGrid w:val="0"/>
          <w:color w:val="auto"/>
          <w:sz w:val="22"/>
          <w:szCs w:val="22"/>
          <w:lang w:val="en-US"/>
        </w:rPr>
      </w:pPr>
    </w:p>
    <w:p w:rsidR="001D1339" w:rsidRDefault="00DB7F4F">
      <w:pPr>
        <w:jc w:val="both"/>
        <w:rPr>
          <w:rFonts w:ascii="Lato" w:hAnsi="Lato" w:cs="Tahoma"/>
          <w:color w:val="403152" w:themeColor="accent4" w:themeShade="80"/>
          <w:sz w:val="22"/>
          <w:szCs w:val="22"/>
          <w:lang w:val="en-US"/>
        </w:rPr>
      </w:pPr>
      <w:bookmarkStart w:id="6" w:name="OLE_LINK10"/>
      <w:r w:rsidRPr="00EC0A0D">
        <w:rPr>
          <w:rFonts w:ascii="Lato" w:eastAsia="Arial" w:hAnsi="Lato" w:cs="Tahoma"/>
          <w:snapToGrid w:val="0"/>
          <w:color w:val="403152" w:themeColor="accent4" w:themeShade="80"/>
          <w:sz w:val="22"/>
          <w:szCs w:val="22"/>
          <w:lang w:val="en-US"/>
        </w:rPr>
        <w:t xml:space="preserve">A] </w:t>
      </w:r>
      <w:r w:rsidRPr="00EC0A0D">
        <w:rPr>
          <w:rFonts w:ascii="Lato" w:hAnsi="Lato" w:cs="Tahoma"/>
          <w:color w:val="403152" w:themeColor="accent4" w:themeShade="80"/>
          <w:sz w:val="22"/>
          <w:szCs w:val="22"/>
          <w:lang w:val="en-US"/>
        </w:rPr>
        <w:t xml:space="preserve">Encourage secondary </w:t>
      </w:r>
      <w:r w:rsidR="004176DE" w:rsidRPr="00EC0A0D">
        <w:rPr>
          <w:rFonts w:ascii="Lato" w:hAnsi="Lato" w:cs="Tahoma"/>
          <w:color w:val="403152" w:themeColor="accent4" w:themeShade="80"/>
          <w:sz w:val="22"/>
          <w:szCs w:val="22"/>
          <w:lang w:val="en-US"/>
        </w:rPr>
        <w:t>schools to</w:t>
      </w:r>
      <w:r w:rsidRPr="00EC0A0D">
        <w:rPr>
          <w:rFonts w:ascii="Lato" w:hAnsi="Lato" w:cs="Tahoma"/>
          <w:color w:val="403152" w:themeColor="accent4" w:themeShade="80"/>
          <w:sz w:val="22"/>
          <w:szCs w:val="22"/>
          <w:lang w:val="en-US"/>
        </w:rPr>
        <w:t xml:space="preserve"> embed Integrity Clubs to ensure long term sustainability of anti-corruption and tr</w:t>
      </w:r>
      <w:r w:rsidR="00AE2761">
        <w:rPr>
          <w:rFonts w:ascii="Lato" w:hAnsi="Lato" w:cs="Tahoma"/>
          <w:color w:val="403152" w:themeColor="accent4" w:themeShade="80"/>
          <w:sz w:val="22"/>
          <w:szCs w:val="22"/>
          <w:lang w:val="en-US"/>
        </w:rPr>
        <w:t>ansparency efforts in education.</w:t>
      </w:r>
    </w:p>
    <w:p w:rsidR="00BD1F38" w:rsidRPr="00EC0A0D" w:rsidRDefault="00BD1F38">
      <w:pPr>
        <w:jc w:val="both"/>
        <w:rPr>
          <w:rFonts w:ascii="Lato" w:eastAsia="Arial" w:hAnsi="Lato" w:cs="Tahoma"/>
          <w:snapToGrid w:val="0"/>
          <w:color w:val="403152" w:themeColor="accent4" w:themeShade="80"/>
          <w:sz w:val="22"/>
          <w:szCs w:val="22"/>
          <w:lang w:val="en-US"/>
        </w:rPr>
      </w:pPr>
    </w:p>
    <w:p w:rsidR="001D1339" w:rsidRPr="00EC0A0D" w:rsidRDefault="00DB7F4F">
      <w:pPr>
        <w:jc w:val="both"/>
        <w:rPr>
          <w:rFonts w:ascii="Lato" w:hAnsi="Lato" w:cs="Tahoma"/>
          <w:color w:val="403152" w:themeColor="accent4" w:themeShade="80"/>
          <w:sz w:val="22"/>
          <w:szCs w:val="22"/>
          <w:lang w:val="en-US"/>
        </w:rPr>
      </w:pPr>
      <w:r w:rsidRPr="00EC0A0D">
        <w:rPr>
          <w:rFonts w:ascii="Lato" w:eastAsia="Arial" w:hAnsi="Lato" w:cs="Tahoma"/>
          <w:snapToGrid w:val="0"/>
          <w:color w:val="403152" w:themeColor="accent4" w:themeShade="80"/>
          <w:sz w:val="22"/>
          <w:szCs w:val="22"/>
          <w:lang w:val="en-US"/>
        </w:rPr>
        <w:t xml:space="preserve">B] </w:t>
      </w:r>
      <w:r w:rsidRPr="00EC0A0D">
        <w:rPr>
          <w:rFonts w:ascii="Lato" w:hAnsi="Lato" w:cs="Tahoma"/>
          <w:color w:val="403152" w:themeColor="accent4" w:themeShade="80"/>
          <w:sz w:val="22"/>
          <w:szCs w:val="22"/>
          <w:lang w:val="en-US"/>
        </w:rPr>
        <w:t xml:space="preserve">Engage and support trained youth monitors to be active agents of positive change championing anti-corruption and transparency </w:t>
      </w:r>
      <w:r w:rsidR="00074923" w:rsidRPr="00EC0A0D">
        <w:rPr>
          <w:rFonts w:ascii="Lato" w:hAnsi="Lato" w:cs="Tahoma"/>
          <w:color w:val="403152" w:themeColor="accent4" w:themeShade="80"/>
          <w:sz w:val="22"/>
          <w:szCs w:val="22"/>
          <w:lang w:val="en-US"/>
        </w:rPr>
        <w:t>behavior</w:t>
      </w:r>
      <w:r w:rsidRPr="00EC0A0D">
        <w:rPr>
          <w:rFonts w:ascii="Lato" w:hAnsi="Lato" w:cs="Tahoma"/>
          <w:color w:val="403152" w:themeColor="accent4" w:themeShade="80"/>
          <w:sz w:val="22"/>
          <w:szCs w:val="22"/>
          <w:lang w:val="en-US"/>
        </w:rPr>
        <w:t xml:space="preserve"> and actively involved in monitoring  educati</w:t>
      </w:r>
      <w:r w:rsidR="00AE2761">
        <w:rPr>
          <w:rFonts w:ascii="Lato" w:hAnsi="Lato" w:cs="Tahoma"/>
          <w:color w:val="403152" w:themeColor="accent4" w:themeShade="80"/>
          <w:sz w:val="22"/>
          <w:szCs w:val="22"/>
          <w:lang w:val="en-US"/>
        </w:rPr>
        <w:t>on and infrastructure services.</w:t>
      </w:r>
    </w:p>
    <w:p w:rsidR="001D1339" w:rsidRPr="00EC0A0D" w:rsidRDefault="001D1339">
      <w:pPr>
        <w:jc w:val="both"/>
        <w:rPr>
          <w:rFonts w:ascii="Lato" w:hAnsi="Lato" w:cs="Tahoma"/>
          <w:color w:val="403152" w:themeColor="accent4" w:themeShade="80"/>
          <w:sz w:val="22"/>
          <w:szCs w:val="22"/>
          <w:lang w:val="en-US"/>
        </w:rPr>
      </w:pPr>
    </w:p>
    <w:p w:rsidR="001D1339" w:rsidRPr="00EC0A0D" w:rsidRDefault="00DB7F4F">
      <w:pPr>
        <w:jc w:val="both"/>
        <w:rPr>
          <w:rFonts w:ascii="Lato" w:hAnsi="Lato" w:cs="Tahoma"/>
          <w:color w:val="403152" w:themeColor="accent4" w:themeShade="80"/>
          <w:sz w:val="22"/>
          <w:szCs w:val="22"/>
          <w:lang w:val="en-US"/>
        </w:rPr>
      </w:pPr>
      <w:r w:rsidRPr="00EC0A0D">
        <w:rPr>
          <w:rFonts w:ascii="Lato" w:eastAsia="Arial" w:hAnsi="Lato" w:cs="Tahoma"/>
          <w:snapToGrid w:val="0"/>
          <w:color w:val="403152" w:themeColor="accent4" w:themeShade="80"/>
          <w:sz w:val="22"/>
          <w:szCs w:val="22"/>
          <w:lang w:val="en-US"/>
        </w:rPr>
        <w:t xml:space="preserve">C] </w:t>
      </w:r>
      <w:r w:rsidRPr="00EC0A0D">
        <w:rPr>
          <w:rFonts w:ascii="Lato" w:hAnsi="Lato" w:cs="Tahoma"/>
          <w:color w:val="403152" w:themeColor="accent4" w:themeShade="80"/>
          <w:sz w:val="22"/>
          <w:szCs w:val="22"/>
          <w:lang w:val="en-US"/>
        </w:rPr>
        <w:t>Improving the infrastructure and services in schools and community - and achieving a 55% Fix Rate in problems found within infrastructure projects in schools and in local communities</w:t>
      </w:r>
      <w:r w:rsidR="00AE2761">
        <w:rPr>
          <w:rFonts w:ascii="Lato" w:hAnsi="Lato" w:cs="Tahoma"/>
          <w:color w:val="403152" w:themeColor="accent4" w:themeShade="80"/>
          <w:sz w:val="22"/>
          <w:szCs w:val="22"/>
          <w:lang w:val="en-US"/>
        </w:rPr>
        <w:t>.</w:t>
      </w:r>
    </w:p>
    <w:bookmarkEnd w:id="6"/>
    <w:p w:rsidR="001D1339" w:rsidRPr="00EC0A0D" w:rsidRDefault="001D1339">
      <w:pPr>
        <w:jc w:val="both"/>
        <w:rPr>
          <w:rFonts w:ascii="Lato" w:hAnsi="Lato" w:cs="Tahoma"/>
          <w:color w:val="auto"/>
          <w:sz w:val="22"/>
          <w:szCs w:val="22"/>
          <w:lang w:val="en-US"/>
        </w:rPr>
      </w:pPr>
    </w:p>
    <w:p w:rsidR="001D1339" w:rsidRPr="00EC0A0D" w:rsidRDefault="001D1339">
      <w:pPr>
        <w:rPr>
          <w:rFonts w:ascii="Lato" w:hAnsi="Lato" w:cs="Tahoma"/>
          <w:sz w:val="22"/>
          <w:szCs w:val="22"/>
          <w:lang w:val="en-US"/>
        </w:rPr>
      </w:pPr>
    </w:p>
    <w:p w:rsidR="001D1339" w:rsidRPr="00EC0A0D" w:rsidRDefault="00DB7F4F">
      <w:pPr>
        <w:jc w:val="both"/>
        <w:rPr>
          <w:rFonts w:ascii="Lato" w:hAnsi="Lato" w:cs="Tahoma"/>
          <w:snapToGrid w:val="0"/>
          <w:color w:val="auto"/>
          <w:sz w:val="22"/>
          <w:szCs w:val="22"/>
          <w:lang w:val="en-US"/>
        </w:rPr>
      </w:pPr>
      <w:r w:rsidRPr="00EC0A0D">
        <w:rPr>
          <w:rFonts w:ascii="Lato" w:eastAsia="Arial" w:hAnsi="Lato" w:cs="Tahoma"/>
          <w:b/>
          <w:snapToGrid w:val="0"/>
          <w:color w:val="auto"/>
          <w:sz w:val="22"/>
          <w:szCs w:val="22"/>
          <w:lang w:val="en-US"/>
        </w:rPr>
        <w:t>Intermediate Result(s)</w:t>
      </w:r>
    </w:p>
    <w:p w:rsidR="001D1339" w:rsidRPr="00EC0A0D" w:rsidRDefault="001D1339">
      <w:pPr>
        <w:jc w:val="both"/>
        <w:rPr>
          <w:rFonts w:ascii="Lato" w:hAnsi="Lato" w:cs="Tahoma"/>
          <w:snapToGrid w:val="0"/>
          <w:color w:val="548DD4" w:themeColor="text2" w:themeTint="99"/>
          <w:sz w:val="22"/>
          <w:szCs w:val="22"/>
          <w:lang w:val="en-US"/>
        </w:rPr>
      </w:pPr>
    </w:p>
    <w:p w:rsidR="001D1339" w:rsidRPr="00EC0A0D" w:rsidRDefault="00DB7F4F">
      <w:pPr>
        <w:jc w:val="both"/>
        <w:rPr>
          <w:rFonts w:ascii="Lato" w:hAnsi="Lato" w:cs="Tahoma"/>
          <w:snapToGrid w:val="0"/>
          <w:color w:val="403152" w:themeColor="accent4" w:themeShade="80"/>
          <w:sz w:val="22"/>
          <w:szCs w:val="22"/>
          <w:lang w:val="en-US"/>
        </w:rPr>
      </w:pPr>
      <w:bookmarkStart w:id="7" w:name="OLE_LINK12"/>
      <w:r w:rsidRPr="00EC0A0D">
        <w:rPr>
          <w:rFonts w:ascii="Lato" w:eastAsia="Arial" w:hAnsi="Lato" w:cs="Tahoma"/>
          <w:snapToGrid w:val="0"/>
          <w:color w:val="403152" w:themeColor="accent4" w:themeShade="80"/>
          <w:sz w:val="22"/>
          <w:szCs w:val="22"/>
          <w:lang w:val="en-US"/>
        </w:rPr>
        <w:t xml:space="preserve">A] Capable schools are able to sets and manage Integrity Clubs - </w:t>
      </w:r>
      <w:r w:rsidR="00D137C5" w:rsidRPr="00EC0A0D">
        <w:rPr>
          <w:rFonts w:ascii="Lato" w:eastAsia="Arial" w:hAnsi="Lato" w:cs="Tahoma"/>
          <w:snapToGrid w:val="0"/>
          <w:color w:val="403152" w:themeColor="accent4" w:themeShade="80"/>
          <w:sz w:val="22"/>
          <w:szCs w:val="22"/>
          <w:lang w:val="en-US"/>
        </w:rPr>
        <w:t>and leading</w:t>
      </w:r>
      <w:r w:rsidRPr="00EC0A0D">
        <w:rPr>
          <w:rFonts w:ascii="Lato" w:eastAsia="Arial" w:hAnsi="Lato" w:cs="Tahoma"/>
          <w:snapToGrid w:val="0"/>
          <w:color w:val="403152" w:themeColor="accent4" w:themeShade="80"/>
          <w:sz w:val="22"/>
          <w:szCs w:val="22"/>
          <w:lang w:val="en-US"/>
        </w:rPr>
        <w:t xml:space="preserve"> on embedding anti-corruption and transparency measures directly benefiting</w:t>
      </w:r>
      <w:r w:rsidR="00AE2761">
        <w:rPr>
          <w:rFonts w:ascii="Lato" w:eastAsia="Arial" w:hAnsi="Lato" w:cs="Tahoma"/>
          <w:snapToGrid w:val="0"/>
          <w:color w:val="403152" w:themeColor="accent4" w:themeShade="80"/>
          <w:sz w:val="22"/>
          <w:szCs w:val="22"/>
          <w:lang w:val="en-US"/>
        </w:rPr>
        <w:t xml:space="preserve"> </w:t>
      </w:r>
      <w:r w:rsidRPr="00EC0A0D">
        <w:rPr>
          <w:rFonts w:ascii="Lato" w:eastAsia="Arial" w:hAnsi="Lato" w:cs="Tahoma"/>
          <w:snapToGrid w:val="0"/>
          <w:color w:val="403152" w:themeColor="accent4" w:themeShade="80"/>
          <w:sz w:val="22"/>
          <w:szCs w:val="22"/>
          <w:lang w:val="en-US"/>
        </w:rPr>
        <w:t>youth monitors.</w:t>
      </w:r>
    </w:p>
    <w:p w:rsidR="001D1339" w:rsidRPr="00EC0A0D" w:rsidRDefault="001D1339">
      <w:pPr>
        <w:ind w:left="360"/>
        <w:jc w:val="both"/>
        <w:rPr>
          <w:rFonts w:ascii="Lato" w:hAnsi="Lato" w:cs="Tahoma"/>
          <w:snapToGrid w:val="0"/>
          <w:color w:val="403152" w:themeColor="accent4" w:themeShade="80"/>
          <w:sz w:val="22"/>
          <w:szCs w:val="22"/>
          <w:lang w:val="en-US"/>
        </w:rPr>
      </w:pPr>
    </w:p>
    <w:p w:rsidR="001D1339" w:rsidRDefault="00DB7F4F">
      <w:pPr>
        <w:jc w:val="both"/>
        <w:rPr>
          <w:rFonts w:ascii="Lato" w:hAnsi="Lato" w:cs="Tahoma"/>
          <w:color w:val="403152" w:themeColor="accent4" w:themeShade="80"/>
          <w:sz w:val="22"/>
          <w:szCs w:val="22"/>
          <w:lang w:val="en-US"/>
        </w:rPr>
      </w:pPr>
      <w:r w:rsidRPr="00EC0A0D">
        <w:rPr>
          <w:rFonts w:ascii="Lato" w:eastAsia="Arial" w:hAnsi="Lato" w:cs="Tahoma"/>
          <w:snapToGrid w:val="0"/>
          <w:color w:val="403152" w:themeColor="accent4" w:themeShade="80"/>
          <w:sz w:val="22"/>
          <w:szCs w:val="22"/>
          <w:lang w:val="en-US"/>
        </w:rPr>
        <w:t>B] Trained youth monitors are actively</w:t>
      </w:r>
      <w:r w:rsidRPr="00EC0A0D">
        <w:rPr>
          <w:rFonts w:ascii="Lato" w:hAnsi="Lato" w:cs="Tahoma"/>
          <w:color w:val="403152" w:themeColor="accent4" w:themeShade="80"/>
          <w:sz w:val="22"/>
          <w:szCs w:val="22"/>
          <w:lang w:val="en-US"/>
        </w:rPr>
        <w:t xml:space="preserve"> championing anti-corruption and transparency </w:t>
      </w:r>
      <w:r w:rsidR="00452FAB" w:rsidRPr="00EC0A0D">
        <w:rPr>
          <w:rFonts w:ascii="Lato" w:hAnsi="Lato" w:cs="Tahoma"/>
          <w:color w:val="403152" w:themeColor="accent4" w:themeShade="80"/>
          <w:sz w:val="22"/>
          <w:szCs w:val="22"/>
          <w:lang w:val="en-US"/>
        </w:rPr>
        <w:t>behavior</w:t>
      </w:r>
      <w:r w:rsidRPr="00EC0A0D">
        <w:rPr>
          <w:rFonts w:ascii="Lato" w:hAnsi="Lato" w:cs="Tahoma"/>
          <w:color w:val="403152" w:themeColor="accent4" w:themeShade="80"/>
          <w:sz w:val="22"/>
          <w:szCs w:val="22"/>
          <w:lang w:val="en-US"/>
        </w:rPr>
        <w:t xml:space="preserve"> and engaged in monitorin</w:t>
      </w:r>
      <w:r w:rsidR="00AE2761">
        <w:rPr>
          <w:rFonts w:ascii="Lato" w:hAnsi="Lato" w:cs="Tahoma"/>
          <w:color w:val="403152" w:themeColor="accent4" w:themeShade="80"/>
          <w:sz w:val="22"/>
          <w:szCs w:val="22"/>
          <w:lang w:val="en-US"/>
        </w:rPr>
        <w:t>g education infrastructures.</w:t>
      </w:r>
    </w:p>
    <w:p w:rsidR="00BD1F38" w:rsidRPr="00EC0A0D" w:rsidRDefault="00BD1F38">
      <w:pPr>
        <w:jc w:val="both"/>
        <w:rPr>
          <w:rFonts w:ascii="Lato" w:hAnsi="Lato" w:cs="Tahoma"/>
          <w:snapToGrid w:val="0"/>
          <w:color w:val="403152" w:themeColor="accent4" w:themeShade="80"/>
          <w:sz w:val="22"/>
          <w:szCs w:val="22"/>
          <w:lang w:val="en-US"/>
        </w:rPr>
      </w:pPr>
    </w:p>
    <w:p w:rsidR="001D1339" w:rsidRPr="00EC0A0D" w:rsidRDefault="00DB7F4F">
      <w:pPr>
        <w:jc w:val="both"/>
        <w:rPr>
          <w:rFonts w:ascii="Lato" w:hAnsi="Lato" w:cs="Tahoma"/>
          <w:color w:val="403152" w:themeColor="accent4" w:themeShade="80"/>
          <w:sz w:val="22"/>
          <w:szCs w:val="22"/>
          <w:lang w:val="en-US"/>
        </w:rPr>
      </w:pPr>
      <w:r w:rsidRPr="00EC0A0D">
        <w:rPr>
          <w:rFonts w:ascii="Lato" w:eastAsia="Arial" w:hAnsi="Lato" w:cs="Tahoma"/>
          <w:snapToGrid w:val="0"/>
          <w:color w:val="403152" w:themeColor="accent4" w:themeShade="80"/>
          <w:sz w:val="22"/>
          <w:szCs w:val="22"/>
          <w:lang w:val="en-US"/>
        </w:rPr>
        <w:t xml:space="preserve">C] </w:t>
      </w:r>
      <w:r w:rsidR="00AE2761">
        <w:rPr>
          <w:rFonts w:ascii="Lato" w:eastAsia="Arial" w:hAnsi="Lato" w:cs="Tahoma"/>
          <w:snapToGrid w:val="0"/>
          <w:color w:val="403152" w:themeColor="accent4" w:themeShade="80"/>
          <w:sz w:val="22"/>
          <w:szCs w:val="22"/>
          <w:lang w:val="en-US"/>
        </w:rPr>
        <w:t>T</w:t>
      </w:r>
      <w:r w:rsidRPr="00EC0A0D">
        <w:rPr>
          <w:rFonts w:ascii="Lato" w:eastAsia="Arial" w:hAnsi="Lato" w:cs="Tahoma"/>
          <w:snapToGrid w:val="0"/>
          <w:color w:val="403152" w:themeColor="accent4" w:themeShade="80"/>
          <w:sz w:val="22"/>
          <w:szCs w:val="22"/>
          <w:lang w:val="en-US"/>
        </w:rPr>
        <w:t xml:space="preserve">rained and supported </w:t>
      </w:r>
      <w:r w:rsidRPr="00EC0A0D">
        <w:rPr>
          <w:rFonts w:ascii="Lato" w:eastAsia="Arial" w:hAnsi="Lato" w:cs="Tahoma"/>
          <w:color w:val="403152" w:themeColor="accent4" w:themeShade="80"/>
          <w:sz w:val="22"/>
          <w:szCs w:val="22"/>
          <w:lang w:val="en-US"/>
        </w:rPr>
        <w:t>young girls and boys are able to meet key stakeholders, discuss and propose solutions to community problems - and achieving 55</w:t>
      </w:r>
      <w:r w:rsidRPr="00EC0A0D">
        <w:rPr>
          <w:rFonts w:ascii="Lato" w:hAnsi="Lato" w:cs="Tahoma"/>
          <w:color w:val="403152" w:themeColor="accent4" w:themeShade="80"/>
          <w:sz w:val="22"/>
          <w:szCs w:val="22"/>
          <w:lang w:val="en-US"/>
        </w:rPr>
        <w:t>% Fix Rate in problems found within infrastructure projects in s</w:t>
      </w:r>
      <w:r w:rsidR="00AE2761">
        <w:rPr>
          <w:rFonts w:ascii="Lato" w:hAnsi="Lato" w:cs="Tahoma"/>
          <w:color w:val="403152" w:themeColor="accent4" w:themeShade="80"/>
          <w:sz w:val="22"/>
          <w:szCs w:val="22"/>
          <w:lang w:val="en-US"/>
        </w:rPr>
        <w:t>chools and in local communities.</w:t>
      </w:r>
    </w:p>
    <w:bookmarkEnd w:id="7"/>
    <w:p w:rsidR="001D1339" w:rsidRPr="00EC0A0D" w:rsidRDefault="001D1339">
      <w:pPr>
        <w:jc w:val="both"/>
        <w:rPr>
          <w:rFonts w:ascii="Lato" w:hAnsi="Lato" w:cs="Tahoma"/>
          <w:snapToGrid w:val="0"/>
          <w:color w:val="auto"/>
          <w:sz w:val="22"/>
          <w:szCs w:val="22"/>
          <w:lang w:val="en-US"/>
        </w:rPr>
      </w:pPr>
    </w:p>
    <w:p w:rsidR="001D1339" w:rsidRPr="00EC0A0D" w:rsidRDefault="001D1339">
      <w:pPr>
        <w:jc w:val="both"/>
        <w:rPr>
          <w:rFonts w:ascii="Lato" w:hAnsi="Lato" w:cs="Tahoma"/>
          <w:snapToGrid w:val="0"/>
          <w:color w:val="auto"/>
          <w:sz w:val="22"/>
          <w:szCs w:val="22"/>
          <w:lang w:val="en-US"/>
        </w:rPr>
      </w:pPr>
    </w:p>
    <w:p w:rsidR="001D1339" w:rsidRPr="00EC0A0D" w:rsidRDefault="00DB7F4F">
      <w:pPr>
        <w:jc w:val="both"/>
        <w:rPr>
          <w:rFonts w:ascii="Lato" w:eastAsia="Arial" w:hAnsi="Lato" w:cs="Tahoma"/>
          <w:b/>
          <w:snapToGrid w:val="0"/>
          <w:color w:val="auto"/>
          <w:sz w:val="22"/>
          <w:szCs w:val="22"/>
          <w:lang w:val="en-US"/>
        </w:rPr>
      </w:pPr>
      <w:r w:rsidRPr="00EC0A0D">
        <w:rPr>
          <w:rFonts w:ascii="Lato" w:eastAsia="Arial" w:hAnsi="Lato" w:cs="Tahoma"/>
          <w:b/>
          <w:snapToGrid w:val="0"/>
          <w:color w:val="auto"/>
          <w:sz w:val="22"/>
          <w:szCs w:val="22"/>
          <w:lang w:val="en-US"/>
        </w:rPr>
        <w:t>Counterpart Involvement</w:t>
      </w:r>
    </w:p>
    <w:p w:rsidR="001D1339" w:rsidRPr="00EC0A0D" w:rsidRDefault="001D1339">
      <w:pPr>
        <w:jc w:val="both"/>
        <w:rPr>
          <w:rFonts w:ascii="Lato" w:eastAsia="Arial" w:hAnsi="Lato" w:cs="Tahoma"/>
          <w:b/>
          <w:snapToGrid w:val="0"/>
          <w:color w:val="auto"/>
          <w:sz w:val="22"/>
          <w:szCs w:val="22"/>
          <w:lang w:val="en-US"/>
        </w:rPr>
      </w:pPr>
    </w:p>
    <w:p w:rsidR="001D1339" w:rsidRPr="00EC0A0D" w:rsidRDefault="00DB7F4F">
      <w:pPr>
        <w:rPr>
          <w:rFonts w:ascii="Lato" w:eastAsia="MyriadPro-Regular" w:hAnsi="Lato" w:cs="Tahoma"/>
          <w:sz w:val="22"/>
          <w:szCs w:val="22"/>
          <w:lang w:val="en-US"/>
        </w:rPr>
      </w:pPr>
      <w:bookmarkStart w:id="8" w:name="OLE_LINK4"/>
      <w:r w:rsidRPr="00EC0A0D">
        <w:rPr>
          <w:rFonts w:ascii="Lato" w:eastAsia="MyriadPro-Regular" w:hAnsi="Lato" w:cs="Tahoma"/>
          <w:sz w:val="22"/>
          <w:szCs w:val="22"/>
          <w:lang w:val="en-US"/>
        </w:rPr>
        <w:t>CERC will strengthen collaborations and synergies with similar NGOs carried out the same project aimed at improving transparency in services delivery such as L</w:t>
      </w:r>
      <w:r w:rsidRPr="00EC0A0D">
        <w:rPr>
          <w:rFonts w:ascii="Lato" w:eastAsia="MyriadPro-Regular" w:hAnsi="Lato" w:cs="Tahoma"/>
          <w:color w:val="auto"/>
          <w:sz w:val="22"/>
          <w:szCs w:val="22"/>
          <w:lang w:val="en-US"/>
        </w:rPr>
        <w:t>ICOCO (Ligue Congolais de Lutte Contre la Corruption),  NSCC (Nouvelle Société Civile du Congo), UNOCHA, FOCHI, OSBDEC, ADIF, Max Impact and APED</w:t>
      </w:r>
      <w:r w:rsidRPr="00EC0A0D">
        <w:rPr>
          <w:rFonts w:ascii="Lato" w:eastAsia="MyriadPro-Regular" w:hAnsi="Lato" w:cs="Tahoma"/>
          <w:sz w:val="22"/>
          <w:szCs w:val="22"/>
          <w:lang w:val="en-US"/>
        </w:rPr>
        <w:t>, and broaden the scope of possible partnerships with these organizations. The high number of civil society initiatives aimed at increasing transparency and combating Corruption justifies that any project must take into account and collaborate with other relevant initiatives in order to create synergies, for example in the field of training and advocacy.</w:t>
      </w:r>
    </w:p>
    <w:bookmarkEnd w:id="8"/>
    <w:p w:rsidR="001D1339" w:rsidRPr="00EC0A0D" w:rsidRDefault="001D1339">
      <w:pPr>
        <w:rPr>
          <w:rFonts w:ascii="Lato" w:eastAsia="MyriadPro-Regular" w:hAnsi="Lato" w:cs="Tahoma"/>
          <w:sz w:val="22"/>
          <w:szCs w:val="22"/>
          <w:lang w:val="en-US"/>
        </w:rPr>
      </w:pPr>
    </w:p>
    <w:p w:rsidR="001D1339" w:rsidRDefault="00DB7F4F">
      <w:pPr>
        <w:jc w:val="both"/>
        <w:rPr>
          <w:rFonts w:ascii="Lato" w:eastAsia="Arial" w:hAnsi="Lato" w:cs="Tahoma"/>
          <w:b/>
          <w:snapToGrid w:val="0"/>
          <w:color w:val="auto"/>
          <w:sz w:val="22"/>
          <w:szCs w:val="22"/>
          <w:lang w:val="en-US"/>
        </w:rPr>
      </w:pPr>
      <w:r w:rsidRPr="00EC0A0D">
        <w:rPr>
          <w:rFonts w:ascii="Lato" w:eastAsia="Arial" w:hAnsi="Lato" w:cs="Tahoma"/>
          <w:b/>
          <w:snapToGrid w:val="0"/>
          <w:color w:val="auto"/>
          <w:sz w:val="22"/>
          <w:szCs w:val="22"/>
          <w:lang w:val="en-US"/>
        </w:rPr>
        <w:t>Complementarity and Coordination with Key Stakeholders</w:t>
      </w:r>
    </w:p>
    <w:p w:rsidR="0051170A" w:rsidRPr="00EC0A0D" w:rsidRDefault="0051170A">
      <w:pPr>
        <w:jc w:val="both"/>
        <w:rPr>
          <w:rFonts w:ascii="Lato" w:hAnsi="Lato" w:cs="Tahoma"/>
          <w:snapToGrid w:val="0"/>
          <w:color w:val="auto"/>
          <w:sz w:val="22"/>
          <w:szCs w:val="22"/>
          <w:lang w:val="en-US"/>
        </w:rPr>
      </w:pPr>
    </w:p>
    <w:p w:rsidR="001D1339" w:rsidRPr="00EC0A0D" w:rsidRDefault="00DB7F4F">
      <w:pPr>
        <w:rPr>
          <w:rFonts w:ascii="Lato" w:eastAsia="MyriadPro-Regular" w:hAnsi="Lato" w:cs="Tahoma"/>
          <w:sz w:val="22"/>
          <w:szCs w:val="22"/>
          <w:lang w:val="en-US"/>
        </w:rPr>
      </w:pPr>
      <w:bookmarkStart w:id="9" w:name="OLE_LINK1"/>
      <w:r w:rsidRPr="00EC0A0D">
        <w:rPr>
          <w:rFonts w:ascii="Lato" w:eastAsia="MyriadPro-Regular" w:hAnsi="Lato" w:cs="Tahoma"/>
          <w:sz w:val="22"/>
          <w:szCs w:val="22"/>
          <w:lang w:val="en-US"/>
        </w:rPr>
        <w:t>This project demonstrate how corruption and lack of transparency can be prevented, but also that the activities of youth monitors should be complemented by those of civil society and government, particularly with regard to advocacy.</w:t>
      </w:r>
    </w:p>
    <w:p w:rsidR="001D1339" w:rsidRPr="00EC0A0D" w:rsidRDefault="001D1339">
      <w:pPr>
        <w:rPr>
          <w:rFonts w:ascii="Lato" w:eastAsia="MyriadPro-Regular" w:hAnsi="Lato" w:cs="Tahoma"/>
          <w:sz w:val="22"/>
          <w:szCs w:val="22"/>
          <w:lang w:val="en-US"/>
        </w:rPr>
      </w:pPr>
    </w:p>
    <w:p w:rsidR="001D1339" w:rsidRPr="00EC0A0D" w:rsidRDefault="00DB7F4F">
      <w:pPr>
        <w:rPr>
          <w:rFonts w:ascii="Lato" w:eastAsia="MyriadPro-Regular" w:hAnsi="Lato" w:cs="Tahoma"/>
          <w:sz w:val="22"/>
          <w:szCs w:val="22"/>
          <w:lang w:val="en-US"/>
        </w:rPr>
      </w:pPr>
      <w:bookmarkStart w:id="10" w:name="OLE_LINK5"/>
      <w:bookmarkEnd w:id="9"/>
      <w:r w:rsidRPr="00EC0A0D">
        <w:rPr>
          <w:rFonts w:ascii="Lato" w:eastAsia="MyriadPro-Regular" w:hAnsi="Lato" w:cs="Tahoma"/>
          <w:sz w:val="22"/>
          <w:szCs w:val="22"/>
          <w:lang w:val="en-US"/>
        </w:rPr>
        <w:t xml:space="preserve">The multi-stakeholders meetings led by United Nations for Humanitarian Coordination (UNOCHA Uvira) is an important mechanism for ensuring that through more and better cooperation, NGOs can achieve greater results and impact together. It will also be essential that CERC </w:t>
      </w:r>
      <w:r w:rsidRPr="00EC0A0D">
        <w:rPr>
          <w:rFonts w:ascii="Lato" w:eastAsia="MyriadPro-Regular" w:hAnsi="Lato" w:cs="Tahoma"/>
          <w:color w:val="auto"/>
          <w:sz w:val="22"/>
          <w:szCs w:val="22"/>
          <w:lang w:val="en-US"/>
        </w:rPr>
        <w:t xml:space="preserve">strengthen partnerships with civil society and youth-led and youth-based organizations, networks and movements, governments at national and sub-national levels, including philanthropic organizations and the private sector </w:t>
      </w:r>
      <w:r w:rsidRPr="00EC0A0D">
        <w:rPr>
          <w:rFonts w:ascii="Lato" w:eastAsia="MyriadPro-Regular" w:hAnsi="Lato" w:cs="Tahoma"/>
          <w:sz w:val="22"/>
          <w:szCs w:val="22"/>
          <w:lang w:val="en-US"/>
        </w:rPr>
        <w:t xml:space="preserve">to ensure alignment and complementarity with existing initiatives and strategic approaches.  </w:t>
      </w:r>
    </w:p>
    <w:p w:rsidR="001D1339" w:rsidRPr="00EC0A0D" w:rsidRDefault="001D1339">
      <w:pPr>
        <w:rPr>
          <w:rFonts w:ascii="Lato" w:eastAsia="MyriadPro-Regular" w:hAnsi="Lato" w:cs="Tahoma"/>
          <w:sz w:val="22"/>
          <w:szCs w:val="22"/>
          <w:lang w:val="en-US"/>
        </w:rPr>
      </w:pPr>
    </w:p>
    <w:p w:rsidR="001D1339" w:rsidRPr="00EC0A0D" w:rsidRDefault="001D1339">
      <w:pPr>
        <w:rPr>
          <w:rFonts w:ascii="Lato" w:eastAsia="MyriadPro-Regular" w:hAnsi="Lato" w:cs="Tahoma"/>
          <w:sz w:val="22"/>
          <w:szCs w:val="22"/>
          <w:lang w:val="en-US"/>
        </w:rPr>
      </w:pPr>
    </w:p>
    <w:bookmarkEnd w:id="10"/>
    <w:p w:rsidR="001D1339" w:rsidRPr="00EC0A0D" w:rsidRDefault="00DB7F4F">
      <w:pPr>
        <w:jc w:val="both"/>
        <w:rPr>
          <w:rFonts w:ascii="Lato" w:hAnsi="Lato" w:cs="Tahoma"/>
          <w:snapToGrid w:val="0"/>
          <w:color w:val="auto"/>
          <w:sz w:val="22"/>
          <w:szCs w:val="22"/>
          <w:lang w:val="en-US"/>
        </w:rPr>
      </w:pPr>
      <w:r w:rsidRPr="00EC0A0D">
        <w:rPr>
          <w:rFonts w:ascii="Lato" w:eastAsia="Arial" w:hAnsi="Lato" w:cs="Tahoma"/>
          <w:b/>
          <w:snapToGrid w:val="0"/>
          <w:color w:val="auto"/>
          <w:sz w:val="22"/>
          <w:szCs w:val="22"/>
          <w:lang w:val="en-US"/>
        </w:rPr>
        <w:t>Value for money</w:t>
      </w:r>
    </w:p>
    <w:p w:rsidR="001D1339" w:rsidRPr="00EC0A0D" w:rsidRDefault="001D1339">
      <w:pPr>
        <w:jc w:val="both"/>
        <w:rPr>
          <w:rFonts w:ascii="Lato" w:eastAsia="ArialMT" w:hAnsi="Lato" w:cs="Tahoma"/>
          <w:sz w:val="22"/>
          <w:szCs w:val="22"/>
          <w:lang w:val="en-US"/>
        </w:rPr>
      </w:pPr>
    </w:p>
    <w:p w:rsidR="001D1339" w:rsidRPr="00EC0A0D" w:rsidRDefault="00DB7F4F">
      <w:pPr>
        <w:jc w:val="both"/>
        <w:rPr>
          <w:rFonts w:ascii="Lato" w:eastAsia="ArialMT" w:hAnsi="Lato" w:cs="Tahoma"/>
          <w:color w:val="auto"/>
          <w:sz w:val="22"/>
          <w:szCs w:val="22"/>
          <w:lang w:val="en-US"/>
        </w:rPr>
      </w:pPr>
      <w:r w:rsidRPr="00EC0A0D">
        <w:rPr>
          <w:rFonts w:ascii="Lato" w:eastAsia="ArialMT" w:hAnsi="Lato" w:cs="Tahoma"/>
          <w:sz w:val="22"/>
          <w:szCs w:val="22"/>
          <w:lang w:val="en-US"/>
        </w:rPr>
        <w:t>CERC will maintain appropriate internal controls to prevent the misuse of funds. We will ensure that funds are spending in accordance</w:t>
      </w:r>
      <w:r w:rsidR="0051170A">
        <w:rPr>
          <w:rFonts w:ascii="Lato" w:eastAsia="ArialMT" w:hAnsi="Lato" w:cs="Tahoma"/>
          <w:sz w:val="22"/>
          <w:szCs w:val="22"/>
          <w:lang w:val="en-US"/>
        </w:rPr>
        <w:t xml:space="preserve"> with the approved budget lines </w:t>
      </w:r>
      <w:r w:rsidRPr="00EC0A0D">
        <w:rPr>
          <w:rFonts w:ascii="Lato" w:eastAsia="ArialMT" w:hAnsi="Lato" w:cs="Tahoma"/>
          <w:sz w:val="22"/>
          <w:szCs w:val="22"/>
          <w:lang w:val="en-US"/>
        </w:rPr>
        <w:t xml:space="preserve">and each payment is covered by a receipt. We will ensure that our staff </w:t>
      </w:r>
      <w:r w:rsidRPr="00EC0A0D">
        <w:rPr>
          <w:rFonts w:ascii="Lato" w:eastAsia="Open Sans" w:hAnsi="Lato" w:cs="Tahoma"/>
          <w:color w:val="auto"/>
          <w:sz w:val="22"/>
          <w:szCs w:val="22"/>
          <w:shd w:val="clear" w:color="auto" w:fill="FFFFFF"/>
          <w:lang w:val="en-US"/>
        </w:rPr>
        <w:t>produce good results without costing a lot of money.</w:t>
      </w:r>
    </w:p>
    <w:p w:rsidR="001D1339" w:rsidRPr="00EC0A0D" w:rsidRDefault="001D1339">
      <w:pPr>
        <w:jc w:val="both"/>
        <w:rPr>
          <w:rFonts w:ascii="Lato" w:hAnsi="Lato" w:cs="Tahoma"/>
          <w:snapToGrid w:val="0"/>
          <w:color w:val="auto"/>
          <w:sz w:val="22"/>
          <w:szCs w:val="22"/>
          <w:lang w:val="en-US"/>
        </w:rPr>
      </w:pPr>
    </w:p>
    <w:p w:rsidR="00AE2761" w:rsidRDefault="00AE2761">
      <w:pPr>
        <w:jc w:val="both"/>
        <w:rPr>
          <w:rFonts w:ascii="Lato" w:eastAsia="Arial" w:hAnsi="Lato" w:cs="Tahoma"/>
          <w:b/>
          <w:snapToGrid w:val="0"/>
          <w:color w:val="auto"/>
          <w:sz w:val="22"/>
          <w:szCs w:val="22"/>
        </w:rPr>
      </w:pPr>
    </w:p>
    <w:p w:rsidR="001D1339" w:rsidRPr="00EC0A0D" w:rsidRDefault="00DB7F4F">
      <w:pPr>
        <w:jc w:val="both"/>
        <w:rPr>
          <w:rFonts w:ascii="Lato" w:hAnsi="Lato" w:cs="Tahoma"/>
          <w:snapToGrid w:val="0"/>
          <w:color w:val="auto"/>
          <w:sz w:val="22"/>
          <w:szCs w:val="22"/>
        </w:rPr>
      </w:pPr>
      <w:r w:rsidRPr="00EC0A0D">
        <w:rPr>
          <w:rFonts w:ascii="Lato" w:eastAsia="Arial" w:hAnsi="Lato" w:cs="Tahoma"/>
          <w:b/>
          <w:snapToGrid w:val="0"/>
          <w:color w:val="auto"/>
          <w:sz w:val="22"/>
          <w:szCs w:val="22"/>
        </w:rPr>
        <w:t>Sustainability and scalability</w:t>
      </w:r>
    </w:p>
    <w:p w:rsidR="001D1339" w:rsidRPr="00EC0A0D" w:rsidRDefault="001D1339">
      <w:pPr>
        <w:ind w:leftChars="209" w:left="418"/>
        <w:rPr>
          <w:rFonts w:ascii="Lato" w:eastAsia="MyriadPro-Bold" w:hAnsi="Lato" w:cs="Tahoma"/>
          <w:b/>
          <w:color w:val="auto"/>
          <w:sz w:val="22"/>
          <w:szCs w:val="22"/>
          <w:lang w:val="en-US"/>
        </w:rPr>
      </w:pPr>
    </w:p>
    <w:p w:rsidR="001D1339" w:rsidRPr="00EC0A0D" w:rsidRDefault="00DB7F4F">
      <w:pPr>
        <w:numPr>
          <w:ilvl w:val="0"/>
          <w:numId w:val="2"/>
        </w:numPr>
        <w:rPr>
          <w:rFonts w:ascii="Lato" w:eastAsia="MyriadPro-Regular" w:hAnsi="Lato" w:cs="Tahoma"/>
          <w:sz w:val="22"/>
          <w:szCs w:val="22"/>
          <w:lang w:val="en-US"/>
        </w:rPr>
      </w:pPr>
      <w:r w:rsidRPr="00EC0A0D">
        <w:rPr>
          <w:rFonts w:ascii="Lato" w:eastAsia="MyriadPro-Regular" w:hAnsi="Lato" w:cs="Tahoma"/>
          <w:sz w:val="22"/>
          <w:szCs w:val="22"/>
          <w:lang w:val="en-US"/>
        </w:rPr>
        <w:t xml:space="preserve">CERC will advocate at all levels and sectors of the government in order to raise awareness across all government bodies to help </w:t>
      </w:r>
      <w:bookmarkStart w:id="11" w:name="OLE_LINK6"/>
      <w:r w:rsidRPr="00EC0A0D">
        <w:rPr>
          <w:rFonts w:ascii="Lato" w:eastAsia="MyriadPro-Regular" w:hAnsi="Lato" w:cs="Tahoma"/>
          <w:sz w:val="22"/>
          <w:szCs w:val="22"/>
          <w:lang w:val="en-US"/>
        </w:rPr>
        <w:t>to ensure that Integrity education well integrated in education curriculum and Integrity Clubs be recognised as national integrity education policy.</w:t>
      </w:r>
      <w:bookmarkEnd w:id="11"/>
    </w:p>
    <w:p w:rsidR="001D1339" w:rsidRPr="00EC0A0D" w:rsidRDefault="001D1339">
      <w:pPr>
        <w:rPr>
          <w:rFonts w:ascii="Lato" w:eastAsia="MyriadPro-Regular" w:hAnsi="Lato" w:cs="Tahoma"/>
          <w:sz w:val="22"/>
          <w:szCs w:val="22"/>
          <w:lang w:val="en-US"/>
        </w:rPr>
      </w:pPr>
    </w:p>
    <w:p w:rsidR="001D1339" w:rsidRPr="00EC0A0D" w:rsidRDefault="00DB7F4F">
      <w:pPr>
        <w:numPr>
          <w:ilvl w:val="0"/>
          <w:numId w:val="2"/>
        </w:numPr>
        <w:rPr>
          <w:rFonts w:ascii="Lato" w:eastAsia="MyriadPro-Regular" w:hAnsi="Lato" w:cs="Tahoma"/>
          <w:sz w:val="22"/>
          <w:szCs w:val="22"/>
          <w:lang w:val="en-US"/>
        </w:rPr>
      </w:pPr>
      <w:r w:rsidRPr="00EC0A0D">
        <w:rPr>
          <w:rFonts w:ascii="Lato" w:eastAsia="MyriadPro-Regular" w:hAnsi="Lato" w:cs="Tahoma"/>
          <w:sz w:val="22"/>
          <w:szCs w:val="22"/>
          <w:lang w:val="en-US"/>
        </w:rPr>
        <w:t xml:space="preserve">CERC will continue to work closely with Integrity Clubs from capacity development of youth monitors, to advocacy. </w:t>
      </w:r>
    </w:p>
    <w:p w:rsidR="001D1339" w:rsidRPr="00EC0A0D" w:rsidRDefault="001D1339">
      <w:pPr>
        <w:ind w:leftChars="209" w:left="418"/>
        <w:rPr>
          <w:rFonts w:ascii="Lato" w:eastAsia="MyriadPro-Regular" w:hAnsi="Lato" w:cs="Tahoma"/>
          <w:sz w:val="22"/>
          <w:szCs w:val="22"/>
          <w:lang w:val="en-US"/>
        </w:rPr>
      </w:pPr>
    </w:p>
    <w:p w:rsidR="001D1339" w:rsidRPr="00EC0A0D" w:rsidRDefault="00DB7F4F">
      <w:pPr>
        <w:numPr>
          <w:ilvl w:val="0"/>
          <w:numId w:val="3"/>
        </w:numPr>
        <w:rPr>
          <w:rFonts w:ascii="Lato" w:eastAsia="MyriadPro-Regular" w:hAnsi="Lato" w:cs="Tahoma"/>
          <w:sz w:val="22"/>
          <w:szCs w:val="22"/>
          <w:lang w:val="en-US"/>
        </w:rPr>
      </w:pPr>
      <w:r w:rsidRPr="00EC0A0D">
        <w:rPr>
          <w:rFonts w:ascii="Lato" w:eastAsia="MyriadPro-Regular" w:hAnsi="Lato" w:cs="Tahoma"/>
          <w:sz w:val="22"/>
          <w:szCs w:val="22"/>
          <w:lang w:val="en-US"/>
        </w:rPr>
        <w:t xml:space="preserve">CERC will develop partnerships with, international and regional organizations and development partners in order to advocate on youth development issues, and promote cooperation with regard to youth mainstreaming and advocacy, policy development, technical and programmatic partnerships and information knowledge management, and impact assessment. </w:t>
      </w:r>
    </w:p>
    <w:p w:rsidR="001D1339" w:rsidRPr="00EC0A0D" w:rsidRDefault="001D1339">
      <w:pPr>
        <w:rPr>
          <w:rFonts w:ascii="Lato" w:eastAsia="MyriadPro-Regular" w:hAnsi="Lato" w:cs="Tahoma"/>
          <w:sz w:val="22"/>
          <w:szCs w:val="22"/>
          <w:lang w:val="en-US"/>
        </w:rPr>
      </w:pPr>
    </w:p>
    <w:p w:rsidR="001D1339" w:rsidRPr="00EC0A0D" w:rsidRDefault="001D1339">
      <w:pPr>
        <w:jc w:val="both"/>
        <w:rPr>
          <w:rFonts w:ascii="Lato" w:hAnsi="Lato" w:cs="Tahoma"/>
          <w:snapToGrid w:val="0"/>
          <w:color w:val="auto"/>
          <w:sz w:val="22"/>
          <w:szCs w:val="22"/>
          <w:lang w:val="en-US"/>
        </w:rPr>
      </w:pPr>
    </w:p>
    <w:p w:rsidR="001D1339" w:rsidRPr="00EC0A0D" w:rsidRDefault="001D1339">
      <w:pPr>
        <w:jc w:val="both"/>
        <w:rPr>
          <w:rFonts w:ascii="Lato" w:hAnsi="Lato" w:cs="Tahoma"/>
          <w:snapToGrid w:val="0"/>
          <w:color w:val="auto"/>
          <w:sz w:val="22"/>
          <w:szCs w:val="22"/>
          <w:lang w:val="en-US"/>
        </w:rPr>
      </w:pPr>
    </w:p>
    <w:p w:rsidR="001D1339" w:rsidRPr="00EC0A0D" w:rsidRDefault="00DB7F4F">
      <w:pPr>
        <w:jc w:val="both"/>
        <w:rPr>
          <w:rFonts w:ascii="Lato" w:hAnsi="Lato" w:cs="Tahoma"/>
          <w:snapToGrid w:val="0"/>
          <w:color w:val="auto"/>
          <w:sz w:val="22"/>
          <w:szCs w:val="22"/>
          <w:lang w:val="en-US"/>
        </w:rPr>
      </w:pPr>
      <w:r w:rsidRPr="00EC0A0D">
        <w:rPr>
          <w:rFonts w:ascii="Lato" w:eastAsia="Arial" w:hAnsi="Lato" w:cs="Tahoma"/>
          <w:b/>
          <w:snapToGrid w:val="0"/>
          <w:color w:val="auto"/>
          <w:sz w:val="22"/>
          <w:szCs w:val="22"/>
          <w:lang w:val="en-US"/>
        </w:rPr>
        <w:t>Gender Analysis</w:t>
      </w:r>
    </w:p>
    <w:p w:rsidR="001D1339" w:rsidRPr="00EC0A0D" w:rsidRDefault="001D1339">
      <w:pPr>
        <w:jc w:val="both"/>
        <w:rPr>
          <w:rFonts w:ascii="Lato" w:eastAsia="DINPro-Regular" w:hAnsi="Lato" w:cs="Tahoma"/>
          <w:color w:val="auto"/>
          <w:sz w:val="22"/>
          <w:szCs w:val="22"/>
          <w:lang w:val="en-US"/>
        </w:rPr>
      </w:pPr>
    </w:p>
    <w:p w:rsidR="001D1339" w:rsidRPr="00EC0A0D" w:rsidRDefault="00DB7F4F">
      <w:pPr>
        <w:jc w:val="both"/>
        <w:rPr>
          <w:rFonts w:ascii="Lato" w:eastAsia="Arial" w:hAnsi="Lato" w:cs="Tahoma"/>
          <w:snapToGrid w:val="0"/>
          <w:color w:val="auto"/>
          <w:sz w:val="22"/>
          <w:szCs w:val="22"/>
          <w:lang w:val="en-US"/>
        </w:rPr>
      </w:pPr>
      <w:bookmarkStart w:id="12" w:name="OLE_LINK13"/>
      <w:r w:rsidRPr="00EC0A0D">
        <w:rPr>
          <w:rFonts w:ascii="Lato" w:eastAsia="MyriadPro-Regular" w:hAnsi="Lato" w:cs="Tahoma"/>
          <w:sz w:val="22"/>
          <w:szCs w:val="22"/>
          <w:lang w:val="en-US"/>
        </w:rPr>
        <w:t>Girls and young women continue to face multiple and interlocking forms of discrimination in Democratic Republic of the Congo, leaving them often among the most marginalized, vulnerable and hard-to-reach young people. Investing in girls and young women is particularly important, in all expected result of this project. Major development indicators demonstrates that unleashing the potential of girls and young women is an effective tool to address poverty, improve health and sanitation and reduce violence in communities.</w:t>
      </w:r>
    </w:p>
    <w:p w:rsidR="001D1339" w:rsidRPr="00EC0A0D" w:rsidRDefault="001D1339">
      <w:pPr>
        <w:jc w:val="both"/>
        <w:rPr>
          <w:rFonts w:ascii="Lato" w:eastAsia="DINPro-Regular" w:hAnsi="Lato" w:cs="Tahoma"/>
          <w:color w:val="auto"/>
          <w:sz w:val="22"/>
          <w:szCs w:val="22"/>
          <w:lang w:val="en-US"/>
        </w:rPr>
      </w:pPr>
    </w:p>
    <w:p w:rsidR="001D1339" w:rsidRPr="00EC0A0D" w:rsidRDefault="00DB7F4F">
      <w:pPr>
        <w:jc w:val="both"/>
        <w:rPr>
          <w:rFonts w:ascii="Lato" w:hAnsi="Lato" w:cs="Tahoma"/>
          <w:sz w:val="22"/>
          <w:szCs w:val="22"/>
          <w:lang w:val="en-US"/>
        </w:rPr>
      </w:pPr>
      <w:r w:rsidRPr="00EC0A0D">
        <w:rPr>
          <w:rFonts w:ascii="Lato" w:hAnsi="Lato" w:cs="Tahoma"/>
          <w:sz w:val="22"/>
          <w:szCs w:val="22"/>
          <w:lang w:val="en-US"/>
        </w:rPr>
        <w:t xml:space="preserve">Emphasis will be continually put on teachers training topics relating to both gender and equity and community participation activities in order to improve the school environment for girls. Specific gender activities to be implemented will be focused on Gender sensitivity and equity training among community members.  It is important to note that gender and equity issues will be also included in every type of training or youth monitoring. </w:t>
      </w:r>
    </w:p>
    <w:p w:rsidR="001D1339" w:rsidRPr="00EC0A0D" w:rsidRDefault="001D1339">
      <w:pPr>
        <w:jc w:val="both"/>
        <w:rPr>
          <w:rFonts w:ascii="Lato" w:hAnsi="Lato" w:cs="Tahoma"/>
          <w:sz w:val="22"/>
          <w:szCs w:val="22"/>
          <w:lang w:val="en-US"/>
        </w:rPr>
      </w:pPr>
    </w:p>
    <w:p w:rsidR="001D1339" w:rsidRPr="00EC0A0D" w:rsidRDefault="00DB7F4F">
      <w:pPr>
        <w:jc w:val="both"/>
        <w:rPr>
          <w:rFonts w:ascii="Lato" w:eastAsia="DINPro-Regular" w:hAnsi="Lato" w:cs="Tahoma"/>
          <w:color w:val="auto"/>
          <w:sz w:val="22"/>
          <w:szCs w:val="22"/>
          <w:lang w:val="en-US"/>
        </w:rPr>
      </w:pPr>
      <w:r w:rsidRPr="00EC0A0D">
        <w:rPr>
          <w:rFonts w:ascii="Lato" w:eastAsia="DINPro-Regular" w:hAnsi="Lato" w:cs="Tahoma"/>
          <w:color w:val="auto"/>
          <w:sz w:val="22"/>
          <w:szCs w:val="22"/>
          <w:lang w:val="en-US"/>
        </w:rPr>
        <w:t>However, we will continue to complement the gender mainstreaming strategy with targeted interventions to promote gender equality and the empowerment of women, especially where there are flagrant cases of persistent discrimination against women and Inequalities between women and men in our target communities.</w:t>
      </w:r>
    </w:p>
    <w:p w:rsidR="001D1339" w:rsidRPr="00EC0A0D" w:rsidRDefault="001D1339">
      <w:pPr>
        <w:jc w:val="both"/>
        <w:rPr>
          <w:rFonts w:ascii="Lato" w:eastAsia="DINPro-Regular" w:hAnsi="Lato" w:cs="Tahoma"/>
          <w:color w:val="auto"/>
          <w:sz w:val="22"/>
          <w:szCs w:val="22"/>
          <w:lang w:val="en-US"/>
        </w:rPr>
      </w:pPr>
    </w:p>
    <w:bookmarkEnd w:id="12"/>
    <w:p w:rsidR="001D1339" w:rsidRPr="00EC0A0D" w:rsidRDefault="001D1339">
      <w:pPr>
        <w:jc w:val="both"/>
        <w:rPr>
          <w:rFonts w:ascii="Lato" w:eastAsia="Arial" w:hAnsi="Lato" w:cs="Tahoma"/>
          <w:b/>
          <w:snapToGrid w:val="0"/>
          <w:color w:val="auto"/>
          <w:sz w:val="22"/>
          <w:szCs w:val="22"/>
          <w:lang w:val="en-US"/>
        </w:rPr>
      </w:pPr>
    </w:p>
    <w:p w:rsidR="001D1339" w:rsidRPr="00EC0A0D" w:rsidRDefault="001D1339">
      <w:pPr>
        <w:jc w:val="both"/>
        <w:rPr>
          <w:rFonts w:ascii="Lato" w:eastAsia="Arial" w:hAnsi="Lato" w:cs="Tahoma"/>
          <w:b/>
          <w:snapToGrid w:val="0"/>
          <w:color w:val="auto"/>
          <w:sz w:val="22"/>
          <w:szCs w:val="22"/>
          <w:lang w:val="en-US"/>
        </w:rPr>
      </w:pPr>
    </w:p>
    <w:p w:rsidR="001D1339" w:rsidRPr="00EC0A0D" w:rsidRDefault="00DB7F4F">
      <w:pPr>
        <w:jc w:val="both"/>
        <w:rPr>
          <w:rFonts w:ascii="Lato" w:hAnsi="Lato" w:cs="Tahoma"/>
          <w:snapToGrid w:val="0"/>
          <w:color w:val="auto"/>
          <w:sz w:val="22"/>
          <w:szCs w:val="22"/>
          <w:lang w:val="en-US"/>
        </w:rPr>
      </w:pPr>
      <w:r w:rsidRPr="00EC0A0D">
        <w:rPr>
          <w:rFonts w:ascii="Lato" w:eastAsia="Arial" w:hAnsi="Lato" w:cs="Tahoma"/>
          <w:b/>
          <w:snapToGrid w:val="0"/>
          <w:color w:val="auto"/>
          <w:sz w:val="22"/>
          <w:szCs w:val="22"/>
          <w:lang w:val="en-US"/>
        </w:rPr>
        <w:t>Inclusion of marginalised groups</w:t>
      </w:r>
    </w:p>
    <w:p w:rsidR="001D1339" w:rsidRPr="00EC0A0D" w:rsidRDefault="001D1339">
      <w:pPr>
        <w:jc w:val="both"/>
        <w:rPr>
          <w:rFonts w:ascii="Lato" w:eastAsia="Arial" w:hAnsi="Lato" w:cs="Tahoma"/>
          <w:snapToGrid w:val="0"/>
          <w:color w:val="auto"/>
          <w:sz w:val="22"/>
          <w:szCs w:val="22"/>
          <w:lang w:val="en-US"/>
        </w:rPr>
      </w:pPr>
    </w:p>
    <w:p w:rsidR="001D1339" w:rsidRPr="00EC0A0D" w:rsidRDefault="00DB7F4F">
      <w:pPr>
        <w:rPr>
          <w:rFonts w:ascii="Lato" w:eastAsia="MyriadPro-Regular" w:hAnsi="Lato" w:cs="Tahoma"/>
          <w:sz w:val="22"/>
          <w:szCs w:val="22"/>
          <w:lang w:val="en-US"/>
        </w:rPr>
      </w:pPr>
      <w:r w:rsidRPr="00EC0A0D">
        <w:rPr>
          <w:rFonts w:ascii="Lato" w:eastAsia="MyriadPro-Regular" w:hAnsi="Lato" w:cs="Tahoma"/>
          <w:sz w:val="22"/>
          <w:szCs w:val="22"/>
          <w:lang w:val="en-US"/>
        </w:rPr>
        <w:t>People living with disabilities and minority communities face a broader range of obstacles preventing them to actively engage in the public sphere. CERC will ensure that youth from marginalised groups are integrated in all programmes phases and accepted as partners in decision-making and invited to express their views.</w:t>
      </w:r>
    </w:p>
    <w:p w:rsidR="001D1339" w:rsidRPr="00EC0A0D" w:rsidRDefault="001D1339">
      <w:pPr>
        <w:rPr>
          <w:rFonts w:ascii="Lato" w:eastAsia="MyriadPro-Regular" w:hAnsi="Lato" w:cs="Tahoma"/>
          <w:sz w:val="22"/>
          <w:szCs w:val="22"/>
          <w:lang w:val="en-US"/>
        </w:rPr>
      </w:pPr>
    </w:p>
    <w:sectPr w:rsidR="001D1339" w:rsidRPr="00EC0A0D">
      <w:headerReference w:type="default" r:id="rId8"/>
      <w:footerReference w:type="default" r:id="rId9"/>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E1B" w:rsidRDefault="00340E1B">
      <w:r>
        <w:separator/>
      </w:r>
    </w:p>
  </w:endnote>
  <w:endnote w:type="continuationSeparator" w:id="0">
    <w:p w:rsidR="00340E1B" w:rsidRDefault="0034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Print"/>
    <w:charset w:val="00"/>
    <w:family w:val="auto"/>
    <w:pitch w:val="default"/>
  </w:font>
  <w:font w:name="Helvetica Neue">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ourcesanspro-regular-webfont">
    <w:altName w:val="Segoe Print"/>
    <w:charset w:val="00"/>
    <w:family w:val="auto"/>
    <w:pitch w:val="default"/>
  </w:font>
  <w:font w:name="Roboto Slab">
    <w:panose1 w:val="00000000000000000000"/>
    <w:charset w:val="00"/>
    <w:family w:val="auto"/>
    <w:pitch w:val="variable"/>
    <w:sig w:usb0="E00002FF" w:usb1="5000205B" w:usb2="00000020" w:usb3="00000000" w:csb0="0000019F" w:csb1="00000000"/>
  </w:font>
  <w:font w:name="MyriadPro-Regular">
    <w:altName w:val="Segoe Print"/>
    <w:charset w:val="00"/>
    <w:family w:val="swiss"/>
    <w:pitch w:val="default"/>
    <w:sig w:usb0="00000000" w:usb1="00000000" w:usb2="00000000" w:usb3="00000000" w:csb0="00000001" w:csb1="00000000"/>
  </w:font>
  <w:font w:name="ArialMT">
    <w:altName w:val="Segoe Print"/>
    <w:charset w:val="00"/>
    <w:family w:val="swiss"/>
    <w:pitch w:val="default"/>
    <w:sig w:usb0="00000000" w:usb1="00000000" w:usb2="00000000" w:usb3="00000000" w:csb0="00000001" w:csb1="00000000"/>
  </w:font>
  <w:font w:name="MyriadPro-Bold">
    <w:altName w:val="Segoe Print"/>
    <w:charset w:val="00"/>
    <w:family w:val="swiss"/>
    <w:pitch w:val="default"/>
    <w:sig w:usb0="00000000" w:usb1="00000000" w:usb2="00000000" w:usb3="00000000" w:csb0="00000001" w:csb1="00000000"/>
  </w:font>
  <w:font w:name="DINPro-Regular">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39" w:rsidRDefault="00DB7F4F">
    <w:pPr>
      <w:tabs>
        <w:tab w:val="center" w:pos="4680"/>
        <w:tab w:val="right" w:pos="9360"/>
      </w:tabs>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PAGE</w:instrText>
    </w:r>
    <w:r>
      <w:rPr>
        <w:rFonts w:ascii="Arial" w:hAnsi="Arial" w:cs="Arial"/>
        <w:b/>
        <w:bCs/>
        <w:sz w:val="22"/>
        <w:szCs w:val="22"/>
      </w:rPr>
      <w:fldChar w:fldCharType="separate"/>
    </w:r>
    <w:r w:rsidR="00BD1F38">
      <w:rPr>
        <w:rFonts w:ascii="Arial" w:hAnsi="Arial" w:cs="Arial"/>
        <w:b/>
        <w:bCs/>
        <w:noProof/>
        <w:sz w:val="22"/>
        <w:szCs w:val="22"/>
      </w:rPr>
      <w:t>4</w:t>
    </w:r>
    <w:r>
      <w:rPr>
        <w:rFonts w:ascii="Arial" w:hAnsi="Arial" w:cs="Arial"/>
        <w:b/>
        <w:bCs/>
        <w:sz w:val="22"/>
        <w:szCs w:val="22"/>
      </w:rPr>
      <w:fldChar w:fldCharType="end"/>
    </w:r>
  </w:p>
  <w:p w:rsidR="001D1339" w:rsidRDefault="001D1339">
    <w:pPr>
      <w:tabs>
        <w:tab w:val="center" w:pos="4680"/>
        <w:tab w:val="right" w:pos="9360"/>
      </w:tabs>
      <w:spacing w:after="720"/>
      <w:ind w:right="360"/>
      <w:rPr>
        <w:rFonts w:ascii="Arial" w:hAnsi="Arial" w:cs="Arial"/>
        <w:b/>
        <w:b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E1B" w:rsidRDefault="00340E1B">
      <w:r>
        <w:separator/>
      </w:r>
    </w:p>
  </w:footnote>
  <w:footnote w:type="continuationSeparator" w:id="0">
    <w:p w:rsidR="00340E1B" w:rsidRDefault="0034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39" w:rsidRDefault="00DB7F4F">
    <w:r>
      <w:rPr>
        <w:sz w:val="24"/>
        <w:szCs w:val="24"/>
      </w:rPr>
      <w:tab/>
    </w:r>
    <w:r>
      <w:rPr>
        <w:sz w:val="24"/>
        <w:szCs w:val="24"/>
      </w:rPr>
      <w:tab/>
    </w:r>
  </w:p>
  <w:p w:rsidR="001D1339" w:rsidRDefault="001D1339"/>
  <w:p w:rsidR="001D1339" w:rsidRDefault="001D13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C6A1B"/>
    <w:multiLevelType w:val="multilevel"/>
    <w:tmpl w:val="112C6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93FF0C5"/>
    <w:multiLevelType w:val="singleLevel"/>
    <w:tmpl w:val="593FF0C5"/>
    <w:lvl w:ilvl="0">
      <w:start w:val="1"/>
      <w:numFmt w:val="bullet"/>
      <w:lvlText w:val=""/>
      <w:lvlJc w:val="left"/>
      <w:pPr>
        <w:ind w:left="420" w:hanging="420"/>
      </w:pPr>
      <w:rPr>
        <w:rFonts w:ascii="Wingdings" w:hAnsi="Wingdings" w:hint="default"/>
      </w:rPr>
    </w:lvl>
  </w:abstractNum>
  <w:abstractNum w:abstractNumId="2">
    <w:nsid w:val="593FF177"/>
    <w:multiLevelType w:val="singleLevel"/>
    <w:tmpl w:val="593FF177"/>
    <w:lvl w:ilvl="0">
      <w:start w:val="1"/>
      <w:numFmt w:val="bullet"/>
      <w:lvlText w:val=""/>
      <w:lvlJc w:val="left"/>
      <w:pPr>
        <w:ind w:left="420" w:hanging="420"/>
      </w:pPr>
      <w:rPr>
        <w:rFonts w:ascii="Wingdings" w:hAnsi="Wingdings" w:hint="default"/>
      </w:rPr>
    </w:lvl>
  </w:abstractNum>
  <w:abstractNum w:abstractNumId="3">
    <w:nsid w:val="594375B6"/>
    <w:multiLevelType w:val="singleLevel"/>
    <w:tmpl w:val="594375B6"/>
    <w:lvl w:ilvl="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62F3"/>
    <w:rsid w:val="00047BFF"/>
    <w:rsid w:val="00074923"/>
    <w:rsid w:val="00075B46"/>
    <w:rsid w:val="001669E2"/>
    <w:rsid w:val="00172A27"/>
    <w:rsid w:val="001C6B0D"/>
    <w:rsid w:val="001D1339"/>
    <w:rsid w:val="00201109"/>
    <w:rsid w:val="00206D7B"/>
    <w:rsid w:val="00257B0D"/>
    <w:rsid w:val="002A68E6"/>
    <w:rsid w:val="0032672D"/>
    <w:rsid w:val="00340E1B"/>
    <w:rsid w:val="003A23CF"/>
    <w:rsid w:val="003D519C"/>
    <w:rsid w:val="003E792E"/>
    <w:rsid w:val="003F715C"/>
    <w:rsid w:val="00400468"/>
    <w:rsid w:val="004176DE"/>
    <w:rsid w:val="004474A0"/>
    <w:rsid w:val="00452FAB"/>
    <w:rsid w:val="0047525B"/>
    <w:rsid w:val="004E3BE9"/>
    <w:rsid w:val="004F6AA2"/>
    <w:rsid w:val="0051170A"/>
    <w:rsid w:val="00524BEB"/>
    <w:rsid w:val="00562929"/>
    <w:rsid w:val="005A4020"/>
    <w:rsid w:val="005C7CA5"/>
    <w:rsid w:val="005F2051"/>
    <w:rsid w:val="00616D75"/>
    <w:rsid w:val="0069118C"/>
    <w:rsid w:val="00745B84"/>
    <w:rsid w:val="00747D19"/>
    <w:rsid w:val="0077290A"/>
    <w:rsid w:val="007C54D3"/>
    <w:rsid w:val="007D7562"/>
    <w:rsid w:val="007F5655"/>
    <w:rsid w:val="008132A7"/>
    <w:rsid w:val="00826ECE"/>
    <w:rsid w:val="00860845"/>
    <w:rsid w:val="00952EBA"/>
    <w:rsid w:val="00960004"/>
    <w:rsid w:val="00995058"/>
    <w:rsid w:val="00A12405"/>
    <w:rsid w:val="00A47C79"/>
    <w:rsid w:val="00AE2761"/>
    <w:rsid w:val="00B02AA3"/>
    <w:rsid w:val="00B60A50"/>
    <w:rsid w:val="00BC3C42"/>
    <w:rsid w:val="00BC556E"/>
    <w:rsid w:val="00BD1F38"/>
    <w:rsid w:val="00BE7406"/>
    <w:rsid w:val="00C036DD"/>
    <w:rsid w:val="00D137C5"/>
    <w:rsid w:val="00D25150"/>
    <w:rsid w:val="00D40E62"/>
    <w:rsid w:val="00DB7F4F"/>
    <w:rsid w:val="00E22A2A"/>
    <w:rsid w:val="00E374B0"/>
    <w:rsid w:val="00EA725F"/>
    <w:rsid w:val="00EB12A9"/>
    <w:rsid w:val="00EB357A"/>
    <w:rsid w:val="00EC0A0D"/>
    <w:rsid w:val="00EE2BD3"/>
    <w:rsid w:val="00EE3E1C"/>
    <w:rsid w:val="00F51E62"/>
    <w:rsid w:val="00FA5A4C"/>
    <w:rsid w:val="00FD4374"/>
    <w:rsid w:val="01304C01"/>
    <w:rsid w:val="01600D10"/>
    <w:rsid w:val="018018BE"/>
    <w:rsid w:val="01B508D4"/>
    <w:rsid w:val="01E62B23"/>
    <w:rsid w:val="01FB6598"/>
    <w:rsid w:val="020E456B"/>
    <w:rsid w:val="024B34C9"/>
    <w:rsid w:val="029105F7"/>
    <w:rsid w:val="02A61B10"/>
    <w:rsid w:val="02C762EF"/>
    <w:rsid w:val="02D074A3"/>
    <w:rsid w:val="02D40875"/>
    <w:rsid w:val="02DD59ED"/>
    <w:rsid w:val="02FD68BD"/>
    <w:rsid w:val="03255FCB"/>
    <w:rsid w:val="03720FF7"/>
    <w:rsid w:val="03793155"/>
    <w:rsid w:val="03E5234E"/>
    <w:rsid w:val="03F857C3"/>
    <w:rsid w:val="04287AD9"/>
    <w:rsid w:val="04655CDE"/>
    <w:rsid w:val="046C0C79"/>
    <w:rsid w:val="04771CB0"/>
    <w:rsid w:val="04821A1E"/>
    <w:rsid w:val="04BF76FD"/>
    <w:rsid w:val="04C75A7F"/>
    <w:rsid w:val="04D44A87"/>
    <w:rsid w:val="04E519AA"/>
    <w:rsid w:val="05A63AB5"/>
    <w:rsid w:val="05AA3BF5"/>
    <w:rsid w:val="05CC14CE"/>
    <w:rsid w:val="05E5413F"/>
    <w:rsid w:val="05F37F38"/>
    <w:rsid w:val="06087A91"/>
    <w:rsid w:val="065C7A0E"/>
    <w:rsid w:val="065E0D99"/>
    <w:rsid w:val="06C818D5"/>
    <w:rsid w:val="06CA1929"/>
    <w:rsid w:val="06DE6A18"/>
    <w:rsid w:val="06EF1E3D"/>
    <w:rsid w:val="07451C83"/>
    <w:rsid w:val="077C6BDB"/>
    <w:rsid w:val="07924530"/>
    <w:rsid w:val="07B93E06"/>
    <w:rsid w:val="07C63087"/>
    <w:rsid w:val="07F40742"/>
    <w:rsid w:val="07F73C88"/>
    <w:rsid w:val="0806683F"/>
    <w:rsid w:val="08121170"/>
    <w:rsid w:val="081E1819"/>
    <w:rsid w:val="083614AC"/>
    <w:rsid w:val="084B3880"/>
    <w:rsid w:val="084C22FB"/>
    <w:rsid w:val="08AC1E7D"/>
    <w:rsid w:val="08B45302"/>
    <w:rsid w:val="08D85738"/>
    <w:rsid w:val="08E57507"/>
    <w:rsid w:val="08ED6D7C"/>
    <w:rsid w:val="091B2A8D"/>
    <w:rsid w:val="09266B47"/>
    <w:rsid w:val="09287AD9"/>
    <w:rsid w:val="095B7E82"/>
    <w:rsid w:val="095E245E"/>
    <w:rsid w:val="09642E8D"/>
    <w:rsid w:val="096C019E"/>
    <w:rsid w:val="096E2A35"/>
    <w:rsid w:val="09766CEE"/>
    <w:rsid w:val="09866813"/>
    <w:rsid w:val="09AF2C5B"/>
    <w:rsid w:val="0A544705"/>
    <w:rsid w:val="0A6E7BA5"/>
    <w:rsid w:val="0A966B39"/>
    <w:rsid w:val="0AA2586E"/>
    <w:rsid w:val="0AB47E33"/>
    <w:rsid w:val="0ABB717B"/>
    <w:rsid w:val="0ABF0C79"/>
    <w:rsid w:val="0B3D3DD2"/>
    <w:rsid w:val="0B990C48"/>
    <w:rsid w:val="0BAA5EE9"/>
    <w:rsid w:val="0BD96071"/>
    <w:rsid w:val="0BF268E3"/>
    <w:rsid w:val="0C356D09"/>
    <w:rsid w:val="0C394D7E"/>
    <w:rsid w:val="0C4717EC"/>
    <w:rsid w:val="0CAD33DC"/>
    <w:rsid w:val="0CAD5B82"/>
    <w:rsid w:val="0CB91294"/>
    <w:rsid w:val="0CBF1941"/>
    <w:rsid w:val="0CDE1720"/>
    <w:rsid w:val="0CE961D1"/>
    <w:rsid w:val="0D180DED"/>
    <w:rsid w:val="0D1B143A"/>
    <w:rsid w:val="0D3A6F9F"/>
    <w:rsid w:val="0D435DCE"/>
    <w:rsid w:val="0D5E0871"/>
    <w:rsid w:val="0D655285"/>
    <w:rsid w:val="0D6B5E04"/>
    <w:rsid w:val="0E3F0FEB"/>
    <w:rsid w:val="0E645717"/>
    <w:rsid w:val="0E6E1708"/>
    <w:rsid w:val="0ECC6316"/>
    <w:rsid w:val="0EE740A4"/>
    <w:rsid w:val="0EF34399"/>
    <w:rsid w:val="0F364419"/>
    <w:rsid w:val="0F3965F3"/>
    <w:rsid w:val="0F64750B"/>
    <w:rsid w:val="0FB46818"/>
    <w:rsid w:val="0FC15A11"/>
    <w:rsid w:val="0FC930E1"/>
    <w:rsid w:val="0FEE38C5"/>
    <w:rsid w:val="100C5AFD"/>
    <w:rsid w:val="10383A7E"/>
    <w:rsid w:val="104B7792"/>
    <w:rsid w:val="10730360"/>
    <w:rsid w:val="107C7809"/>
    <w:rsid w:val="109934E0"/>
    <w:rsid w:val="109938FB"/>
    <w:rsid w:val="10A05DC4"/>
    <w:rsid w:val="10AF4ABC"/>
    <w:rsid w:val="10B87152"/>
    <w:rsid w:val="10BB2397"/>
    <w:rsid w:val="10F773CE"/>
    <w:rsid w:val="113D6616"/>
    <w:rsid w:val="114C55B9"/>
    <w:rsid w:val="11794C7B"/>
    <w:rsid w:val="11A00D2C"/>
    <w:rsid w:val="12077EE3"/>
    <w:rsid w:val="12182164"/>
    <w:rsid w:val="12A32A5D"/>
    <w:rsid w:val="12D27D56"/>
    <w:rsid w:val="12D75F28"/>
    <w:rsid w:val="12EB3883"/>
    <w:rsid w:val="12EF6EE2"/>
    <w:rsid w:val="12F85DFB"/>
    <w:rsid w:val="130F23D4"/>
    <w:rsid w:val="132F790B"/>
    <w:rsid w:val="1336777D"/>
    <w:rsid w:val="1341359B"/>
    <w:rsid w:val="135D6A1D"/>
    <w:rsid w:val="13603039"/>
    <w:rsid w:val="13665C4A"/>
    <w:rsid w:val="13854097"/>
    <w:rsid w:val="1391704B"/>
    <w:rsid w:val="13D76780"/>
    <w:rsid w:val="141B2DCD"/>
    <w:rsid w:val="148B2474"/>
    <w:rsid w:val="14C04718"/>
    <w:rsid w:val="14DF00F3"/>
    <w:rsid w:val="14E63A53"/>
    <w:rsid w:val="14F949AE"/>
    <w:rsid w:val="15172225"/>
    <w:rsid w:val="154C2F34"/>
    <w:rsid w:val="155F2713"/>
    <w:rsid w:val="1575313B"/>
    <w:rsid w:val="157B30D2"/>
    <w:rsid w:val="158C70AD"/>
    <w:rsid w:val="15D571BB"/>
    <w:rsid w:val="15F62BE7"/>
    <w:rsid w:val="161A404E"/>
    <w:rsid w:val="16435F76"/>
    <w:rsid w:val="165B3D40"/>
    <w:rsid w:val="16672519"/>
    <w:rsid w:val="16F87DD5"/>
    <w:rsid w:val="17340812"/>
    <w:rsid w:val="17526B18"/>
    <w:rsid w:val="17605B52"/>
    <w:rsid w:val="178876D4"/>
    <w:rsid w:val="17A341AD"/>
    <w:rsid w:val="17B26A5F"/>
    <w:rsid w:val="17CF545F"/>
    <w:rsid w:val="181C5E99"/>
    <w:rsid w:val="181D6B7B"/>
    <w:rsid w:val="184E7180"/>
    <w:rsid w:val="18E50C39"/>
    <w:rsid w:val="19760A48"/>
    <w:rsid w:val="19C05B33"/>
    <w:rsid w:val="19C25445"/>
    <w:rsid w:val="19C47FB1"/>
    <w:rsid w:val="19C76342"/>
    <w:rsid w:val="19DB250C"/>
    <w:rsid w:val="1A0A012F"/>
    <w:rsid w:val="1A0B7576"/>
    <w:rsid w:val="1A1701BA"/>
    <w:rsid w:val="1A180419"/>
    <w:rsid w:val="1A2E6BA8"/>
    <w:rsid w:val="1A931712"/>
    <w:rsid w:val="1A983638"/>
    <w:rsid w:val="1ACB4051"/>
    <w:rsid w:val="1AD017F9"/>
    <w:rsid w:val="1AD51103"/>
    <w:rsid w:val="1ADC0876"/>
    <w:rsid w:val="1B894A0A"/>
    <w:rsid w:val="1B906135"/>
    <w:rsid w:val="1B9D2067"/>
    <w:rsid w:val="1BA0293D"/>
    <w:rsid w:val="1BD125CB"/>
    <w:rsid w:val="1BE23F52"/>
    <w:rsid w:val="1BE80633"/>
    <w:rsid w:val="1BFB371F"/>
    <w:rsid w:val="1C1044C4"/>
    <w:rsid w:val="1C293555"/>
    <w:rsid w:val="1C59382B"/>
    <w:rsid w:val="1C6D57CD"/>
    <w:rsid w:val="1C712A99"/>
    <w:rsid w:val="1C920B62"/>
    <w:rsid w:val="1C9A41E0"/>
    <w:rsid w:val="1CE72703"/>
    <w:rsid w:val="1D35665E"/>
    <w:rsid w:val="1D470751"/>
    <w:rsid w:val="1DD6311E"/>
    <w:rsid w:val="1DD76D1C"/>
    <w:rsid w:val="1DEA1519"/>
    <w:rsid w:val="1DFB3474"/>
    <w:rsid w:val="1E041E48"/>
    <w:rsid w:val="1E653BF6"/>
    <w:rsid w:val="1E6D7824"/>
    <w:rsid w:val="1E7309C1"/>
    <w:rsid w:val="1ED17950"/>
    <w:rsid w:val="1ED936DD"/>
    <w:rsid w:val="1EEA6AFA"/>
    <w:rsid w:val="1EF6686C"/>
    <w:rsid w:val="1F1571CF"/>
    <w:rsid w:val="1F716599"/>
    <w:rsid w:val="1F9901CF"/>
    <w:rsid w:val="1FCB1069"/>
    <w:rsid w:val="1FD9360B"/>
    <w:rsid w:val="1FF91244"/>
    <w:rsid w:val="20022648"/>
    <w:rsid w:val="2057724D"/>
    <w:rsid w:val="206B50C4"/>
    <w:rsid w:val="207B24A9"/>
    <w:rsid w:val="207D1C98"/>
    <w:rsid w:val="209E64A1"/>
    <w:rsid w:val="20B12714"/>
    <w:rsid w:val="20BB1F01"/>
    <w:rsid w:val="20C068C1"/>
    <w:rsid w:val="20DA3C95"/>
    <w:rsid w:val="20E46984"/>
    <w:rsid w:val="210D359E"/>
    <w:rsid w:val="211157AA"/>
    <w:rsid w:val="211A44F7"/>
    <w:rsid w:val="215A5A99"/>
    <w:rsid w:val="216413AC"/>
    <w:rsid w:val="21654A57"/>
    <w:rsid w:val="216B4B78"/>
    <w:rsid w:val="21854D42"/>
    <w:rsid w:val="21B3469D"/>
    <w:rsid w:val="21E462D9"/>
    <w:rsid w:val="22072198"/>
    <w:rsid w:val="224B746C"/>
    <w:rsid w:val="22527C7C"/>
    <w:rsid w:val="226B1FFA"/>
    <w:rsid w:val="229124BD"/>
    <w:rsid w:val="22A22C5E"/>
    <w:rsid w:val="22A90EED"/>
    <w:rsid w:val="22C631A3"/>
    <w:rsid w:val="22CA1FED"/>
    <w:rsid w:val="230D2AB8"/>
    <w:rsid w:val="23127076"/>
    <w:rsid w:val="23141998"/>
    <w:rsid w:val="23170217"/>
    <w:rsid w:val="23377C94"/>
    <w:rsid w:val="23587BB1"/>
    <w:rsid w:val="235B132F"/>
    <w:rsid w:val="23C27D1D"/>
    <w:rsid w:val="23CB7017"/>
    <w:rsid w:val="241C4078"/>
    <w:rsid w:val="24223D80"/>
    <w:rsid w:val="242C098B"/>
    <w:rsid w:val="24380C45"/>
    <w:rsid w:val="24742CE8"/>
    <w:rsid w:val="248624DD"/>
    <w:rsid w:val="24B95743"/>
    <w:rsid w:val="24E45398"/>
    <w:rsid w:val="25064E43"/>
    <w:rsid w:val="25171417"/>
    <w:rsid w:val="253213CB"/>
    <w:rsid w:val="25336649"/>
    <w:rsid w:val="25427974"/>
    <w:rsid w:val="25682437"/>
    <w:rsid w:val="25BF0C99"/>
    <w:rsid w:val="25DE1AB5"/>
    <w:rsid w:val="26015839"/>
    <w:rsid w:val="26016619"/>
    <w:rsid w:val="261C01A6"/>
    <w:rsid w:val="264469F0"/>
    <w:rsid w:val="2664247B"/>
    <w:rsid w:val="266A6E65"/>
    <w:rsid w:val="26911B1E"/>
    <w:rsid w:val="273648DB"/>
    <w:rsid w:val="274E56B8"/>
    <w:rsid w:val="27591003"/>
    <w:rsid w:val="27780582"/>
    <w:rsid w:val="27AC3200"/>
    <w:rsid w:val="27B35B26"/>
    <w:rsid w:val="27C772D2"/>
    <w:rsid w:val="28092629"/>
    <w:rsid w:val="28187224"/>
    <w:rsid w:val="283A4BA5"/>
    <w:rsid w:val="28470B82"/>
    <w:rsid w:val="28494A14"/>
    <w:rsid w:val="28560654"/>
    <w:rsid w:val="28730CE4"/>
    <w:rsid w:val="28860ABE"/>
    <w:rsid w:val="28A7775C"/>
    <w:rsid w:val="28BE461F"/>
    <w:rsid w:val="28E642A1"/>
    <w:rsid w:val="28F8668A"/>
    <w:rsid w:val="29111C32"/>
    <w:rsid w:val="294F27A3"/>
    <w:rsid w:val="29633591"/>
    <w:rsid w:val="299D6D37"/>
    <w:rsid w:val="29B402D0"/>
    <w:rsid w:val="2A1D57EA"/>
    <w:rsid w:val="2A2B0752"/>
    <w:rsid w:val="2A2F02B9"/>
    <w:rsid w:val="2A5C48CC"/>
    <w:rsid w:val="2A6701A7"/>
    <w:rsid w:val="2A9667C3"/>
    <w:rsid w:val="2A9F5672"/>
    <w:rsid w:val="2ABF563E"/>
    <w:rsid w:val="2ACB6E03"/>
    <w:rsid w:val="2B1831A0"/>
    <w:rsid w:val="2B540B0A"/>
    <w:rsid w:val="2B5B043D"/>
    <w:rsid w:val="2B5B3644"/>
    <w:rsid w:val="2B6D6FAB"/>
    <w:rsid w:val="2B8C3D1A"/>
    <w:rsid w:val="2B9916A5"/>
    <w:rsid w:val="2BC537D3"/>
    <w:rsid w:val="2BC82C36"/>
    <w:rsid w:val="2BCF0F54"/>
    <w:rsid w:val="2C0C54ED"/>
    <w:rsid w:val="2C2A0524"/>
    <w:rsid w:val="2C366539"/>
    <w:rsid w:val="2C9D5F71"/>
    <w:rsid w:val="2CA754C9"/>
    <w:rsid w:val="2CB37DAF"/>
    <w:rsid w:val="2CBC75DA"/>
    <w:rsid w:val="2D131A86"/>
    <w:rsid w:val="2D16115B"/>
    <w:rsid w:val="2D183912"/>
    <w:rsid w:val="2D40581F"/>
    <w:rsid w:val="2DF10A9E"/>
    <w:rsid w:val="2DF927E0"/>
    <w:rsid w:val="2DF9594A"/>
    <w:rsid w:val="2E1F55D9"/>
    <w:rsid w:val="2E4F7290"/>
    <w:rsid w:val="2EE27493"/>
    <w:rsid w:val="2F0B2E03"/>
    <w:rsid w:val="2F0C44C4"/>
    <w:rsid w:val="2F0E6750"/>
    <w:rsid w:val="2F223FEE"/>
    <w:rsid w:val="2F296C76"/>
    <w:rsid w:val="2F475A74"/>
    <w:rsid w:val="2F770259"/>
    <w:rsid w:val="2F802F19"/>
    <w:rsid w:val="2FEB638A"/>
    <w:rsid w:val="2FF80590"/>
    <w:rsid w:val="303620F9"/>
    <w:rsid w:val="303C6C98"/>
    <w:rsid w:val="304A6967"/>
    <w:rsid w:val="304C4CDC"/>
    <w:rsid w:val="3068189D"/>
    <w:rsid w:val="306E38E4"/>
    <w:rsid w:val="309604F0"/>
    <w:rsid w:val="30D230CF"/>
    <w:rsid w:val="30DA1EF6"/>
    <w:rsid w:val="30E073C4"/>
    <w:rsid w:val="30E3615F"/>
    <w:rsid w:val="30E93E94"/>
    <w:rsid w:val="31653A9C"/>
    <w:rsid w:val="317A53F0"/>
    <w:rsid w:val="3184380C"/>
    <w:rsid w:val="31877AD3"/>
    <w:rsid w:val="31B5224F"/>
    <w:rsid w:val="31BA71C7"/>
    <w:rsid w:val="31E77ACB"/>
    <w:rsid w:val="31EC377E"/>
    <w:rsid w:val="327046CF"/>
    <w:rsid w:val="327A6A77"/>
    <w:rsid w:val="328F0E48"/>
    <w:rsid w:val="329601DC"/>
    <w:rsid w:val="32B10301"/>
    <w:rsid w:val="32B905D2"/>
    <w:rsid w:val="32BC1B9A"/>
    <w:rsid w:val="32FB6FE8"/>
    <w:rsid w:val="33275EFB"/>
    <w:rsid w:val="333A11BA"/>
    <w:rsid w:val="33403F2C"/>
    <w:rsid w:val="33814B59"/>
    <w:rsid w:val="339123BA"/>
    <w:rsid w:val="33B52205"/>
    <w:rsid w:val="33D27A4D"/>
    <w:rsid w:val="33F12ED5"/>
    <w:rsid w:val="34187031"/>
    <w:rsid w:val="345357CC"/>
    <w:rsid w:val="35136275"/>
    <w:rsid w:val="352952AA"/>
    <w:rsid w:val="35634964"/>
    <w:rsid w:val="359C6231"/>
    <w:rsid w:val="35EB0330"/>
    <w:rsid w:val="364C07D1"/>
    <w:rsid w:val="3673705C"/>
    <w:rsid w:val="37292A07"/>
    <w:rsid w:val="37514879"/>
    <w:rsid w:val="376C2B78"/>
    <w:rsid w:val="378708EC"/>
    <w:rsid w:val="37A64DEC"/>
    <w:rsid w:val="37D66A36"/>
    <w:rsid w:val="37EC45A9"/>
    <w:rsid w:val="38023101"/>
    <w:rsid w:val="381C469B"/>
    <w:rsid w:val="383843FA"/>
    <w:rsid w:val="387C0431"/>
    <w:rsid w:val="38A41F11"/>
    <w:rsid w:val="38CB0A71"/>
    <w:rsid w:val="391417C4"/>
    <w:rsid w:val="392A3571"/>
    <w:rsid w:val="393330EF"/>
    <w:rsid w:val="39353119"/>
    <w:rsid w:val="39B9615E"/>
    <w:rsid w:val="3A084F8E"/>
    <w:rsid w:val="3A2873BE"/>
    <w:rsid w:val="3A376782"/>
    <w:rsid w:val="3A4104C9"/>
    <w:rsid w:val="3A511D16"/>
    <w:rsid w:val="3A6E69BC"/>
    <w:rsid w:val="3AA21922"/>
    <w:rsid w:val="3AA81D77"/>
    <w:rsid w:val="3AB17226"/>
    <w:rsid w:val="3AB960DD"/>
    <w:rsid w:val="3AED1888"/>
    <w:rsid w:val="3B3A04BF"/>
    <w:rsid w:val="3B572AFD"/>
    <w:rsid w:val="3B61732F"/>
    <w:rsid w:val="3B7C1D70"/>
    <w:rsid w:val="3BAC22CF"/>
    <w:rsid w:val="3BE35113"/>
    <w:rsid w:val="3C3673FE"/>
    <w:rsid w:val="3C3B3F06"/>
    <w:rsid w:val="3C3F5FDF"/>
    <w:rsid w:val="3C5F6540"/>
    <w:rsid w:val="3C6A13E2"/>
    <w:rsid w:val="3CA3743E"/>
    <w:rsid w:val="3CC02B40"/>
    <w:rsid w:val="3CD97340"/>
    <w:rsid w:val="3CF57500"/>
    <w:rsid w:val="3D171FEE"/>
    <w:rsid w:val="3D6A6866"/>
    <w:rsid w:val="3D714E9F"/>
    <w:rsid w:val="3D9C4BFD"/>
    <w:rsid w:val="3DAB508C"/>
    <w:rsid w:val="3DE96DD6"/>
    <w:rsid w:val="3DED348A"/>
    <w:rsid w:val="3E2148C4"/>
    <w:rsid w:val="3E5B790A"/>
    <w:rsid w:val="3E850C88"/>
    <w:rsid w:val="3ECE5256"/>
    <w:rsid w:val="3EF471C6"/>
    <w:rsid w:val="3EF96881"/>
    <w:rsid w:val="3F0A66C3"/>
    <w:rsid w:val="3F0B2E4A"/>
    <w:rsid w:val="3F1060BD"/>
    <w:rsid w:val="3F2535EA"/>
    <w:rsid w:val="3F33603A"/>
    <w:rsid w:val="3FB515C1"/>
    <w:rsid w:val="3FBA53DE"/>
    <w:rsid w:val="3FD661C1"/>
    <w:rsid w:val="3FD9413F"/>
    <w:rsid w:val="3FE42494"/>
    <w:rsid w:val="3FE433E0"/>
    <w:rsid w:val="400B673A"/>
    <w:rsid w:val="40342A1B"/>
    <w:rsid w:val="403C798D"/>
    <w:rsid w:val="40465F2E"/>
    <w:rsid w:val="40486998"/>
    <w:rsid w:val="4069330A"/>
    <w:rsid w:val="407E6594"/>
    <w:rsid w:val="410265A3"/>
    <w:rsid w:val="4173581A"/>
    <w:rsid w:val="41A5533F"/>
    <w:rsid w:val="41AD2764"/>
    <w:rsid w:val="41DA1F66"/>
    <w:rsid w:val="42112D76"/>
    <w:rsid w:val="42415D20"/>
    <w:rsid w:val="424C7CCE"/>
    <w:rsid w:val="425433A1"/>
    <w:rsid w:val="4276452D"/>
    <w:rsid w:val="42E244B2"/>
    <w:rsid w:val="43150E8F"/>
    <w:rsid w:val="431D02D2"/>
    <w:rsid w:val="43437B68"/>
    <w:rsid w:val="436A0613"/>
    <w:rsid w:val="43757AFA"/>
    <w:rsid w:val="437A2027"/>
    <w:rsid w:val="437C4163"/>
    <w:rsid w:val="43871D6D"/>
    <w:rsid w:val="43AB7B61"/>
    <w:rsid w:val="43B26D1F"/>
    <w:rsid w:val="43B64836"/>
    <w:rsid w:val="43E3639C"/>
    <w:rsid w:val="44551AEB"/>
    <w:rsid w:val="446B2218"/>
    <w:rsid w:val="4480077B"/>
    <w:rsid w:val="448E6D40"/>
    <w:rsid w:val="44AE4574"/>
    <w:rsid w:val="44B977C4"/>
    <w:rsid w:val="44F21521"/>
    <w:rsid w:val="44FB5BEA"/>
    <w:rsid w:val="4559644D"/>
    <w:rsid w:val="455F277C"/>
    <w:rsid w:val="45643FE7"/>
    <w:rsid w:val="459B1CC9"/>
    <w:rsid w:val="45A62784"/>
    <w:rsid w:val="45C93825"/>
    <w:rsid w:val="45E93CEC"/>
    <w:rsid w:val="46006329"/>
    <w:rsid w:val="460C290E"/>
    <w:rsid w:val="46356641"/>
    <w:rsid w:val="464B24F6"/>
    <w:rsid w:val="466330E3"/>
    <w:rsid w:val="46BA26CF"/>
    <w:rsid w:val="46C76D16"/>
    <w:rsid w:val="46DF0261"/>
    <w:rsid w:val="47017B22"/>
    <w:rsid w:val="470219B6"/>
    <w:rsid w:val="472651B9"/>
    <w:rsid w:val="47336EAD"/>
    <w:rsid w:val="473A3398"/>
    <w:rsid w:val="47AA71A1"/>
    <w:rsid w:val="47B121EC"/>
    <w:rsid w:val="47E213AD"/>
    <w:rsid w:val="47E25D99"/>
    <w:rsid w:val="48543A23"/>
    <w:rsid w:val="4856270C"/>
    <w:rsid w:val="485679D2"/>
    <w:rsid w:val="485D3BAC"/>
    <w:rsid w:val="486343C8"/>
    <w:rsid w:val="48667A70"/>
    <w:rsid w:val="48802FBA"/>
    <w:rsid w:val="48B93AD3"/>
    <w:rsid w:val="48BE29AB"/>
    <w:rsid w:val="48C252BC"/>
    <w:rsid w:val="48C3011D"/>
    <w:rsid w:val="48CD4EB7"/>
    <w:rsid w:val="48CF340E"/>
    <w:rsid w:val="48D4215F"/>
    <w:rsid w:val="490A162D"/>
    <w:rsid w:val="49185494"/>
    <w:rsid w:val="492D59CF"/>
    <w:rsid w:val="4933349A"/>
    <w:rsid w:val="493F0CC1"/>
    <w:rsid w:val="495855E4"/>
    <w:rsid w:val="498F7AAF"/>
    <w:rsid w:val="4992549A"/>
    <w:rsid w:val="49BE29F8"/>
    <w:rsid w:val="49ED37CD"/>
    <w:rsid w:val="4A1070D4"/>
    <w:rsid w:val="4A666A1F"/>
    <w:rsid w:val="4A8270A7"/>
    <w:rsid w:val="4AC02C66"/>
    <w:rsid w:val="4AE33554"/>
    <w:rsid w:val="4AEE6E96"/>
    <w:rsid w:val="4B0669B5"/>
    <w:rsid w:val="4B1848D5"/>
    <w:rsid w:val="4B1A1C49"/>
    <w:rsid w:val="4B2D1772"/>
    <w:rsid w:val="4B3801E8"/>
    <w:rsid w:val="4B4141C1"/>
    <w:rsid w:val="4B5B23E7"/>
    <w:rsid w:val="4B8F4BB5"/>
    <w:rsid w:val="4B920A07"/>
    <w:rsid w:val="4B9F05CC"/>
    <w:rsid w:val="4BA9418A"/>
    <w:rsid w:val="4BAC0C7D"/>
    <w:rsid w:val="4BB97EF9"/>
    <w:rsid w:val="4BC548A4"/>
    <w:rsid w:val="4BD30D69"/>
    <w:rsid w:val="4BEC39FB"/>
    <w:rsid w:val="4C0D6258"/>
    <w:rsid w:val="4C6D284A"/>
    <w:rsid w:val="4C7A7E2B"/>
    <w:rsid w:val="4C9C6749"/>
    <w:rsid w:val="4CA359A2"/>
    <w:rsid w:val="4CAC40E4"/>
    <w:rsid w:val="4CD62CD7"/>
    <w:rsid w:val="4CE70EA1"/>
    <w:rsid w:val="4CF07DE5"/>
    <w:rsid w:val="4D002416"/>
    <w:rsid w:val="4D481A1E"/>
    <w:rsid w:val="4D62603A"/>
    <w:rsid w:val="4DBB47FD"/>
    <w:rsid w:val="4DC61B48"/>
    <w:rsid w:val="4DF93988"/>
    <w:rsid w:val="4E012884"/>
    <w:rsid w:val="4E7A1040"/>
    <w:rsid w:val="4EAA60F0"/>
    <w:rsid w:val="4EC75128"/>
    <w:rsid w:val="4ECF2A74"/>
    <w:rsid w:val="4EE23C2C"/>
    <w:rsid w:val="4F38685E"/>
    <w:rsid w:val="4F3F54C1"/>
    <w:rsid w:val="4F45634B"/>
    <w:rsid w:val="4F5F13C6"/>
    <w:rsid w:val="4F8E536E"/>
    <w:rsid w:val="4F9A1D55"/>
    <w:rsid w:val="4FA84488"/>
    <w:rsid w:val="4FC51D73"/>
    <w:rsid w:val="4FCF21D7"/>
    <w:rsid w:val="4FE14B43"/>
    <w:rsid w:val="500838A1"/>
    <w:rsid w:val="501530BE"/>
    <w:rsid w:val="50323D5E"/>
    <w:rsid w:val="50357178"/>
    <w:rsid w:val="504951FB"/>
    <w:rsid w:val="50651839"/>
    <w:rsid w:val="506F4E79"/>
    <w:rsid w:val="50706A8B"/>
    <w:rsid w:val="50867DFC"/>
    <w:rsid w:val="508A1745"/>
    <w:rsid w:val="50AA0CD7"/>
    <w:rsid w:val="50D6145E"/>
    <w:rsid w:val="510473A6"/>
    <w:rsid w:val="51582128"/>
    <w:rsid w:val="5194537D"/>
    <w:rsid w:val="521D6B09"/>
    <w:rsid w:val="528950A4"/>
    <w:rsid w:val="52973194"/>
    <w:rsid w:val="52BF5E13"/>
    <w:rsid w:val="52DC2568"/>
    <w:rsid w:val="52E34D3B"/>
    <w:rsid w:val="52F72C6C"/>
    <w:rsid w:val="531E7CBA"/>
    <w:rsid w:val="532D6509"/>
    <w:rsid w:val="534E72E2"/>
    <w:rsid w:val="537970F1"/>
    <w:rsid w:val="53BC23FE"/>
    <w:rsid w:val="53C20169"/>
    <w:rsid w:val="53C928C1"/>
    <w:rsid w:val="53D133FF"/>
    <w:rsid w:val="53D41B15"/>
    <w:rsid w:val="53DF4B97"/>
    <w:rsid w:val="53F95B47"/>
    <w:rsid w:val="541E4F2D"/>
    <w:rsid w:val="542551FB"/>
    <w:rsid w:val="54912C03"/>
    <w:rsid w:val="54931DF3"/>
    <w:rsid w:val="549974CC"/>
    <w:rsid w:val="54AB2834"/>
    <w:rsid w:val="54C94EA5"/>
    <w:rsid w:val="54FB5DCB"/>
    <w:rsid w:val="55167CE4"/>
    <w:rsid w:val="557C42CB"/>
    <w:rsid w:val="55804000"/>
    <w:rsid w:val="558523DB"/>
    <w:rsid w:val="558C70D5"/>
    <w:rsid w:val="559A3D72"/>
    <w:rsid w:val="55D57311"/>
    <w:rsid w:val="55FB7DDD"/>
    <w:rsid w:val="56212610"/>
    <w:rsid w:val="564D0611"/>
    <w:rsid w:val="56923631"/>
    <w:rsid w:val="569E2A85"/>
    <w:rsid w:val="56A43DDD"/>
    <w:rsid w:val="56A667DB"/>
    <w:rsid w:val="56BB3DD9"/>
    <w:rsid w:val="571179C1"/>
    <w:rsid w:val="5734272B"/>
    <w:rsid w:val="576772DA"/>
    <w:rsid w:val="577421A3"/>
    <w:rsid w:val="57CB2F11"/>
    <w:rsid w:val="57E92CFC"/>
    <w:rsid w:val="57F013C7"/>
    <w:rsid w:val="580636A8"/>
    <w:rsid w:val="582041AB"/>
    <w:rsid w:val="5827069D"/>
    <w:rsid w:val="583E3F12"/>
    <w:rsid w:val="58752245"/>
    <w:rsid w:val="58CE01DC"/>
    <w:rsid w:val="58EE0ABB"/>
    <w:rsid w:val="58FF2FCC"/>
    <w:rsid w:val="5912291F"/>
    <w:rsid w:val="59320B1C"/>
    <w:rsid w:val="59697E52"/>
    <w:rsid w:val="59811788"/>
    <w:rsid w:val="598516D4"/>
    <w:rsid w:val="59972783"/>
    <w:rsid w:val="59BE30EA"/>
    <w:rsid w:val="5A04181B"/>
    <w:rsid w:val="5A274731"/>
    <w:rsid w:val="5A3E10F9"/>
    <w:rsid w:val="5A5D2166"/>
    <w:rsid w:val="5A8E0BB5"/>
    <w:rsid w:val="5AA93CFB"/>
    <w:rsid w:val="5ADF7765"/>
    <w:rsid w:val="5AEF04C4"/>
    <w:rsid w:val="5AEF5B15"/>
    <w:rsid w:val="5AFD19AA"/>
    <w:rsid w:val="5B4001F5"/>
    <w:rsid w:val="5B5858F0"/>
    <w:rsid w:val="5B612430"/>
    <w:rsid w:val="5B6922B2"/>
    <w:rsid w:val="5B7A4CF4"/>
    <w:rsid w:val="5B9829DD"/>
    <w:rsid w:val="5B9B3CB6"/>
    <w:rsid w:val="5BB20BD3"/>
    <w:rsid w:val="5BB914FF"/>
    <w:rsid w:val="5BD1767D"/>
    <w:rsid w:val="5C1501CD"/>
    <w:rsid w:val="5C15421C"/>
    <w:rsid w:val="5C226E69"/>
    <w:rsid w:val="5C4F6E62"/>
    <w:rsid w:val="5CBF42C2"/>
    <w:rsid w:val="5CCF7F6B"/>
    <w:rsid w:val="5CD04EAC"/>
    <w:rsid w:val="5CD6595C"/>
    <w:rsid w:val="5D0759E4"/>
    <w:rsid w:val="5D1B3082"/>
    <w:rsid w:val="5D50262F"/>
    <w:rsid w:val="5D5C2FA7"/>
    <w:rsid w:val="5D623622"/>
    <w:rsid w:val="5D6F382C"/>
    <w:rsid w:val="5E25322D"/>
    <w:rsid w:val="5E3779AE"/>
    <w:rsid w:val="5E3C4C98"/>
    <w:rsid w:val="5E7603B8"/>
    <w:rsid w:val="5EA51B14"/>
    <w:rsid w:val="5F176527"/>
    <w:rsid w:val="5F33754A"/>
    <w:rsid w:val="5F621030"/>
    <w:rsid w:val="5F892BB0"/>
    <w:rsid w:val="5FB35A17"/>
    <w:rsid w:val="5FB63084"/>
    <w:rsid w:val="5FB8222A"/>
    <w:rsid w:val="5FC76AC9"/>
    <w:rsid w:val="5FF8114C"/>
    <w:rsid w:val="601E7B8D"/>
    <w:rsid w:val="60447CAC"/>
    <w:rsid w:val="604A4606"/>
    <w:rsid w:val="60570AC7"/>
    <w:rsid w:val="60633A32"/>
    <w:rsid w:val="60731052"/>
    <w:rsid w:val="60847AE4"/>
    <w:rsid w:val="609460C4"/>
    <w:rsid w:val="60BF4E16"/>
    <w:rsid w:val="60C927EA"/>
    <w:rsid w:val="610A1684"/>
    <w:rsid w:val="613C2CE4"/>
    <w:rsid w:val="616B6BC7"/>
    <w:rsid w:val="61861B1B"/>
    <w:rsid w:val="61D55D13"/>
    <w:rsid w:val="61DE610A"/>
    <w:rsid w:val="61E4604A"/>
    <w:rsid w:val="61E55371"/>
    <w:rsid w:val="620147F9"/>
    <w:rsid w:val="620B050A"/>
    <w:rsid w:val="621538F1"/>
    <w:rsid w:val="622354F3"/>
    <w:rsid w:val="62254B36"/>
    <w:rsid w:val="623B73BF"/>
    <w:rsid w:val="627A3F22"/>
    <w:rsid w:val="628B4BC7"/>
    <w:rsid w:val="62C9148A"/>
    <w:rsid w:val="62CA0066"/>
    <w:rsid w:val="63091326"/>
    <w:rsid w:val="633371F2"/>
    <w:rsid w:val="63490074"/>
    <w:rsid w:val="63994743"/>
    <w:rsid w:val="63B53487"/>
    <w:rsid w:val="63B72B0D"/>
    <w:rsid w:val="63C760A5"/>
    <w:rsid w:val="63CB03EF"/>
    <w:rsid w:val="642440A1"/>
    <w:rsid w:val="64296363"/>
    <w:rsid w:val="642D02F4"/>
    <w:rsid w:val="643E724E"/>
    <w:rsid w:val="644B275D"/>
    <w:rsid w:val="64CC1EA9"/>
    <w:rsid w:val="64EF30F5"/>
    <w:rsid w:val="64F413A4"/>
    <w:rsid w:val="655571B5"/>
    <w:rsid w:val="65590948"/>
    <w:rsid w:val="65963730"/>
    <w:rsid w:val="65D336B4"/>
    <w:rsid w:val="66413C63"/>
    <w:rsid w:val="665A35D5"/>
    <w:rsid w:val="666D223F"/>
    <w:rsid w:val="66814002"/>
    <w:rsid w:val="66AE49CA"/>
    <w:rsid w:val="66B30C06"/>
    <w:rsid w:val="66B34102"/>
    <w:rsid w:val="67396DFC"/>
    <w:rsid w:val="67831EDF"/>
    <w:rsid w:val="679C6C73"/>
    <w:rsid w:val="67D124BF"/>
    <w:rsid w:val="67F4037A"/>
    <w:rsid w:val="6879034D"/>
    <w:rsid w:val="687B60CA"/>
    <w:rsid w:val="687F140F"/>
    <w:rsid w:val="6882116E"/>
    <w:rsid w:val="68833324"/>
    <w:rsid w:val="68933E88"/>
    <w:rsid w:val="689B725C"/>
    <w:rsid w:val="68C87688"/>
    <w:rsid w:val="690A3F97"/>
    <w:rsid w:val="692540B3"/>
    <w:rsid w:val="692B1A8E"/>
    <w:rsid w:val="695B69F4"/>
    <w:rsid w:val="69626386"/>
    <w:rsid w:val="696A3622"/>
    <w:rsid w:val="69740916"/>
    <w:rsid w:val="69984002"/>
    <w:rsid w:val="69A54D63"/>
    <w:rsid w:val="69AF44B1"/>
    <w:rsid w:val="69D62C0E"/>
    <w:rsid w:val="6A1073F9"/>
    <w:rsid w:val="6A1F6173"/>
    <w:rsid w:val="6B0A0E69"/>
    <w:rsid w:val="6B491D48"/>
    <w:rsid w:val="6B5D0B36"/>
    <w:rsid w:val="6BC06013"/>
    <w:rsid w:val="6BDA3ED3"/>
    <w:rsid w:val="6D0003FA"/>
    <w:rsid w:val="6D0B5095"/>
    <w:rsid w:val="6D2A678A"/>
    <w:rsid w:val="6D467D90"/>
    <w:rsid w:val="6D4807E3"/>
    <w:rsid w:val="6D493A3E"/>
    <w:rsid w:val="6D671F13"/>
    <w:rsid w:val="6D802DED"/>
    <w:rsid w:val="6D9050E8"/>
    <w:rsid w:val="6D92450C"/>
    <w:rsid w:val="6DBE13E5"/>
    <w:rsid w:val="6DE55170"/>
    <w:rsid w:val="6EAF2128"/>
    <w:rsid w:val="6EC02EF2"/>
    <w:rsid w:val="6EC80C1A"/>
    <w:rsid w:val="6EE36814"/>
    <w:rsid w:val="6F1247F2"/>
    <w:rsid w:val="6F1C03A3"/>
    <w:rsid w:val="6F3C42BE"/>
    <w:rsid w:val="6F5A07A8"/>
    <w:rsid w:val="6F740AEE"/>
    <w:rsid w:val="6F9602E0"/>
    <w:rsid w:val="6FB17FC5"/>
    <w:rsid w:val="6FC91A17"/>
    <w:rsid w:val="701B7D3C"/>
    <w:rsid w:val="70473DF8"/>
    <w:rsid w:val="705F44B6"/>
    <w:rsid w:val="70B22E03"/>
    <w:rsid w:val="70B431DA"/>
    <w:rsid w:val="70BB53AB"/>
    <w:rsid w:val="70D70AC2"/>
    <w:rsid w:val="70EC5DF6"/>
    <w:rsid w:val="71337346"/>
    <w:rsid w:val="7151676D"/>
    <w:rsid w:val="715C19E3"/>
    <w:rsid w:val="7186663A"/>
    <w:rsid w:val="718D54D5"/>
    <w:rsid w:val="71961FE9"/>
    <w:rsid w:val="71B330E9"/>
    <w:rsid w:val="71D836B6"/>
    <w:rsid w:val="71EA4C36"/>
    <w:rsid w:val="71EE34F2"/>
    <w:rsid w:val="71EF21D7"/>
    <w:rsid w:val="71FE0DE2"/>
    <w:rsid w:val="721E48F9"/>
    <w:rsid w:val="7222451F"/>
    <w:rsid w:val="72665B9E"/>
    <w:rsid w:val="728D04AB"/>
    <w:rsid w:val="728F1D6E"/>
    <w:rsid w:val="72A000A6"/>
    <w:rsid w:val="72A47220"/>
    <w:rsid w:val="72AF6F0F"/>
    <w:rsid w:val="72B17363"/>
    <w:rsid w:val="72C01FB6"/>
    <w:rsid w:val="73410C84"/>
    <w:rsid w:val="736806C0"/>
    <w:rsid w:val="73BA6CEF"/>
    <w:rsid w:val="73D04AB0"/>
    <w:rsid w:val="73D51945"/>
    <w:rsid w:val="73FA6B8C"/>
    <w:rsid w:val="740F0498"/>
    <w:rsid w:val="741C18C4"/>
    <w:rsid w:val="742945B7"/>
    <w:rsid w:val="746155F8"/>
    <w:rsid w:val="7469569D"/>
    <w:rsid w:val="746D77E1"/>
    <w:rsid w:val="74723844"/>
    <w:rsid w:val="747B7FBD"/>
    <w:rsid w:val="74F06E9D"/>
    <w:rsid w:val="74F61A64"/>
    <w:rsid w:val="74FD42F9"/>
    <w:rsid w:val="75095A3A"/>
    <w:rsid w:val="752E415C"/>
    <w:rsid w:val="75307FAC"/>
    <w:rsid w:val="75376A3F"/>
    <w:rsid w:val="75412D63"/>
    <w:rsid w:val="759C17F6"/>
    <w:rsid w:val="75CE1283"/>
    <w:rsid w:val="75E70035"/>
    <w:rsid w:val="75F63ADA"/>
    <w:rsid w:val="7669644C"/>
    <w:rsid w:val="76793A37"/>
    <w:rsid w:val="768651BD"/>
    <w:rsid w:val="769C7EC6"/>
    <w:rsid w:val="76A530B0"/>
    <w:rsid w:val="76B1728D"/>
    <w:rsid w:val="76C51F3D"/>
    <w:rsid w:val="76F64601"/>
    <w:rsid w:val="7711305B"/>
    <w:rsid w:val="772223F7"/>
    <w:rsid w:val="77463B5B"/>
    <w:rsid w:val="774C5F07"/>
    <w:rsid w:val="775C324B"/>
    <w:rsid w:val="777D1056"/>
    <w:rsid w:val="77AA5A32"/>
    <w:rsid w:val="77C4686C"/>
    <w:rsid w:val="77CC7D30"/>
    <w:rsid w:val="77F019AF"/>
    <w:rsid w:val="77F92227"/>
    <w:rsid w:val="789306EA"/>
    <w:rsid w:val="78BF1CF7"/>
    <w:rsid w:val="78D143EF"/>
    <w:rsid w:val="78D6191C"/>
    <w:rsid w:val="78EF1BF7"/>
    <w:rsid w:val="79016D7C"/>
    <w:rsid w:val="79293B51"/>
    <w:rsid w:val="792E693B"/>
    <w:rsid w:val="79E91F53"/>
    <w:rsid w:val="7A04470E"/>
    <w:rsid w:val="7A8F7C6C"/>
    <w:rsid w:val="7ACF6E03"/>
    <w:rsid w:val="7AF51E88"/>
    <w:rsid w:val="7B491649"/>
    <w:rsid w:val="7B704D48"/>
    <w:rsid w:val="7BAE7590"/>
    <w:rsid w:val="7BB3799E"/>
    <w:rsid w:val="7BE577E3"/>
    <w:rsid w:val="7BE76D9F"/>
    <w:rsid w:val="7C036295"/>
    <w:rsid w:val="7C225B29"/>
    <w:rsid w:val="7C860DA8"/>
    <w:rsid w:val="7CAE3BE2"/>
    <w:rsid w:val="7CCE62A9"/>
    <w:rsid w:val="7CF95316"/>
    <w:rsid w:val="7D342DF3"/>
    <w:rsid w:val="7D37047C"/>
    <w:rsid w:val="7D3D3D41"/>
    <w:rsid w:val="7D706F1A"/>
    <w:rsid w:val="7D9A285E"/>
    <w:rsid w:val="7DA06BED"/>
    <w:rsid w:val="7DA94D23"/>
    <w:rsid w:val="7E833D64"/>
    <w:rsid w:val="7E9E51EC"/>
    <w:rsid w:val="7ECD30B6"/>
    <w:rsid w:val="7ED62BF7"/>
    <w:rsid w:val="7EFE1CB8"/>
    <w:rsid w:val="7F06072D"/>
    <w:rsid w:val="7F0F3D98"/>
    <w:rsid w:val="7F130E8A"/>
    <w:rsid w:val="7F2E2B75"/>
    <w:rsid w:val="7F6D00DA"/>
    <w:rsid w:val="7F716E3E"/>
    <w:rsid w:val="7F9220CC"/>
    <w:rsid w:val="7F931F34"/>
    <w:rsid w:val="7FD0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199D6-7415-48D5-BF52-6A08D2CE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color w:val="000000"/>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sz w:val="22"/>
      <w:szCs w:val="22"/>
    </w:rPr>
  </w:style>
  <w:style w:type="paragraph" w:styleId="Titre6">
    <w:name w:val="heading 6"/>
    <w:basedOn w:val="Normal"/>
    <w:next w:val="Normal"/>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Notedefin">
    <w:name w:val="endnote text"/>
    <w:basedOn w:val="Normal"/>
    <w:qFormat/>
    <w:pPr>
      <w:snapToGrid w:val="0"/>
    </w:pPr>
  </w:style>
  <w:style w:type="paragraph" w:styleId="Notedebasdepage">
    <w:name w:val="footnote text"/>
    <w:basedOn w:val="Normal"/>
    <w:qFormat/>
    <w:pPr>
      <w:snapToGrid w:val="0"/>
    </w:pPr>
    <w:rPr>
      <w:sz w:val="18"/>
      <w:szCs w:val="18"/>
    </w:rPr>
  </w:style>
  <w:style w:type="paragraph" w:styleId="Commentaire">
    <w:name w:val="annotation text"/>
    <w:basedOn w:val="Normal"/>
  </w:style>
  <w:style w:type="paragraph" w:styleId="NormalWeb">
    <w:name w:val="Normal (Web)"/>
    <w:qFormat/>
    <w:pPr>
      <w:spacing w:beforeAutospacing="1" w:after="0" w:afterAutospacing="1"/>
    </w:pPr>
    <w:rPr>
      <w:sz w:val="24"/>
      <w:szCs w:val="24"/>
      <w:lang w:val="en-US" w:eastAsia="zh-CN"/>
    </w:rPr>
  </w:style>
  <w:style w:type="paragraph" w:styleId="Titre">
    <w:name w:val="Title"/>
    <w:basedOn w:val="Normal"/>
    <w:next w:val="Normal"/>
    <w:qFormat/>
    <w:pPr>
      <w:keepNext/>
      <w:keepLines/>
    </w:pPr>
    <w:rPr>
      <w:b/>
      <w:sz w:val="40"/>
      <w:szCs w:val="40"/>
    </w:rPr>
  </w:style>
  <w:style w:type="character" w:styleId="Lienhypertexte">
    <w:name w:val="Hyperlink"/>
    <w:qFormat/>
    <w:rPr>
      <w:color w:val="0000FF"/>
      <w:u w:val="single"/>
    </w:rPr>
  </w:style>
  <w:style w:type="character" w:styleId="Appelnotedebasdep">
    <w:name w:val="footnote reference"/>
    <w:qFormat/>
    <w:rPr>
      <w:vertAlign w:val="superscript"/>
    </w:rPr>
  </w:style>
  <w:style w:type="character" w:styleId="Appeldenotedefin">
    <w:name w:val="endnote reference"/>
    <w:rPr>
      <w:vertAlign w:val="superscript"/>
    </w:rPr>
  </w:style>
  <w:style w:type="character" w:styleId="lev">
    <w:name w:val="Strong"/>
    <w:qFormat/>
    <w:rPr>
      <w:b/>
      <w:bCs/>
    </w:rPr>
  </w:style>
  <w:style w:type="table" w:customStyle="1" w:styleId="TableNormal">
    <w:name w:val="Table Normal"/>
    <w:qFormat/>
    <w:tblPr>
      <w:tblCellMar>
        <w:top w:w="0" w:type="dxa"/>
        <w:left w:w="0" w:type="dxa"/>
        <w:bottom w:w="0" w:type="dxa"/>
        <w:right w:w="0" w:type="dxa"/>
      </w:tblCellMar>
    </w:tblPr>
  </w:style>
  <w:style w:type="table" w:customStyle="1" w:styleId="Style10">
    <w:name w:val="_Style 10"/>
    <w:basedOn w:val="TableNormal"/>
    <w:qFormat/>
    <w:pPr>
      <w:contextualSpacing/>
    </w:pPr>
    <w:tblPr>
      <w:tblCellMar>
        <w:top w:w="0" w:type="dxa"/>
        <w:left w:w="115" w:type="dxa"/>
        <w:bottom w:w="0" w:type="dxa"/>
        <w:right w:w="115" w:type="dxa"/>
      </w:tblCellMar>
    </w:tblPr>
  </w:style>
  <w:style w:type="table" w:customStyle="1" w:styleId="Style11">
    <w:name w:val="_Style 11"/>
    <w:basedOn w:val="TableNormal"/>
    <w:qFormat/>
    <w:pPr>
      <w:contextualSpacing/>
    </w:pPr>
    <w:tblPr>
      <w:tblCellMar>
        <w:top w:w="0" w:type="dxa"/>
        <w:left w:w="115" w:type="dxa"/>
        <w:bottom w:w="0" w:type="dxa"/>
        <w:right w:w="115" w:type="dxa"/>
      </w:tblCellMar>
    </w:tblPr>
  </w:style>
  <w:style w:type="table" w:customStyle="1" w:styleId="Style12">
    <w:name w:val="_Style 12"/>
    <w:basedOn w:val="TableNormal"/>
    <w:qFormat/>
    <w:pPr>
      <w:contextualSpacing/>
    </w:pPr>
    <w:tblPr>
      <w:tblCellMar>
        <w:top w:w="0" w:type="dxa"/>
        <w:left w:w="115" w:type="dxa"/>
        <w:bottom w:w="0" w:type="dxa"/>
        <w:right w:w="115" w:type="dxa"/>
      </w:tblCellMar>
    </w:tblPr>
  </w:style>
  <w:style w:type="table" w:customStyle="1" w:styleId="Style13">
    <w:name w:val="_Style 13"/>
    <w:basedOn w:val="TableNormal"/>
    <w:qFormat/>
    <w:tblPr>
      <w:tblCellMar>
        <w:top w:w="0" w:type="dxa"/>
        <w:left w:w="0" w:type="dxa"/>
        <w:bottom w:w="0" w:type="dxa"/>
        <w:right w:w="0" w:type="dxa"/>
      </w:tblCellMar>
    </w:tblPr>
  </w:style>
  <w:style w:type="table" w:customStyle="1" w:styleId="Style14">
    <w:name w:val="_Style 14"/>
    <w:basedOn w:val="TableNormal"/>
    <w:qFormat/>
    <w:pPr>
      <w:contextualSpacing/>
    </w:pPr>
    <w:tblPr>
      <w:tblCellMar>
        <w:top w:w="0" w:type="dxa"/>
        <w:left w:w="115" w:type="dxa"/>
        <w:bottom w:w="0" w:type="dxa"/>
        <w:right w:w="115" w:type="dxa"/>
      </w:tblCellMar>
    </w:tblPr>
  </w:style>
  <w:style w:type="table" w:customStyle="1" w:styleId="Style15">
    <w:name w:val="_Style 15"/>
    <w:basedOn w:val="TableNormal"/>
    <w:qFormat/>
    <w:pPr>
      <w:contextualSpacing/>
    </w:pPr>
    <w:tblPr>
      <w:tblCellMar>
        <w:top w:w="0" w:type="dxa"/>
        <w:left w:w="115" w:type="dxa"/>
        <w:bottom w:w="0" w:type="dxa"/>
        <w:right w:w="115" w:type="dxa"/>
      </w:tblCellMar>
    </w:tblPr>
  </w:style>
  <w:style w:type="table" w:customStyle="1" w:styleId="Style16">
    <w:name w:val="_Style 16"/>
    <w:basedOn w:val="TableNormal"/>
    <w:qFormat/>
    <w:pPr>
      <w:contextualSpacing/>
    </w:pPr>
    <w:rPr>
      <w:rFonts w:ascii="Calibri" w:eastAsia="Calibri" w:hAnsi="Calibri" w:cs="Calibri"/>
      <w:sz w:val="22"/>
      <w:szCs w:val="22"/>
    </w:rPr>
    <w:tblPr>
      <w:tblCellMar>
        <w:top w:w="0" w:type="dxa"/>
        <w:left w:w="115" w:type="dxa"/>
        <w:bottom w:w="0" w:type="dxa"/>
        <w:right w:w="115" w:type="dxa"/>
      </w:tblCellMar>
    </w:tblPr>
  </w:style>
  <w:style w:type="table" w:customStyle="1" w:styleId="Style17">
    <w:name w:val="_Style 17"/>
    <w:basedOn w:val="TableNormal"/>
    <w:qFormat/>
    <w:pPr>
      <w:contextualSpacing/>
    </w:pPr>
    <w:tblPr>
      <w:tblCellMar>
        <w:top w:w="0" w:type="dxa"/>
        <w:left w:w="115" w:type="dxa"/>
        <w:bottom w:w="0" w:type="dxa"/>
        <w:right w:w="115" w:type="dxa"/>
      </w:tblCellMar>
    </w:tblPr>
  </w:style>
  <w:style w:type="paragraph" w:customStyle="1" w:styleId="Paragraphedeliste1">
    <w:name w:val="Paragraphe de liste1"/>
    <w:basedOn w:val="Normal"/>
    <w:uiPriority w:val="34"/>
    <w:qFormat/>
    <w:pPr>
      <w:ind w:left="720"/>
      <w:contextualSpacing/>
    </w:pPr>
  </w:style>
  <w:style w:type="table" w:styleId="Grilledutableau">
    <w:name w:val="Table Grid"/>
    <w:basedOn w:val="Tableau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unhideWhenUsed/>
    <w:qFormat/>
    <w:pPr>
      <w:widowControl w:val="0"/>
      <w:autoSpaceDE w:val="0"/>
      <w:autoSpaceDN w:val="0"/>
      <w:adjustRightInd w:val="0"/>
    </w:pPr>
    <w:rPr>
      <w:rFonts w:ascii="Arial" w:hAnsi="Arial"/>
      <w:color w:val="000000"/>
      <w:sz w:val="24"/>
    </w:rPr>
  </w:style>
  <w:style w:type="paragraph" w:customStyle="1" w:styleId="Pa2">
    <w:name w:val="Pa2"/>
    <w:basedOn w:val="Default"/>
    <w:next w:val="Default"/>
    <w:uiPriority w:val="99"/>
    <w:unhideWhenUsed/>
    <w:qFormat/>
    <w:pPr>
      <w:spacing w:line="201"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1720</Words>
  <Characters>9463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 Bitamala</dc:creator>
  <cp:lastModifiedBy>HERI BITAMALA</cp:lastModifiedBy>
  <cp:revision>24</cp:revision>
  <dcterms:created xsi:type="dcterms:W3CDTF">2017-07-31T13:16:00Z</dcterms:created>
  <dcterms:modified xsi:type="dcterms:W3CDTF">2017-08-04T00:45:00Z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3084-10.2.0.5820</vt:lpwstr>
  </property>
</Properties>
</file>