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D36" w:rsidRDefault="009D1805" w:rsidP="009D1805">
      <w:pPr>
        <w:spacing w:line="240" w:lineRule="auto"/>
        <w:contextualSpacing/>
        <w:jc w:val="center"/>
        <w:rPr>
          <w:sz w:val="44"/>
          <w:szCs w:val="44"/>
        </w:rPr>
      </w:pPr>
      <w:r w:rsidRPr="009D1805">
        <w:rPr>
          <w:sz w:val="44"/>
          <w:szCs w:val="44"/>
        </w:rPr>
        <w:t>August 2017 Nutrition Report</w:t>
      </w:r>
    </w:p>
    <w:p w:rsidR="009D1805" w:rsidRDefault="009D1805" w:rsidP="009D1805">
      <w:pPr>
        <w:spacing w:line="240" w:lineRule="auto"/>
        <w:contextualSpacing/>
        <w:jc w:val="center"/>
        <w:rPr>
          <w:sz w:val="24"/>
          <w:szCs w:val="24"/>
        </w:rPr>
      </w:pPr>
      <w:r>
        <w:rPr>
          <w:sz w:val="24"/>
          <w:szCs w:val="24"/>
        </w:rPr>
        <w:t xml:space="preserve">Prepared for </w:t>
      </w:r>
      <w:proofErr w:type="spellStart"/>
      <w:r w:rsidR="004F4EC3">
        <w:rPr>
          <w:sz w:val="24"/>
          <w:szCs w:val="24"/>
        </w:rPr>
        <w:t>GlobalGiving</w:t>
      </w:r>
      <w:proofErr w:type="spellEnd"/>
      <w:r w:rsidR="004F4EC3">
        <w:rPr>
          <w:sz w:val="24"/>
          <w:szCs w:val="24"/>
        </w:rPr>
        <w:t xml:space="preserve"> Donors</w:t>
      </w:r>
    </w:p>
    <w:p w:rsidR="004F4EC3" w:rsidRDefault="004F4EC3" w:rsidP="004F4EC3">
      <w:pPr>
        <w:spacing w:line="240" w:lineRule="auto"/>
        <w:contextualSpacing/>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19050</wp:posOffset>
            </wp:positionH>
            <wp:positionV relativeFrom="paragraph">
              <wp:posOffset>187960</wp:posOffset>
            </wp:positionV>
            <wp:extent cx="1164590" cy="1581150"/>
            <wp:effectExtent l="19050" t="0" r="0" b="0"/>
            <wp:wrapSquare wrapText="bothSides"/>
            <wp:docPr id="4" name="Picture 1" descr="D:\Club Campestre Paul_Laura 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ub Campestre Paul_Laura Dec 2013.jpg"/>
                    <pic:cNvPicPr>
                      <a:picLocks noChangeAspect="1" noChangeArrowheads="1"/>
                    </pic:cNvPicPr>
                  </pic:nvPicPr>
                  <pic:blipFill>
                    <a:blip r:embed="rId8" cstate="print"/>
                    <a:srcRect/>
                    <a:stretch>
                      <a:fillRect/>
                    </a:stretch>
                  </pic:blipFill>
                  <pic:spPr bwMode="auto">
                    <a:xfrm>
                      <a:off x="0" y="0"/>
                      <a:ext cx="1164590" cy="1581150"/>
                    </a:xfrm>
                    <a:prstGeom prst="rect">
                      <a:avLst/>
                    </a:prstGeom>
                    <a:noFill/>
                    <a:ln w="9525">
                      <a:noFill/>
                      <a:miter lim="800000"/>
                      <a:headEnd/>
                      <a:tailEnd/>
                    </a:ln>
                  </pic:spPr>
                </pic:pic>
              </a:graphicData>
            </a:graphic>
          </wp:anchor>
        </w:drawing>
      </w:r>
    </w:p>
    <w:p w:rsidR="004F4EC3" w:rsidRDefault="004F4EC3" w:rsidP="004F4EC3">
      <w:pPr>
        <w:spacing w:line="240" w:lineRule="auto"/>
        <w:contextualSpacing/>
        <w:rPr>
          <w:sz w:val="24"/>
          <w:szCs w:val="24"/>
        </w:rPr>
      </w:pPr>
      <w:r>
        <w:rPr>
          <w:sz w:val="24"/>
          <w:szCs w:val="24"/>
        </w:rPr>
        <w:t>By way of introduction, we’re Paul and Laura</w:t>
      </w:r>
      <w:r w:rsidR="0064658D">
        <w:rPr>
          <w:sz w:val="24"/>
          <w:szCs w:val="24"/>
        </w:rPr>
        <w:t xml:space="preserve">, the General Directors of Shoulder to Shoulder. We live in Honduras and love every minute of our lives and our work with this incredible organization. We are inspired by your generosity and welcome you to a team of people committed to working to eliminate inequity that arises from poverty and injustice. Your donation to our nutrition program is making children healthier and giving them </w:t>
      </w:r>
      <w:r w:rsidR="0004402C">
        <w:rPr>
          <w:sz w:val="24"/>
          <w:szCs w:val="24"/>
        </w:rPr>
        <w:t>the opportunity to realize their potential in life. Every day we witness how this happens</w:t>
      </w:r>
      <w:r>
        <w:rPr>
          <w:sz w:val="24"/>
          <w:szCs w:val="24"/>
        </w:rPr>
        <w:t xml:space="preserve"> </w:t>
      </w:r>
      <w:r w:rsidR="0004402C">
        <w:rPr>
          <w:sz w:val="24"/>
          <w:szCs w:val="24"/>
        </w:rPr>
        <w:t>and we can’t thank you enough!</w:t>
      </w:r>
    </w:p>
    <w:p w:rsidR="0004402C" w:rsidRDefault="0004402C" w:rsidP="004F4EC3">
      <w:pPr>
        <w:spacing w:line="240" w:lineRule="auto"/>
        <w:contextualSpacing/>
        <w:rPr>
          <w:sz w:val="24"/>
          <w:szCs w:val="24"/>
        </w:rPr>
      </w:pPr>
    </w:p>
    <w:p w:rsidR="0004402C" w:rsidRDefault="0004402C" w:rsidP="004F4EC3">
      <w:pPr>
        <w:spacing w:line="240" w:lineRule="auto"/>
        <w:contextualSpacing/>
        <w:rPr>
          <w:sz w:val="24"/>
          <w:szCs w:val="24"/>
        </w:rPr>
      </w:pPr>
      <w:r w:rsidRPr="0004402C">
        <w:rPr>
          <w:b/>
          <w:sz w:val="28"/>
          <w:szCs w:val="28"/>
        </w:rPr>
        <w:t>Background</w:t>
      </w:r>
      <w:r>
        <w:rPr>
          <w:b/>
          <w:sz w:val="28"/>
          <w:szCs w:val="28"/>
        </w:rPr>
        <w:t xml:space="preserve">: </w:t>
      </w:r>
      <w:r w:rsidR="00F02BFB">
        <w:rPr>
          <w:sz w:val="24"/>
          <w:szCs w:val="24"/>
        </w:rPr>
        <w:t xml:space="preserve">Shoulder to Shoulder </w:t>
      </w:r>
      <w:r w:rsidR="00945739">
        <w:rPr>
          <w:sz w:val="24"/>
          <w:szCs w:val="24"/>
        </w:rPr>
        <w:t>wo</w:t>
      </w:r>
      <w:r w:rsidR="00F02BFB">
        <w:rPr>
          <w:sz w:val="24"/>
          <w:szCs w:val="24"/>
        </w:rPr>
        <w:t>rk</w:t>
      </w:r>
      <w:r w:rsidR="00945739">
        <w:rPr>
          <w:sz w:val="24"/>
          <w:szCs w:val="24"/>
        </w:rPr>
        <w:t>s</w:t>
      </w:r>
      <w:r w:rsidR="00F02BFB">
        <w:rPr>
          <w:sz w:val="24"/>
          <w:szCs w:val="24"/>
        </w:rPr>
        <w:t xml:space="preserve"> with The </w:t>
      </w:r>
      <w:proofErr w:type="spellStart"/>
      <w:r w:rsidR="00F02BFB">
        <w:rPr>
          <w:sz w:val="24"/>
          <w:szCs w:val="24"/>
        </w:rPr>
        <w:t>Mathile</w:t>
      </w:r>
      <w:proofErr w:type="spellEnd"/>
      <w:r w:rsidR="00F02BFB">
        <w:rPr>
          <w:sz w:val="24"/>
          <w:szCs w:val="24"/>
        </w:rPr>
        <w:t xml:space="preserve"> Institute and the Municipal Association of the seven towns of Southern, Intibucá to </w:t>
      </w:r>
      <w:r w:rsidR="005A3190">
        <w:rPr>
          <w:sz w:val="24"/>
          <w:szCs w:val="24"/>
        </w:rPr>
        <w:t>deliver</w:t>
      </w:r>
      <w:r w:rsidR="00F02BFB">
        <w:rPr>
          <w:sz w:val="24"/>
          <w:szCs w:val="24"/>
        </w:rPr>
        <w:t xml:space="preserve"> a nutritional supplement, called </w:t>
      </w:r>
      <w:proofErr w:type="spellStart"/>
      <w:r w:rsidR="00F02BFB">
        <w:rPr>
          <w:sz w:val="24"/>
          <w:szCs w:val="24"/>
        </w:rPr>
        <w:t>Chispuditos</w:t>
      </w:r>
      <w:proofErr w:type="spellEnd"/>
      <w:r w:rsidR="00F02BFB">
        <w:rPr>
          <w:sz w:val="24"/>
          <w:szCs w:val="24"/>
        </w:rPr>
        <w:t>, to children under 6. Under</w:t>
      </w:r>
      <w:r w:rsidR="00CC69F8">
        <w:rPr>
          <w:sz w:val="24"/>
          <w:szCs w:val="24"/>
        </w:rPr>
        <w:t xml:space="preserve"> </w:t>
      </w:r>
      <w:r w:rsidR="00F02BFB">
        <w:rPr>
          <w:sz w:val="24"/>
          <w:szCs w:val="24"/>
        </w:rPr>
        <w:t xml:space="preserve">nutrition </w:t>
      </w:r>
      <w:r w:rsidR="00CC69F8">
        <w:rPr>
          <w:sz w:val="24"/>
          <w:szCs w:val="24"/>
        </w:rPr>
        <w:t>(malnutrition related to not receiving adequate nutrition) manifests itself as being underweight (weight for age), wasting (weight for height), and stunting (height for age)</w:t>
      </w:r>
      <w:r w:rsidR="005A3190">
        <w:rPr>
          <w:sz w:val="24"/>
          <w:szCs w:val="24"/>
        </w:rPr>
        <w:t xml:space="preserve">. These conditions, common in Honduras, are seen at significantly greater percentages in Southern </w:t>
      </w:r>
      <w:proofErr w:type="spellStart"/>
      <w:r w:rsidR="005A3190">
        <w:rPr>
          <w:sz w:val="24"/>
          <w:szCs w:val="24"/>
        </w:rPr>
        <w:t>Intibuca</w:t>
      </w:r>
      <w:proofErr w:type="spellEnd"/>
      <w:r w:rsidR="00D843E4">
        <w:rPr>
          <w:sz w:val="24"/>
          <w:szCs w:val="24"/>
        </w:rPr>
        <w:t xml:space="preserve"> (very rural, isolated, and poor) than in the rest of Honduras. Under nutrition is associated with anemia, the development of chronic diseases such as diabetes, diarrhea, and cognitive impairment. Children simply cannot thrive</w:t>
      </w:r>
      <w:r w:rsidR="00F85600">
        <w:rPr>
          <w:sz w:val="24"/>
          <w:szCs w:val="24"/>
        </w:rPr>
        <w:t xml:space="preserve"> without adequate nutrition and </w:t>
      </w:r>
      <w:r w:rsidR="00BC7335">
        <w:rPr>
          <w:sz w:val="24"/>
          <w:szCs w:val="24"/>
        </w:rPr>
        <w:t>lif</w:t>
      </w:r>
      <w:r w:rsidR="00F85600">
        <w:rPr>
          <w:sz w:val="24"/>
          <w:szCs w:val="24"/>
        </w:rPr>
        <w:t>e itself is drained from them.</w:t>
      </w:r>
      <w:r w:rsidR="005A3190">
        <w:rPr>
          <w:sz w:val="24"/>
          <w:szCs w:val="24"/>
        </w:rPr>
        <w:t xml:space="preserve"> </w:t>
      </w:r>
    </w:p>
    <w:p w:rsidR="00955018" w:rsidRDefault="00955018" w:rsidP="004F4EC3">
      <w:pPr>
        <w:spacing w:line="240" w:lineRule="auto"/>
        <w:contextualSpacing/>
        <w:rPr>
          <w:sz w:val="24"/>
          <w:szCs w:val="24"/>
        </w:rPr>
      </w:pPr>
    </w:p>
    <w:p w:rsidR="00955018" w:rsidRPr="00955018" w:rsidRDefault="00955018" w:rsidP="00955018">
      <w:pPr>
        <w:spacing w:line="240" w:lineRule="auto"/>
        <w:contextualSpacing/>
        <w:jc w:val="center"/>
        <w:rPr>
          <w:rFonts w:ascii="Perpetua" w:hAnsi="Perpetua"/>
          <w:b/>
          <w:i/>
          <w:color w:val="1F497D" w:themeColor="text2"/>
          <w:sz w:val="28"/>
          <w:szCs w:val="28"/>
        </w:rPr>
      </w:pPr>
      <w:r w:rsidRPr="00955018">
        <w:rPr>
          <w:rFonts w:ascii="Perpetua" w:hAnsi="Perpetua"/>
          <w:b/>
          <w:i/>
          <w:color w:val="1F497D" w:themeColor="text2"/>
          <w:sz w:val="28"/>
          <w:szCs w:val="28"/>
        </w:rPr>
        <w:t xml:space="preserve">“Hunger is not a problem. It is an obscenity. How wonderful it is that nobody need </w:t>
      </w:r>
    </w:p>
    <w:p w:rsidR="00955018" w:rsidRDefault="00955018" w:rsidP="00955018">
      <w:pPr>
        <w:spacing w:line="240" w:lineRule="auto"/>
        <w:contextualSpacing/>
        <w:jc w:val="center"/>
        <w:rPr>
          <w:rFonts w:ascii="Perpetua" w:hAnsi="Perpetua"/>
          <w:b/>
          <w:i/>
          <w:color w:val="1F497D" w:themeColor="text2"/>
          <w:sz w:val="28"/>
          <w:szCs w:val="28"/>
        </w:rPr>
      </w:pPr>
      <w:proofErr w:type="gramStart"/>
      <w:r w:rsidRPr="00955018">
        <w:rPr>
          <w:rFonts w:ascii="Perpetua" w:hAnsi="Perpetua"/>
          <w:b/>
          <w:i/>
          <w:color w:val="1F497D" w:themeColor="text2"/>
          <w:sz w:val="28"/>
          <w:szCs w:val="28"/>
        </w:rPr>
        <w:t>wait</w:t>
      </w:r>
      <w:proofErr w:type="gramEnd"/>
      <w:r w:rsidRPr="00955018">
        <w:rPr>
          <w:rFonts w:ascii="Perpetua" w:hAnsi="Perpetua"/>
          <w:b/>
          <w:i/>
          <w:color w:val="1F497D" w:themeColor="text2"/>
          <w:sz w:val="28"/>
          <w:szCs w:val="28"/>
        </w:rPr>
        <w:t xml:space="preserve"> a single moment before starting to improve the world.”  -- Anne Frank</w:t>
      </w:r>
    </w:p>
    <w:p w:rsidR="00955018" w:rsidRDefault="00955018" w:rsidP="00955018">
      <w:pPr>
        <w:spacing w:line="240" w:lineRule="auto"/>
        <w:contextualSpacing/>
        <w:rPr>
          <w:rFonts w:ascii="Perpetua" w:hAnsi="Perpetua"/>
          <w:b/>
          <w:i/>
          <w:color w:val="1F497D" w:themeColor="text2"/>
          <w:sz w:val="28"/>
          <w:szCs w:val="28"/>
        </w:rPr>
      </w:pPr>
    </w:p>
    <w:p w:rsidR="006345A8" w:rsidRDefault="009F7C7F" w:rsidP="006A519B">
      <w:pPr>
        <w:spacing w:line="240" w:lineRule="auto"/>
        <w:contextualSpacing/>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3409950</wp:posOffset>
            </wp:positionH>
            <wp:positionV relativeFrom="paragraph">
              <wp:posOffset>149225</wp:posOffset>
            </wp:positionV>
            <wp:extent cx="2800350" cy="2447925"/>
            <wp:effectExtent l="19050" t="0" r="0" b="0"/>
            <wp:wrapTight wrapText="bothSides">
              <wp:wrapPolygon edited="0">
                <wp:start x="-147" y="0"/>
                <wp:lineTo x="-147" y="18322"/>
                <wp:lineTo x="2645" y="18826"/>
                <wp:lineTo x="1763" y="18826"/>
                <wp:lineTo x="1763" y="20507"/>
                <wp:lineTo x="13812" y="21516"/>
                <wp:lineTo x="13812" y="21516"/>
                <wp:lineTo x="19837" y="21516"/>
                <wp:lineTo x="20131" y="21516"/>
                <wp:lineTo x="20571" y="19499"/>
                <wp:lineTo x="20571" y="16137"/>
                <wp:lineTo x="20424" y="13616"/>
                <wp:lineTo x="20424" y="13447"/>
                <wp:lineTo x="20865" y="10926"/>
                <wp:lineTo x="20865" y="5379"/>
                <wp:lineTo x="21600" y="2858"/>
                <wp:lineTo x="21600" y="0"/>
                <wp:lineTo x="-147" y="0"/>
              </wp:wrapPolygon>
            </wp:wrapTight>
            <wp:docPr id="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8896" cy="6818713"/>
                      <a:chOff x="0" y="0"/>
                      <a:chExt cx="9218896" cy="6818713"/>
                    </a:xfrm>
                  </a:grpSpPr>
                  <a:pic>
                    <a:nvPicPr>
                      <a:cNvPr id="8" name="Picture 7"/>
                      <a:cNvPicPr>
                        <a:picLocks noChangeAspect="1"/>
                      </a:cNvPicPr>
                    </a:nvPicPr>
                    <a:blipFill rotWithShape="1">
                      <a:blip r:embed="rId9"/>
                      <a:srcRect l="7997" t="13306" r="71385" b="39007"/>
                      <a:stretch/>
                    </a:blipFill>
                    <a:spPr>
                      <a:xfrm>
                        <a:off x="53914" y="1416537"/>
                        <a:ext cx="5460590" cy="4353515"/>
                      </a:xfrm>
                      <a:prstGeom prst="rect">
                        <a:avLst/>
                      </a:prstGeom>
                    </a:spPr>
                  </a:pic>
                  <a:sp>
                    <a:nvSpPr>
                      <a:cNvPr id="6" name="Rounded Rectangle 5"/>
                      <a:cNvSpPr/>
                    </a:nvSpPr>
                    <a:spPr>
                      <a:xfrm>
                        <a:off x="2959331" y="1143506"/>
                        <a:ext cx="5824816" cy="2699928"/>
                      </a:xfrm>
                      <a:prstGeom prst="roundRect">
                        <a:avLst/>
                      </a:prstGeom>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ES" altLang="en-US" sz="2000" dirty="0" smtClean="0">
                              <a:solidFill>
                                <a:schemeClr val="tx1"/>
                              </a:solidFill>
                            </a:rPr>
                            <a:t>Una forma rica, fácil e innovadora de  fortificación que </a:t>
                          </a:r>
                          <a:r>
                            <a:rPr lang="es-ES" altLang="en-US" sz="2000" b="1" dirty="0" smtClean="0">
                              <a:solidFill>
                                <a:schemeClr val="tx1"/>
                              </a:solidFill>
                            </a:rPr>
                            <a:t>ha demostrado prevenir y tratar efectivamente las deficiencias de vitaminas y minerales utilizando un medio familiar para las familias. </a:t>
                          </a:r>
                          <a:endParaRPr lang="es-CO" sz="2000" dirty="0" smtClean="0">
                            <a:solidFill>
                              <a:schemeClr val="tx1"/>
                            </a:solidFill>
                          </a:endParaRPr>
                        </a:p>
                      </a:txBody>
                      <a:useSpRect/>
                    </a:txSp>
                    <a:style>
                      <a:lnRef idx="2">
                        <a:schemeClr val="accent2"/>
                      </a:lnRef>
                      <a:fillRef idx="1">
                        <a:schemeClr val="lt1"/>
                      </a:fillRef>
                      <a:effectRef idx="0">
                        <a:schemeClr val="accent2"/>
                      </a:effectRef>
                      <a:fontRef idx="minor">
                        <a:schemeClr val="dk1"/>
                      </a:fontRef>
                    </a:style>
                  </a:sp>
                  <a:sp>
                    <a:nvSpPr>
                      <a:cNvPr id="7" name="Rectangle 6"/>
                      <a:cNvSpPr/>
                    </a:nvSpPr>
                    <a:spPr>
                      <a:xfrm>
                        <a:off x="74896" y="0"/>
                        <a:ext cx="9144000" cy="936364"/>
                      </a:xfrm>
                      <a:prstGeom prst="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0800000" scaled="1"/>
                        <a:tileRect/>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Title 1"/>
                      <a:cNvSpPr>
                        <a:spLocks noGrp="1"/>
                      </a:cNvSpPr>
                    </a:nvSpPr>
                    <a:spPr>
                      <a:xfrm>
                        <a:off x="0" y="1"/>
                        <a:ext cx="9040969" cy="936364"/>
                      </a:xfrm>
                      <a:prstGeom prst="rect">
                        <a:avLst/>
                      </a:prstGeom>
                    </a:spPr>
                    <a:txSp>
                      <a:txBody>
                        <a:bodyPr vert="horz" lIns="91440" tIns="45720" rIns="91440" bIns="45720" rtlCol="0" anchor="ctr">
                          <a:normAutofit/>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pPr algn="ctr"/>
                          <a:r>
                            <a:rPr lang="en-US" b="1" dirty="0" err="1" smtClean="0">
                              <a:latin typeface="Arial" panose="020B0604020202020204" pitchFamily="34" charset="0"/>
                              <a:cs typeface="Arial" panose="020B0604020202020204" pitchFamily="34" charset="0"/>
                            </a:rPr>
                            <a:t>Qué</a:t>
                          </a:r>
                          <a:r>
                            <a:rPr lang="en-US" b="1" dirty="0" smtClean="0">
                              <a:latin typeface="Arial" panose="020B0604020202020204" pitchFamily="34" charset="0"/>
                              <a:cs typeface="Arial" panose="020B0604020202020204" pitchFamily="34" charset="0"/>
                            </a:rPr>
                            <a:t> </a:t>
                          </a:r>
                          <a:r>
                            <a:rPr lang="en-US" b="1" dirty="0" err="1" smtClean="0">
                              <a:latin typeface="Arial" panose="020B0604020202020204" pitchFamily="34" charset="0"/>
                              <a:cs typeface="Arial" panose="020B0604020202020204" pitchFamily="34" charset="0"/>
                            </a:rPr>
                            <a:t>es</a:t>
                          </a:r>
                          <a:r>
                            <a:rPr lang="en-US" b="1" dirty="0" smtClean="0">
                              <a:latin typeface="Arial" panose="020B0604020202020204" pitchFamily="34" charset="0"/>
                              <a:cs typeface="Arial" panose="020B0604020202020204" pitchFamily="34" charset="0"/>
                            </a:rPr>
                            <a:t> Chispuditos?</a:t>
                          </a:r>
                          <a:endParaRPr lang="en-US" b="1" dirty="0">
                            <a:latin typeface="Arial" panose="020B0604020202020204" pitchFamily="34" charset="0"/>
                            <a:cs typeface="Arial" panose="020B0604020202020204" pitchFamily="34" charset="0"/>
                          </a:endParaRPr>
                        </a:p>
                      </a:txBody>
                      <a:useSpRect/>
                    </a:txSp>
                  </a:sp>
                  <a:sp>
                    <a:nvSpPr>
                      <a:cNvPr id="3" name="Rounded Rectangle 2"/>
                      <a:cNvSpPr/>
                    </a:nvSpPr>
                    <a:spPr>
                      <a:xfrm>
                        <a:off x="814429" y="6043083"/>
                        <a:ext cx="3031958" cy="414282"/>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2400" b="1" dirty="0" smtClean="0">
                              <a:solidFill>
                                <a:schemeClr val="tx1"/>
                              </a:solidFill>
                            </a:rPr>
                            <a:t>SIN ÁNIMO DE LUCRO</a:t>
                          </a:r>
                          <a:endParaRPr lang="es-CO"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5673524" y="4011288"/>
                        <a:ext cx="2951602" cy="2807425"/>
                      </a:xfrm>
                      <a:prstGeom prst="roundRect">
                        <a:avLst/>
                      </a:prstGeom>
                      <a:noFill/>
                      <a:ln>
                        <a:solidFill>
                          <a:schemeClr val="accent2"/>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s-CO" sz="2000" dirty="0" smtClean="0">
                              <a:solidFill>
                                <a:schemeClr val="tx1"/>
                              </a:solidFill>
                            </a:rPr>
                            <a:t>Una alternativa </a:t>
                          </a:r>
                          <a:r>
                            <a:rPr lang="es-ES" altLang="en-US" sz="2000" dirty="0" smtClean="0">
                              <a:solidFill>
                                <a:schemeClr val="tx1"/>
                              </a:solidFill>
                            </a:rPr>
                            <a:t>para </a:t>
                          </a:r>
                          <a:r>
                            <a:rPr lang="es-ES" altLang="en-US" sz="2000" dirty="0">
                              <a:solidFill>
                                <a:schemeClr val="tx1"/>
                              </a:solidFill>
                            </a:rPr>
                            <a:t>proporcionar micronutrientes a </a:t>
                          </a:r>
                          <a:r>
                            <a:rPr lang="es-ES" altLang="en-US" sz="2000" dirty="0" smtClean="0">
                              <a:solidFill>
                                <a:schemeClr val="tx1"/>
                              </a:solidFill>
                            </a:rPr>
                            <a:t>poblaciones en riesgo de desnutrición crónica/deficiencia de micronutrientes</a:t>
                          </a:r>
                          <a:r>
                            <a:rPr lang="es-ES" altLang="en-US" dirty="0" smtClean="0">
                              <a:solidFill>
                                <a:schemeClr val="tx1"/>
                              </a:solidFill>
                            </a:rPr>
                            <a:t>.</a:t>
                          </a:r>
                          <a:endParaRPr lang="es-CO" dirty="0"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roofErr w:type="spellStart"/>
      <w:r w:rsidR="00080504" w:rsidRPr="00080504">
        <w:rPr>
          <w:sz w:val="24"/>
          <w:szCs w:val="24"/>
        </w:rPr>
        <w:t>Chispuditos</w:t>
      </w:r>
      <w:proofErr w:type="spellEnd"/>
      <w:r w:rsidR="00080504" w:rsidRPr="00080504">
        <w:rPr>
          <w:sz w:val="24"/>
          <w:szCs w:val="24"/>
        </w:rPr>
        <w:t xml:space="preserve"> works</w:t>
      </w:r>
      <w:r w:rsidR="00A44F40">
        <w:rPr>
          <w:sz w:val="24"/>
          <w:szCs w:val="24"/>
        </w:rPr>
        <w:t>!</w:t>
      </w:r>
      <w:r w:rsidR="00080504">
        <w:rPr>
          <w:sz w:val="24"/>
          <w:szCs w:val="24"/>
        </w:rPr>
        <w:t xml:space="preserve"> </w:t>
      </w:r>
      <w:r w:rsidR="00A44F40">
        <w:rPr>
          <w:sz w:val="24"/>
          <w:szCs w:val="24"/>
        </w:rPr>
        <w:t xml:space="preserve">We’ve been working on this since 2008 with the </w:t>
      </w:r>
      <w:proofErr w:type="spellStart"/>
      <w:r w:rsidR="00A44F40">
        <w:rPr>
          <w:sz w:val="24"/>
          <w:szCs w:val="24"/>
        </w:rPr>
        <w:t>Mathile</w:t>
      </w:r>
      <w:proofErr w:type="spellEnd"/>
      <w:r w:rsidR="00A44F40">
        <w:rPr>
          <w:sz w:val="24"/>
          <w:szCs w:val="24"/>
        </w:rPr>
        <w:t xml:space="preserve"> Institute and we’ve got it right.</w:t>
      </w:r>
      <w:r w:rsidR="00080504" w:rsidRPr="00080504">
        <w:rPr>
          <w:sz w:val="24"/>
          <w:szCs w:val="24"/>
        </w:rPr>
        <w:t xml:space="preserve"> </w:t>
      </w:r>
      <w:r w:rsidR="00A44F40">
        <w:rPr>
          <w:sz w:val="24"/>
          <w:szCs w:val="24"/>
        </w:rPr>
        <w:t>We won’t bore you with all of the studies here, but you can find them on our website. What we are trying to do now is to get this product to as many children who need it as possible</w:t>
      </w:r>
      <w:r w:rsidR="001A2F5E">
        <w:rPr>
          <w:sz w:val="24"/>
          <w:szCs w:val="24"/>
        </w:rPr>
        <w:t xml:space="preserve"> with help from people like you</w:t>
      </w:r>
      <w:r w:rsidR="00A44F40">
        <w:rPr>
          <w:sz w:val="24"/>
          <w:szCs w:val="24"/>
        </w:rPr>
        <w:t xml:space="preserve">. </w:t>
      </w:r>
      <w:r w:rsidR="001A2F5E">
        <w:rPr>
          <w:sz w:val="24"/>
          <w:szCs w:val="24"/>
        </w:rPr>
        <w:t>The people we serve are poor. The under nutrition they suffer is not because they take most of their meals at a fast food joint. They eat what they can grow</w:t>
      </w:r>
      <w:r w:rsidR="00542AB0">
        <w:rPr>
          <w:sz w:val="24"/>
          <w:szCs w:val="24"/>
        </w:rPr>
        <w:t xml:space="preserve"> – beans and corn.  </w:t>
      </w:r>
      <w:bookmarkStart w:id="0" w:name="_GoBack"/>
      <w:bookmarkEnd w:id="0"/>
      <w:r w:rsidR="00C52D55">
        <w:rPr>
          <w:sz w:val="24"/>
          <w:szCs w:val="24"/>
        </w:rPr>
        <w:t xml:space="preserve">In the best of times there is little variety and a substandard level of nutrition. </w:t>
      </w:r>
      <w:r w:rsidR="001A2F5E">
        <w:rPr>
          <w:sz w:val="24"/>
          <w:szCs w:val="24"/>
        </w:rPr>
        <w:t xml:space="preserve">If the harvest fails, well, you might be able to guess at the result. </w:t>
      </w:r>
    </w:p>
    <w:p w:rsidR="006345A8" w:rsidRDefault="004349E5" w:rsidP="004349E5">
      <w:pPr>
        <w:spacing w:line="240" w:lineRule="auto"/>
        <w:contextualSpacing/>
        <w:jc w:val="center"/>
        <w:rPr>
          <w:sz w:val="36"/>
          <w:szCs w:val="36"/>
        </w:rPr>
      </w:pPr>
      <w:r w:rsidRPr="004349E5">
        <w:rPr>
          <w:sz w:val="36"/>
          <w:szCs w:val="36"/>
        </w:rPr>
        <w:lastRenderedPageBreak/>
        <w:t>Data from 2017</w:t>
      </w:r>
    </w:p>
    <w:p w:rsidR="004349E5" w:rsidRDefault="004349E5" w:rsidP="004349E5">
      <w:pPr>
        <w:spacing w:line="240" w:lineRule="auto"/>
        <w:contextualSpacing/>
        <w:rPr>
          <w:sz w:val="24"/>
          <w:szCs w:val="24"/>
        </w:rPr>
      </w:pPr>
    </w:p>
    <w:p w:rsidR="002B4882" w:rsidRPr="00616B64" w:rsidRDefault="004349E5" w:rsidP="004349E5">
      <w:pPr>
        <w:spacing w:line="240" w:lineRule="auto"/>
        <w:contextualSpacing/>
      </w:pPr>
      <w:r w:rsidRPr="00616B64">
        <w:t>The following report summarizes data</w:t>
      </w:r>
      <w:r w:rsidR="00616B64">
        <w:t xml:space="preserve"> from </w:t>
      </w:r>
      <w:r w:rsidR="00BC7335">
        <w:t>July 2016 through May 2017</w:t>
      </w:r>
      <w:r w:rsidRPr="00616B64">
        <w:t xml:space="preserve">. </w:t>
      </w:r>
      <w:r w:rsidR="002B4882" w:rsidRPr="00616B64">
        <w:t xml:space="preserve">We have completed a full cycle of distribution, but the data </w:t>
      </w:r>
      <w:r w:rsidR="00616B64">
        <w:t>are</w:t>
      </w:r>
      <w:r w:rsidR="002B4882" w:rsidRPr="00616B64">
        <w:t xml:space="preserve"> not yet available. Another report will be generated and sent out in September. There are presently 2,944 children enrolled in the nutrition program.</w:t>
      </w:r>
    </w:p>
    <w:tbl>
      <w:tblPr>
        <w:tblStyle w:val="LightShading"/>
        <w:tblpPr w:leftFromText="141" w:rightFromText="141" w:vertAnchor="text" w:horzAnchor="margin" w:tblpXSpec="center" w:tblpY="96"/>
        <w:tblW w:w="0" w:type="auto"/>
        <w:tblLook w:val="04A0"/>
      </w:tblPr>
      <w:tblGrid>
        <w:gridCol w:w="1895"/>
        <w:gridCol w:w="1751"/>
        <w:gridCol w:w="2219"/>
        <w:gridCol w:w="2219"/>
      </w:tblGrid>
      <w:tr w:rsidR="001374C9" w:rsidRPr="004425AD" w:rsidTr="00A609AE">
        <w:trPr>
          <w:cnfStyle w:val="100000000000"/>
          <w:trHeight w:val="368"/>
        </w:trPr>
        <w:tc>
          <w:tcPr>
            <w:cnfStyle w:val="001000000000"/>
            <w:tcW w:w="1895" w:type="dxa"/>
          </w:tcPr>
          <w:p w:rsidR="001374C9" w:rsidRPr="004425AD" w:rsidRDefault="001374C9" w:rsidP="00BB72E1">
            <w:pPr>
              <w:pStyle w:val="ListParagraph"/>
              <w:ind w:left="0"/>
              <w:jc w:val="center"/>
              <w:rPr>
                <w:lang w:val="en-US"/>
              </w:rPr>
            </w:pPr>
            <w:r w:rsidRPr="004425AD">
              <w:rPr>
                <w:lang w:val="en-US"/>
              </w:rPr>
              <w:t>Municipality</w:t>
            </w:r>
          </w:p>
        </w:tc>
        <w:tc>
          <w:tcPr>
            <w:tcW w:w="1751" w:type="dxa"/>
          </w:tcPr>
          <w:p w:rsidR="001374C9" w:rsidRPr="004425AD" w:rsidRDefault="001374C9" w:rsidP="00BB72E1">
            <w:pPr>
              <w:pStyle w:val="ListParagraph"/>
              <w:ind w:left="0"/>
              <w:jc w:val="center"/>
              <w:cnfStyle w:val="100000000000"/>
              <w:rPr>
                <w:lang w:val="en-US"/>
              </w:rPr>
            </w:pPr>
            <w:r w:rsidRPr="004425AD">
              <w:rPr>
                <w:lang w:val="en-US"/>
              </w:rPr>
              <w:t>Communities</w:t>
            </w:r>
          </w:p>
        </w:tc>
        <w:tc>
          <w:tcPr>
            <w:tcW w:w="2219" w:type="dxa"/>
          </w:tcPr>
          <w:p w:rsidR="001374C9" w:rsidRPr="004425AD" w:rsidRDefault="00A609AE" w:rsidP="00A609AE">
            <w:pPr>
              <w:pStyle w:val="ListParagraph"/>
              <w:ind w:left="0"/>
              <w:jc w:val="center"/>
              <w:cnfStyle w:val="100000000000"/>
              <w:rPr>
                <w:lang w:val="en-US"/>
              </w:rPr>
            </w:pPr>
            <w:r>
              <w:rPr>
                <w:lang w:val="en-US"/>
              </w:rPr>
              <w:t xml:space="preserve"># </w:t>
            </w:r>
            <w:r w:rsidR="001374C9" w:rsidRPr="004425AD">
              <w:rPr>
                <w:lang w:val="en-US"/>
              </w:rPr>
              <w:t>Children  (Oct</w:t>
            </w:r>
            <w:r w:rsidR="001374C9">
              <w:rPr>
                <w:lang w:val="en-US"/>
              </w:rPr>
              <w:t>ober</w:t>
            </w:r>
            <w:r w:rsidR="001374C9" w:rsidRPr="004425AD">
              <w:rPr>
                <w:lang w:val="en-US"/>
              </w:rPr>
              <w:t>)</w:t>
            </w:r>
          </w:p>
        </w:tc>
        <w:tc>
          <w:tcPr>
            <w:tcW w:w="2219" w:type="dxa"/>
          </w:tcPr>
          <w:p w:rsidR="001374C9" w:rsidRPr="004425AD" w:rsidRDefault="00A609AE" w:rsidP="00A609AE">
            <w:pPr>
              <w:pStyle w:val="ListParagraph"/>
              <w:ind w:left="0"/>
              <w:jc w:val="center"/>
              <w:cnfStyle w:val="100000000000"/>
              <w:rPr>
                <w:lang w:val="en-US"/>
              </w:rPr>
            </w:pPr>
            <w:r>
              <w:rPr>
                <w:lang w:val="en-US"/>
              </w:rPr>
              <w:t xml:space="preserve"># </w:t>
            </w:r>
            <w:r w:rsidR="001374C9" w:rsidRPr="004425AD">
              <w:rPr>
                <w:lang w:val="en-US"/>
              </w:rPr>
              <w:t>Children (April)</w:t>
            </w:r>
          </w:p>
        </w:tc>
      </w:tr>
      <w:tr w:rsidR="001374C9" w:rsidRPr="004425AD" w:rsidTr="00A609AE">
        <w:trPr>
          <w:cnfStyle w:val="000000100000"/>
          <w:trHeight w:val="184"/>
        </w:trPr>
        <w:tc>
          <w:tcPr>
            <w:cnfStyle w:val="001000000000"/>
            <w:tcW w:w="1895" w:type="dxa"/>
            <w:vAlign w:val="center"/>
          </w:tcPr>
          <w:p w:rsidR="001374C9" w:rsidRPr="00A609AE" w:rsidRDefault="001374C9" w:rsidP="00BB72E1">
            <w:pPr>
              <w:pStyle w:val="ListParagraph"/>
              <w:ind w:left="0"/>
              <w:jc w:val="center"/>
              <w:rPr>
                <w:sz w:val="20"/>
                <w:szCs w:val="20"/>
                <w:lang w:val="en-US"/>
              </w:rPr>
            </w:pPr>
            <w:proofErr w:type="spellStart"/>
            <w:r w:rsidRPr="00A609AE">
              <w:rPr>
                <w:sz w:val="20"/>
                <w:szCs w:val="20"/>
                <w:lang w:val="en-US"/>
              </w:rPr>
              <w:t>Colomoncagua</w:t>
            </w:r>
            <w:proofErr w:type="spellEnd"/>
          </w:p>
        </w:tc>
        <w:tc>
          <w:tcPr>
            <w:tcW w:w="1751" w:type="dxa"/>
            <w:vAlign w:val="center"/>
          </w:tcPr>
          <w:p w:rsidR="001374C9" w:rsidRPr="00A609AE" w:rsidRDefault="001374C9" w:rsidP="00BB72E1">
            <w:pPr>
              <w:pStyle w:val="ListParagraph"/>
              <w:ind w:left="0"/>
              <w:jc w:val="center"/>
              <w:cnfStyle w:val="000000100000"/>
              <w:rPr>
                <w:sz w:val="20"/>
                <w:szCs w:val="20"/>
                <w:lang w:val="en-US"/>
              </w:rPr>
            </w:pPr>
            <w:r w:rsidRPr="00A609AE">
              <w:rPr>
                <w:sz w:val="20"/>
                <w:szCs w:val="20"/>
                <w:lang w:val="en-US"/>
              </w:rPr>
              <w:t>51</w:t>
            </w:r>
          </w:p>
        </w:tc>
        <w:tc>
          <w:tcPr>
            <w:tcW w:w="2219" w:type="dxa"/>
            <w:vAlign w:val="center"/>
          </w:tcPr>
          <w:p w:rsidR="001374C9" w:rsidRPr="00A609AE" w:rsidRDefault="001374C9" w:rsidP="00BB72E1">
            <w:pPr>
              <w:pStyle w:val="ListParagraph"/>
              <w:ind w:left="0"/>
              <w:jc w:val="center"/>
              <w:cnfStyle w:val="000000100000"/>
              <w:rPr>
                <w:sz w:val="20"/>
                <w:szCs w:val="20"/>
                <w:lang w:val="en-US"/>
              </w:rPr>
            </w:pPr>
            <w:r w:rsidRPr="00A609AE">
              <w:rPr>
                <w:sz w:val="20"/>
                <w:szCs w:val="20"/>
                <w:lang w:val="en-US"/>
              </w:rPr>
              <w:t>1,508</w:t>
            </w:r>
          </w:p>
        </w:tc>
        <w:tc>
          <w:tcPr>
            <w:tcW w:w="2219" w:type="dxa"/>
          </w:tcPr>
          <w:p w:rsidR="001374C9" w:rsidRPr="00A609AE" w:rsidRDefault="001374C9" w:rsidP="00BB72E1">
            <w:pPr>
              <w:pStyle w:val="ListParagraph"/>
              <w:ind w:left="0"/>
              <w:jc w:val="center"/>
              <w:cnfStyle w:val="000000100000"/>
              <w:rPr>
                <w:sz w:val="20"/>
                <w:szCs w:val="20"/>
                <w:lang w:val="en-US"/>
              </w:rPr>
            </w:pPr>
            <w:r w:rsidRPr="00A609AE">
              <w:rPr>
                <w:sz w:val="20"/>
                <w:szCs w:val="20"/>
                <w:lang w:val="en-US"/>
              </w:rPr>
              <w:t>1,499</w:t>
            </w:r>
          </w:p>
        </w:tc>
      </w:tr>
      <w:tr w:rsidR="001374C9" w:rsidRPr="004425AD" w:rsidTr="00A609AE">
        <w:trPr>
          <w:trHeight w:val="184"/>
        </w:trPr>
        <w:tc>
          <w:tcPr>
            <w:cnfStyle w:val="001000000000"/>
            <w:tcW w:w="1895" w:type="dxa"/>
            <w:vAlign w:val="center"/>
          </w:tcPr>
          <w:p w:rsidR="001374C9" w:rsidRPr="00A609AE" w:rsidRDefault="001374C9" w:rsidP="00BB72E1">
            <w:pPr>
              <w:pStyle w:val="ListParagraph"/>
              <w:ind w:left="0"/>
              <w:jc w:val="center"/>
              <w:rPr>
                <w:sz w:val="20"/>
                <w:szCs w:val="20"/>
                <w:lang w:val="en-US"/>
              </w:rPr>
            </w:pPr>
            <w:r w:rsidRPr="00A609AE">
              <w:rPr>
                <w:sz w:val="20"/>
                <w:szCs w:val="20"/>
                <w:lang w:val="en-US"/>
              </w:rPr>
              <w:t>San Marcos</w:t>
            </w:r>
          </w:p>
        </w:tc>
        <w:tc>
          <w:tcPr>
            <w:tcW w:w="1751" w:type="dxa"/>
            <w:vAlign w:val="center"/>
          </w:tcPr>
          <w:p w:rsidR="001374C9" w:rsidRPr="00A609AE" w:rsidRDefault="001374C9" w:rsidP="00BB72E1">
            <w:pPr>
              <w:pStyle w:val="ListParagraph"/>
              <w:ind w:left="0"/>
              <w:jc w:val="center"/>
              <w:cnfStyle w:val="000000000000"/>
              <w:rPr>
                <w:sz w:val="20"/>
                <w:szCs w:val="20"/>
                <w:lang w:val="en-US"/>
              </w:rPr>
            </w:pPr>
            <w:r w:rsidRPr="00A609AE">
              <w:rPr>
                <w:sz w:val="20"/>
                <w:szCs w:val="20"/>
                <w:lang w:val="en-US"/>
              </w:rPr>
              <w:t>30</w:t>
            </w:r>
          </w:p>
        </w:tc>
        <w:tc>
          <w:tcPr>
            <w:tcW w:w="2219" w:type="dxa"/>
            <w:vAlign w:val="center"/>
          </w:tcPr>
          <w:p w:rsidR="001374C9" w:rsidRPr="00A609AE" w:rsidRDefault="001374C9" w:rsidP="00BB72E1">
            <w:pPr>
              <w:pStyle w:val="ListParagraph"/>
              <w:ind w:left="0"/>
              <w:jc w:val="center"/>
              <w:cnfStyle w:val="000000000000"/>
              <w:rPr>
                <w:sz w:val="20"/>
                <w:szCs w:val="20"/>
                <w:lang w:val="en-US"/>
              </w:rPr>
            </w:pPr>
            <w:r w:rsidRPr="00A609AE">
              <w:rPr>
                <w:sz w:val="20"/>
                <w:szCs w:val="20"/>
                <w:lang w:val="en-US"/>
              </w:rPr>
              <w:t>781</w:t>
            </w:r>
          </w:p>
        </w:tc>
        <w:tc>
          <w:tcPr>
            <w:tcW w:w="2219" w:type="dxa"/>
          </w:tcPr>
          <w:p w:rsidR="001374C9" w:rsidRPr="00A609AE" w:rsidRDefault="001374C9" w:rsidP="00BB72E1">
            <w:pPr>
              <w:pStyle w:val="ListParagraph"/>
              <w:ind w:left="0"/>
              <w:jc w:val="center"/>
              <w:cnfStyle w:val="000000000000"/>
              <w:rPr>
                <w:sz w:val="20"/>
                <w:szCs w:val="20"/>
                <w:lang w:val="en-US"/>
              </w:rPr>
            </w:pPr>
            <w:r w:rsidRPr="00A609AE">
              <w:rPr>
                <w:sz w:val="20"/>
                <w:szCs w:val="20"/>
                <w:lang w:val="en-US"/>
              </w:rPr>
              <w:t>860</w:t>
            </w:r>
          </w:p>
        </w:tc>
      </w:tr>
      <w:tr w:rsidR="001374C9" w:rsidRPr="004425AD" w:rsidTr="00A609AE">
        <w:trPr>
          <w:cnfStyle w:val="000000100000"/>
          <w:trHeight w:val="184"/>
        </w:trPr>
        <w:tc>
          <w:tcPr>
            <w:cnfStyle w:val="001000000000"/>
            <w:tcW w:w="1895" w:type="dxa"/>
            <w:vAlign w:val="center"/>
          </w:tcPr>
          <w:p w:rsidR="001374C9" w:rsidRPr="00A609AE" w:rsidRDefault="001374C9" w:rsidP="00BB72E1">
            <w:pPr>
              <w:pStyle w:val="ListParagraph"/>
              <w:ind w:left="0"/>
              <w:jc w:val="center"/>
              <w:rPr>
                <w:sz w:val="20"/>
                <w:szCs w:val="20"/>
                <w:lang w:val="en-US"/>
              </w:rPr>
            </w:pPr>
            <w:proofErr w:type="spellStart"/>
            <w:r w:rsidRPr="00A609AE">
              <w:rPr>
                <w:sz w:val="20"/>
                <w:szCs w:val="20"/>
                <w:lang w:val="en-US"/>
              </w:rPr>
              <w:t>Camasca</w:t>
            </w:r>
            <w:proofErr w:type="spellEnd"/>
          </w:p>
        </w:tc>
        <w:tc>
          <w:tcPr>
            <w:tcW w:w="1751" w:type="dxa"/>
            <w:vAlign w:val="center"/>
          </w:tcPr>
          <w:p w:rsidR="001374C9" w:rsidRPr="00A609AE" w:rsidRDefault="001374C9" w:rsidP="00BB72E1">
            <w:pPr>
              <w:pStyle w:val="ListParagraph"/>
              <w:ind w:left="0"/>
              <w:jc w:val="center"/>
              <w:cnfStyle w:val="000000100000"/>
              <w:rPr>
                <w:sz w:val="20"/>
                <w:szCs w:val="20"/>
                <w:lang w:val="en-US"/>
              </w:rPr>
            </w:pPr>
            <w:r w:rsidRPr="00A609AE">
              <w:rPr>
                <w:sz w:val="20"/>
                <w:szCs w:val="20"/>
                <w:lang w:val="en-US"/>
              </w:rPr>
              <w:t>14</w:t>
            </w:r>
          </w:p>
        </w:tc>
        <w:tc>
          <w:tcPr>
            <w:tcW w:w="2219" w:type="dxa"/>
            <w:vAlign w:val="center"/>
          </w:tcPr>
          <w:p w:rsidR="001374C9" w:rsidRPr="00A609AE" w:rsidRDefault="001374C9" w:rsidP="00BB72E1">
            <w:pPr>
              <w:pStyle w:val="ListParagraph"/>
              <w:ind w:left="0"/>
              <w:jc w:val="center"/>
              <w:cnfStyle w:val="000000100000"/>
              <w:rPr>
                <w:sz w:val="20"/>
                <w:szCs w:val="20"/>
                <w:lang w:val="en-US"/>
              </w:rPr>
            </w:pPr>
            <w:r w:rsidRPr="00A609AE">
              <w:rPr>
                <w:sz w:val="20"/>
                <w:szCs w:val="20"/>
                <w:lang w:val="en-US"/>
              </w:rPr>
              <w:t>522</w:t>
            </w:r>
          </w:p>
        </w:tc>
        <w:tc>
          <w:tcPr>
            <w:tcW w:w="2219" w:type="dxa"/>
          </w:tcPr>
          <w:p w:rsidR="001374C9" w:rsidRPr="00A609AE" w:rsidRDefault="001374C9" w:rsidP="00BB72E1">
            <w:pPr>
              <w:pStyle w:val="ListParagraph"/>
              <w:ind w:left="0"/>
              <w:jc w:val="center"/>
              <w:cnfStyle w:val="000000100000"/>
              <w:rPr>
                <w:sz w:val="20"/>
                <w:szCs w:val="20"/>
                <w:lang w:val="en-US"/>
              </w:rPr>
            </w:pPr>
            <w:r w:rsidRPr="00A609AE">
              <w:rPr>
                <w:sz w:val="20"/>
                <w:szCs w:val="20"/>
                <w:lang w:val="en-US"/>
              </w:rPr>
              <w:t>586</w:t>
            </w:r>
          </w:p>
        </w:tc>
      </w:tr>
      <w:tr w:rsidR="001374C9" w:rsidTr="00A609AE">
        <w:trPr>
          <w:trHeight w:val="184"/>
        </w:trPr>
        <w:tc>
          <w:tcPr>
            <w:cnfStyle w:val="001000000000"/>
            <w:tcW w:w="1895" w:type="dxa"/>
            <w:vAlign w:val="center"/>
          </w:tcPr>
          <w:p w:rsidR="001374C9" w:rsidRPr="00A609AE" w:rsidRDefault="001374C9" w:rsidP="00BB72E1">
            <w:pPr>
              <w:pStyle w:val="ListParagraph"/>
              <w:ind w:left="0"/>
              <w:jc w:val="center"/>
              <w:rPr>
                <w:sz w:val="20"/>
                <w:szCs w:val="20"/>
                <w:lang w:val="en-US"/>
              </w:rPr>
            </w:pPr>
            <w:r w:rsidRPr="00A609AE">
              <w:rPr>
                <w:sz w:val="20"/>
                <w:szCs w:val="20"/>
                <w:lang w:val="en-US"/>
              </w:rPr>
              <w:t>Total</w:t>
            </w:r>
          </w:p>
        </w:tc>
        <w:tc>
          <w:tcPr>
            <w:tcW w:w="1751" w:type="dxa"/>
            <w:vAlign w:val="center"/>
          </w:tcPr>
          <w:p w:rsidR="001374C9" w:rsidRPr="00A609AE" w:rsidRDefault="001374C9" w:rsidP="00BB72E1">
            <w:pPr>
              <w:pStyle w:val="ListParagraph"/>
              <w:ind w:left="0"/>
              <w:jc w:val="center"/>
              <w:cnfStyle w:val="000000000000"/>
              <w:rPr>
                <w:sz w:val="20"/>
                <w:szCs w:val="20"/>
                <w:lang w:val="en-US"/>
              </w:rPr>
            </w:pPr>
            <w:r w:rsidRPr="00A609AE">
              <w:rPr>
                <w:sz w:val="20"/>
                <w:szCs w:val="20"/>
                <w:lang w:val="en-US"/>
              </w:rPr>
              <w:t>95</w:t>
            </w:r>
          </w:p>
        </w:tc>
        <w:tc>
          <w:tcPr>
            <w:tcW w:w="2219" w:type="dxa"/>
            <w:vAlign w:val="center"/>
          </w:tcPr>
          <w:p w:rsidR="001374C9" w:rsidRPr="00A609AE" w:rsidRDefault="001374C9" w:rsidP="00BB72E1">
            <w:pPr>
              <w:pStyle w:val="ListParagraph"/>
              <w:ind w:left="0"/>
              <w:jc w:val="center"/>
              <w:cnfStyle w:val="000000000000"/>
              <w:rPr>
                <w:sz w:val="20"/>
                <w:szCs w:val="20"/>
                <w:lang w:val="en-US"/>
              </w:rPr>
            </w:pPr>
            <w:r w:rsidRPr="00A609AE">
              <w:rPr>
                <w:sz w:val="20"/>
                <w:szCs w:val="20"/>
                <w:lang w:val="en-US"/>
              </w:rPr>
              <w:t>2,811</w:t>
            </w:r>
          </w:p>
        </w:tc>
        <w:tc>
          <w:tcPr>
            <w:tcW w:w="2219" w:type="dxa"/>
          </w:tcPr>
          <w:p w:rsidR="001374C9" w:rsidRPr="00A609AE" w:rsidRDefault="001374C9" w:rsidP="00BB72E1">
            <w:pPr>
              <w:pStyle w:val="ListParagraph"/>
              <w:ind w:left="0"/>
              <w:jc w:val="center"/>
              <w:cnfStyle w:val="000000000000"/>
              <w:rPr>
                <w:sz w:val="20"/>
                <w:szCs w:val="20"/>
                <w:lang w:val="en-US"/>
              </w:rPr>
            </w:pPr>
            <w:r w:rsidRPr="00A609AE">
              <w:rPr>
                <w:sz w:val="20"/>
                <w:szCs w:val="20"/>
                <w:lang w:val="en-US"/>
              </w:rPr>
              <w:t>2,945</w:t>
            </w:r>
          </w:p>
        </w:tc>
      </w:tr>
    </w:tbl>
    <w:p w:rsidR="002B4882" w:rsidRDefault="002B4882" w:rsidP="001374C9">
      <w:pPr>
        <w:spacing w:line="240" w:lineRule="auto"/>
        <w:contextualSpacing/>
        <w:jc w:val="center"/>
        <w:rPr>
          <w:sz w:val="24"/>
          <w:szCs w:val="24"/>
        </w:rPr>
      </w:pPr>
    </w:p>
    <w:p w:rsidR="001374C9" w:rsidRDefault="001374C9" w:rsidP="001374C9">
      <w:pPr>
        <w:spacing w:line="240" w:lineRule="auto"/>
        <w:contextualSpacing/>
        <w:jc w:val="center"/>
        <w:rPr>
          <w:sz w:val="24"/>
          <w:szCs w:val="24"/>
        </w:rPr>
      </w:pPr>
    </w:p>
    <w:p w:rsidR="001374C9" w:rsidRDefault="001374C9" w:rsidP="001374C9">
      <w:pPr>
        <w:spacing w:line="240" w:lineRule="auto"/>
        <w:contextualSpacing/>
        <w:jc w:val="center"/>
        <w:rPr>
          <w:sz w:val="24"/>
          <w:szCs w:val="24"/>
        </w:rPr>
      </w:pPr>
    </w:p>
    <w:p w:rsidR="001374C9" w:rsidRDefault="001374C9" w:rsidP="001374C9">
      <w:pPr>
        <w:spacing w:line="240" w:lineRule="auto"/>
        <w:contextualSpacing/>
        <w:jc w:val="center"/>
        <w:rPr>
          <w:sz w:val="24"/>
          <w:szCs w:val="24"/>
        </w:rPr>
      </w:pPr>
    </w:p>
    <w:p w:rsidR="001374C9" w:rsidRDefault="001374C9" w:rsidP="001374C9">
      <w:pPr>
        <w:spacing w:line="240" w:lineRule="auto"/>
        <w:contextualSpacing/>
        <w:jc w:val="center"/>
        <w:rPr>
          <w:sz w:val="24"/>
          <w:szCs w:val="24"/>
        </w:rPr>
      </w:pPr>
    </w:p>
    <w:p w:rsidR="006C3099" w:rsidRPr="00A609AE" w:rsidRDefault="006C3099" w:rsidP="006C3099">
      <w:pPr>
        <w:pStyle w:val="Heading1"/>
        <w:spacing w:before="120"/>
        <w:rPr>
          <w:sz w:val="24"/>
          <w:szCs w:val="24"/>
          <w:lang w:val="en-US"/>
        </w:rPr>
      </w:pPr>
      <w:r w:rsidRPr="00A609AE">
        <w:rPr>
          <w:sz w:val="24"/>
          <w:szCs w:val="24"/>
          <w:lang w:val="en-US"/>
        </w:rPr>
        <w:t>3</w:t>
      </w:r>
      <w:r w:rsidRPr="00A609AE">
        <w:rPr>
          <w:sz w:val="24"/>
          <w:szCs w:val="24"/>
          <w:vertAlign w:val="superscript"/>
          <w:lang w:val="en-US"/>
        </w:rPr>
        <w:t>rd</w:t>
      </w:r>
      <w:r w:rsidRPr="00A609AE">
        <w:rPr>
          <w:sz w:val="24"/>
          <w:szCs w:val="24"/>
          <w:lang w:val="en-US"/>
        </w:rPr>
        <w:t xml:space="preserve"> Quarter Heights/Weights</w:t>
      </w:r>
    </w:p>
    <w:p w:rsidR="006C3099" w:rsidRPr="00A609AE" w:rsidRDefault="006C3099" w:rsidP="006C3099">
      <w:pPr>
        <w:pStyle w:val="ListParagraph"/>
        <w:numPr>
          <w:ilvl w:val="0"/>
          <w:numId w:val="1"/>
        </w:numPr>
        <w:spacing w:after="0"/>
        <w:rPr>
          <w:sz w:val="20"/>
          <w:szCs w:val="20"/>
          <w:lang w:val="en-US"/>
        </w:rPr>
      </w:pPr>
      <w:r w:rsidRPr="00A609AE">
        <w:rPr>
          <w:sz w:val="20"/>
          <w:szCs w:val="20"/>
          <w:lang w:val="en-US"/>
        </w:rPr>
        <w:t xml:space="preserve">Nutrition indicators show improvements in weight for age (underweight) and weight for height/length (wasting) for both males and females.  </w:t>
      </w:r>
    </w:p>
    <w:p w:rsidR="006C3099" w:rsidRPr="00A609AE" w:rsidRDefault="006C3099" w:rsidP="006C3099">
      <w:pPr>
        <w:pStyle w:val="ListParagraph"/>
        <w:numPr>
          <w:ilvl w:val="0"/>
          <w:numId w:val="1"/>
        </w:numPr>
        <w:spacing w:after="0"/>
        <w:rPr>
          <w:sz w:val="20"/>
          <w:szCs w:val="20"/>
          <w:lang w:val="en-US"/>
        </w:rPr>
      </w:pPr>
      <w:r w:rsidRPr="00A609AE">
        <w:rPr>
          <w:sz w:val="20"/>
          <w:szCs w:val="20"/>
          <w:lang w:val="en-US"/>
        </w:rPr>
        <w:t>The average height/length for age does not show a clear trend among program participants, although among those who were stunted at baseline there is almost a 25% decrease in stunting by 9 months.  This group also showed large decrease</w:t>
      </w:r>
      <w:r w:rsidR="004E0FC8">
        <w:rPr>
          <w:sz w:val="20"/>
          <w:szCs w:val="20"/>
          <w:lang w:val="en-US"/>
        </w:rPr>
        <w:t>s</w:t>
      </w:r>
      <w:r w:rsidRPr="00A609AE">
        <w:rPr>
          <w:sz w:val="20"/>
          <w:szCs w:val="20"/>
          <w:lang w:val="en-US"/>
        </w:rPr>
        <w:t xml:space="preserve"> in anemia (from 67.6% at baseline to 58.1% at 6 months).</w:t>
      </w:r>
    </w:p>
    <w:p w:rsidR="006C3099" w:rsidRPr="00A609AE" w:rsidRDefault="006C3099" w:rsidP="006C3099">
      <w:pPr>
        <w:pStyle w:val="Heading1"/>
        <w:spacing w:before="120"/>
        <w:rPr>
          <w:sz w:val="24"/>
          <w:szCs w:val="24"/>
          <w:lang w:val="en-US"/>
        </w:rPr>
      </w:pPr>
      <w:r w:rsidRPr="00A609AE">
        <w:rPr>
          <w:sz w:val="24"/>
          <w:szCs w:val="24"/>
          <w:lang w:val="en-US"/>
        </w:rPr>
        <w:t>Mid-Point Anemia Results</w:t>
      </w:r>
    </w:p>
    <w:p w:rsidR="006C3099" w:rsidRPr="00A609AE" w:rsidRDefault="00BC7335" w:rsidP="006C3099">
      <w:pPr>
        <w:pStyle w:val="ListParagraph"/>
        <w:numPr>
          <w:ilvl w:val="0"/>
          <w:numId w:val="1"/>
        </w:numPr>
        <w:spacing w:after="0"/>
        <w:rPr>
          <w:sz w:val="20"/>
          <w:szCs w:val="20"/>
          <w:lang w:val="en-US"/>
        </w:rPr>
      </w:pPr>
      <w:r>
        <w:rPr>
          <w:sz w:val="20"/>
          <w:szCs w:val="20"/>
          <w:lang w:val="en-US"/>
        </w:rPr>
        <w:t>In November 2016,</w:t>
      </w:r>
      <w:r w:rsidR="006C3099" w:rsidRPr="00A609AE">
        <w:rPr>
          <w:sz w:val="20"/>
          <w:szCs w:val="20"/>
          <w:lang w:val="en-US"/>
        </w:rPr>
        <w:t xml:space="preserve"> hemoglobin samples </w:t>
      </w:r>
      <w:r>
        <w:rPr>
          <w:sz w:val="20"/>
          <w:szCs w:val="20"/>
          <w:lang w:val="en-US"/>
        </w:rPr>
        <w:t xml:space="preserve">were taken </w:t>
      </w:r>
      <w:r w:rsidR="006C3099" w:rsidRPr="00A609AE">
        <w:rPr>
          <w:sz w:val="20"/>
          <w:szCs w:val="20"/>
          <w:lang w:val="en-US"/>
        </w:rPr>
        <w:t xml:space="preserve">for a group of randomly selected children under the age of 5.  The final measure of hemoglobin levels </w:t>
      </w:r>
      <w:r>
        <w:rPr>
          <w:sz w:val="20"/>
          <w:szCs w:val="20"/>
          <w:lang w:val="en-US"/>
        </w:rPr>
        <w:t xml:space="preserve">was completed in </w:t>
      </w:r>
      <w:r w:rsidR="006C3099" w:rsidRPr="00A609AE">
        <w:rPr>
          <w:sz w:val="20"/>
          <w:szCs w:val="20"/>
          <w:lang w:val="en-US"/>
        </w:rPr>
        <w:t>June 2017.</w:t>
      </w:r>
    </w:p>
    <w:p w:rsidR="006C3099" w:rsidRDefault="006C3099" w:rsidP="006C3099">
      <w:pPr>
        <w:pStyle w:val="ListParagraph"/>
        <w:numPr>
          <w:ilvl w:val="0"/>
          <w:numId w:val="1"/>
        </w:numPr>
        <w:spacing w:after="0"/>
        <w:rPr>
          <w:sz w:val="20"/>
          <w:szCs w:val="20"/>
          <w:lang w:val="en-US"/>
        </w:rPr>
      </w:pPr>
      <w:r w:rsidRPr="00A609AE">
        <w:rPr>
          <w:sz w:val="20"/>
          <w:szCs w:val="20"/>
          <w:lang w:val="en-US"/>
        </w:rPr>
        <w:t>Among program participants anemia decreased from 51.2% at ba</w:t>
      </w:r>
      <w:r w:rsidR="00BC7335">
        <w:rPr>
          <w:sz w:val="20"/>
          <w:szCs w:val="20"/>
          <w:lang w:val="en-US"/>
        </w:rPr>
        <w:t>seline to 39.7% after 6 months</w:t>
      </w:r>
      <w:r w:rsidRPr="00A609AE">
        <w:rPr>
          <w:sz w:val="20"/>
          <w:szCs w:val="20"/>
          <w:lang w:val="en-US"/>
        </w:rPr>
        <w:t xml:space="preserve">.  This change is more prominent among girls (17% </w:t>
      </w:r>
      <w:proofErr w:type="gramStart"/>
      <w:r w:rsidRPr="00A609AE">
        <w:rPr>
          <w:sz w:val="20"/>
          <w:szCs w:val="20"/>
          <w:lang w:val="en-US"/>
        </w:rPr>
        <w:t>decrease</w:t>
      </w:r>
      <w:proofErr w:type="gramEnd"/>
      <w:r w:rsidRPr="00A609AE">
        <w:rPr>
          <w:sz w:val="20"/>
          <w:szCs w:val="20"/>
          <w:lang w:val="en-US"/>
        </w:rPr>
        <w:t>).</w:t>
      </w:r>
    </w:p>
    <w:p w:rsidR="00006686" w:rsidRDefault="00F34773" w:rsidP="00006686">
      <w:pPr>
        <w:spacing w:after="0"/>
        <w:rPr>
          <w:sz w:val="20"/>
          <w:szCs w:val="20"/>
        </w:rPr>
      </w:pPr>
      <w:r w:rsidRPr="00006686">
        <w:rPr>
          <w:noProof/>
          <w:sz w:val="20"/>
          <w:szCs w:val="20"/>
          <w:lang w:eastAsia="zh-TW"/>
        </w:rPr>
        <w:pict>
          <v:shapetype id="_x0000_t202" coordsize="21600,21600" o:spt="202" path="m,l,21600r21600,l21600,xe">
            <v:stroke joinstyle="miter"/>
            <v:path gradientshapeok="t" o:connecttype="rect"/>
          </v:shapetype>
          <v:shape id="_x0000_s1028" type="#_x0000_t202" style="position:absolute;margin-left:-7.5pt;margin-top:8.75pt;width:475.5pt;height:315.75pt;z-index:251663360;mso-width-relative:margin;mso-height-relative:margin" fillcolor="#eeece1 [3214]" strokecolor="#f79646 [3209]" strokeweight="3pt">
            <v:textbox>
              <w:txbxContent>
                <w:p w:rsidR="00006686" w:rsidRDefault="00006686" w:rsidP="00006686">
                  <w:pPr>
                    <w:spacing w:after="0" w:line="240" w:lineRule="auto"/>
                    <w:contextualSpacing/>
                    <w:rPr>
                      <w:sz w:val="24"/>
                      <w:szCs w:val="24"/>
                    </w:rPr>
                  </w:pPr>
                  <w:r>
                    <w:rPr>
                      <w:sz w:val="24"/>
                      <w:szCs w:val="24"/>
                    </w:rPr>
                    <w:t>Data are fascinating, and this data show that the program works. But if you’re like me, data can also be pretty boring. I like stories. Here’s one of the great success stories.</w:t>
                  </w:r>
                </w:p>
                <w:p w:rsidR="00006686" w:rsidRDefault="00006686" w:rsidP="00006686">
                  <w:pPr>
                    <w:spacing w:after="0" w:line="240" w:lineRule="auto"/>
                    <w:contextualSpacing/>
                    <w:rPr>
                      <w:sz w:val="24"/>
                      <w:szCs w:val="24"/>
                    </w:rPr>
                  </w:pPr>
                </w:p>
                <w:p w:rsidR="00006686" w:rsidRDefault="00F34773" w:rsidP="00F34773">
                  <w:pPr>
                    <w:spacing w:after="0" w:line="240" w:lineRule="auto"/>
                    <w:contextualSpacing/>
                    <w:jc w:val="center"/>
                    <w:rPr>
                      <w:sz w:val="24"/>
                      <w:szCs w:val="24"/>
                    </w:rPr>
                  </w:pPr>
                  <w:r w:rsidRPr="00F34773">
                    <w:rPr>
                      <w:sz w:val="24"/>
                      <w:szCs w:val="24"/>
                    </w:rPr>
                    <w:drawing>
                      <wp:inline distT="0" distB="0" distL="0" distR="0">
                        <wp:extent cx="1619250" cy="1213558"/>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ristianwithMom.jpg"/>
                                <pic:cNvPicPr>
                                  <a:picLocks noChangeAspect="1" noChangeArrowheads="1"/>
                                </pic:cNvPicPr>
                              </pic:nvPicPr>
                              <pic:blipFill>
                                <a:blip r:embed="rId10" cstate="print"/>
                                <a:srcRect/>
                                <a:stretch>
                                  <a:fillRect/>
                                </a:stretch>
                              </pic:blipFill>
                              <pic:spPr bwMode="auto">
                                <a:xfrm>
                                  <a:off x="0" y="0"/>
                                  <a:ext cx="1620423" cy="1214437"/>
                                </a:xfrm>
                                <a:prstGeom prst="rect">
                                  <a:avLst/>
                                </a:prstGeom>
                                <a:noFill/>
                                <a:ln w="9525">
                                  <a:noFill/>
                                  <a:miter lim="800000"/>
                                  <a:headEnd/>
                                  <a:tailEnd/>
                                </a:ln>
                              </pic:spPr>
                            </pic:pic>
                          </a:graphicData>
                        </a:graphic>
                      </wp:inline>
                    </w:drawing>
                  </w:r>
                  <w:r w:rsidRPr="00F34773">
                    <w:rPr>
                      <w:sz w:val="24"/>
                      <w:szCs w:val="24"/>
                    </w:rPr>
                    <w:drawing>
                      <wp:inline distT="0" distB="0" distL="0" distR="0">
                        <wp:extent cx="1602685" cy="1228725"/>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ristian the bean counter.jpg"/>
                                <pic:cNvPicPr>
                                  <a:picLocks noChangeAspect="1" noChangeArrowheads="1"/>
                                </pic:cNvPicPr>
                              </pic:nvPicPr>
                              <pic:blipFill>
                                <a:blip r:embed="rId11" cstate="print"/>
                                <a:srcRect/>
                                <a:stretch>
                                  <a:fillRect/>
                                </a:stretch>
                              </pic:blipFill>
                              <pic:spPr bwMode="auto">
                                <a:xfrm>
                                  <a:off x="0" y="0"/>
                                  <a:ext cx="1602685" cy="1228725"/>
                                </a:xfrm>
                                <a:prstGeom prst="rect">
                                  <a:avLst/>
                                </a:prstGeom>
                                <a:noFill/>
                                <a:ln w="9525">
                                  <a:noFill/>
                                  <a:miter lim="800000"/>
                                  <a:headEnd/>
                                  <a:tailEnd/>
                                </a:ln>
                              </pic:spPr>
                            </pic:pic>
                          </a:graphicData>
                        </a:graphic>
                      </wp:inline>
                    </w:drawing>
                  </w:r>
                </w:p>
                <w:p w:rsidR="00006686" w:rsidRDefault="00006686" w:rsidP="00F34773">
                  <w:pPr>
                    <w:spacing w:after="0" w:line="240" w:lineRule="auto"/>
                    <w:contextualSpacing/>
                    <w:rPr>
                      <w:sz w:val="24"/>
                      <w:szCs w:val="24"/>
                    </w:rPr>
                  </w:pPr>
                  <w:r>
                    <w:rPr>
                      <w:sz w:val="24"/>
                      <w:szCs w:val="24"/>
                    </w:rPr>
                    <w:t>Meet Christian. He’s two. A few days ago, we were delivering water filters to poor families. Nutrition is a serious problem as is clean water. Christian is part of the nutrition program. What an incredible kid! He was engaged with us the whole time we were there, smiling, posing for the camera, and just plain showing off. The family was drying out a fresh harvest of beans, and Christian’s mother had all she could do to keep him out of the beans.</w:t>
                  </w:r>
                </w:p>
                <w:p w:rsidR="00006686" w:rsidRDefault="00006686" w:rsidP="00006686">
                  <w:pPr>
                    <w:spacing w:after="0" w:line="240" w:lineRule="auto"/>
                    <w:contextualSpacing/>
                    <w:rPr>
                      <w:sz w:val="24"/>
                      <w:szCs w:val="24"/>
                    </w:rPr>
                  </w:pPr>
                </w:p>
                <w:p w:rsidR="00006686" w:rsidRPr="00006686" w:rsidRDefault="00006686" w:rsidP="00006686">
                  <w:pPr>
                    <w:spacing w:after="0" w:line="240" w:lineRule="auto"/>
                    <w:contextualSpacing/>
                    <w:rPr>
                      <w:sz w:val="24"/>
                      <w:szCs w:val="24"/>
                    </w:rPr>
                  </w:pPr>
                  <w:r>
                    <w:rPr>
                      <w:sz w:val="24"/>
                      <w:szCs w:val="24"/>
                    </w:rPr>
                    <w:t>I’ve seen children who are undernourished. They maintain a vacant expression. They remain unengaged. It seems unreal to me, and it usually brings tears to my eyes. Give me a kid that thrashes around in the family’s bean harvest over one that stares absently at a wall any day. That’s what the nutrition program accomplishes. Christian, we’re looking forward to your growing up and engaging this incredible world.</w:t>
                  </w:r>
                </w:p>
              </w:txbxContent>
            </v:textbox>
          </v:shape>
        </w:pict>
      </w: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006686">
      <w:pPr>
        <w:spacing w:after="0"/>
        <w:rPr>
          <w:sz w:val="20"/>
          <w:szCs w:val="20"/>
        </w:rPr>
      </w:pPr>
    </w:p>
    <w:p w:rsidR="00006686" w:rsidRDefault="00006686" w:rsidP="006E3F23">
      <w:pPr>
        <w:spacing w:after="0" w:line="240" w:lineRule="auto"/>
        <w:contextualSpacing/>
        <w:rPr>
          <w:sz w:val="24"/>
          <w:szCs w:val="24"/>
        </w:rPr>
      </w:pPr>
    </w:p>
    <w:sectPr w:rsidR="00006686" w:rsidSect="004349E5">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0CF" w:rsidRDefault="00A210CF" w:rsidP="009D1805">
      <w:pPr>
        <w:spacing w:after="0" w:line="240" w:lineRule="auto"/>
      </w:pPr>
      <w:r>
        <w:separator/>
      </w:r>
    </w:p>
  </w:endnote>
  <w:endnote w:type="continuationSeparator" w:id="0">
    <w:p w:rsidR="00A210CF" w:rsidRDefault="00A210CF" w:rsidP="009D18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0CF" w:rsidRDefault="00A210CF" w:rsidP="009D1805">
      <w:pPr>
        <w:spacing w:after="0" w:line="240" w:lineRule="auto"/>
      </w:pPr>
      <w:r>
        <w:separator/>
      </w:r>
    </w:p>
  </w:footnote>
  <w:footnote w:type="continuationSeparator" w:id="0">
    <w:p w:rsidR="00A210CF" w:rsidRDefault="00A210CF" w:rsidP="009D18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805" w:rsidRDefault="009D1805">
    <w:pPr>
      <w:pStyle w:val="Header"/>
    </w:pPr>
    <w:r w:rsidRPr="009D1805">
      <w:rPr>
        <w:noProof/>
      </w:rPr>
      <w:drawing>
        <wp:inline distT="0" distB="0" distL="0" distR="0">
          <wp:extent cx="1377724" cy="77152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tS.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5342" cy="781391"/>
                  </a:xfrm>
                  <a:prstGeom prst="rect">
                    <a:avLst/>
                  </a:prstGeom>
                </pic:spPr>
              </pic:pic>
            </a:graphicData>
          </a:graphic>
        </wp:inline>
      </w:drawing>
    </w:r>
    <w:r>
      <w:t xml:space="preserve">    </w:t>
    </w:r>
    <w:r w:rsidRPr="009D1805">
      <w:rPr>
        <w:noProof/>
      </w:rPr>
      <w:drawing>
        <wp:inline distT="0" distB="0" distL="0" distR="0">
          <wp:extent cx="1557894" cy="819150"/>
          <wp:effectExtent l="19050" t="0" r="4206" b="0"/>
          <wp:docPr id="6" name="Picture 6" descr="http://shouldertoshoulder.org/wp-content/uploads/2013/03/imgr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uldertoshoulder.org/wp-content/uploads/2013/03/imgres1.jpe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938" cy="828112"/>
                  </a:xfrm>
                  <a:prstGeom prst="rect">
                    <a:avLst/>
                  </a:prstGeom>
                  <a:noFill/>
                  <a:ln>
                    <a:noFill/>
                  </a:ln>
                </pic:spPr>
              </pic:pic>
            </a:graphicData>
          </a:graphic>
        </wp:inline>
      </w:drawing>
    </w:r>
    <w:r>
      <w:t xml:space="preserve">     </w:t>
    </w:r>
    <w:r w:rsidRPr="009D1805">
      <w:rPr>
        <w:noProof/>
      </w:rPr>
      <w:drawing>
        <wp:inline distT="0" distB="0" distL="0" distR="0">
          <wp:extent cx="902557" cy="882167"/>
          <wp:effectExtent l="19050" t="0" r="0" b="0"/>
          <wp:docPr id="2" name="Picture 1" descr="Logo AM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MFI"/>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289" cy="886792"/>
                  </a:xfrm>
                  <a:prstGeom prst="rect">
                    <a:avLst/>
                  </a:prstGeom>
                  <a:noFill/>
                  <a:ln>
                    <a:noFill/>
                  </a:ln>
                </pic:spPr>
              </pic:pic>
            </a:graphicData>
          </a:graphic>
        </wp:inline>
      </w:drawing>
    </w:r>
    <w:r>
      <w:t xml:space="preserve">    </w:t>
    </w:r>
    <w:r>
      <w:rPr>
        <w:noProof/>
      </w:rPr>
      <w:drawing>
        <wp:inline distT="0" distB="0" distL="0" distR="0">
          <wp:extent cx="1531046" cy="990600"/>
          <wp:effectExtent l="0" t="0" r="0" b="0"/>
          <wp:docPr id="3" name="Picture 2" descr="Logo_stacked_4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acked_4color.png"/>
                  <pic:cNvPicPr/>
                </pic:nvPicPr>
                <pic:blipFill>
                  <a:blip r:embed="rId4"/>
                  <a:stretch>
                    <a:fillRect/>
                  </a:stretch>
                </pic:blipFill>
                <pic:spPr>
                  <a:xfrm>
                    <a:off x="0" y="0"/>
                    <a:ext cx="1532334" cy="991434"/>
                  </a:xfrm>
                  <a:prstGeom prst="rect">
                    <a:avLst/>
                  </a:prstGeom>
                </pic:spPr>
              </pic:pic>
            </a:graphicData>
          </a:graphic>
        </wp:inline>
      </w:drawing>
    </w:r>
  </w:p>
  <w:p w:rsidR="009D1805" w:rsidRDefault="009D18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A805C6"/>
    <w:multiLevelType w:val="hybridMultilevel"/>
    <w:tmpl w:val="7B8AE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9D1805"/>
    <w:rsid w:val="00006686"/>
    <w:rsid w:val="0004402C"/>
    <w:rsid w:val="00061D36"/>
    <w:rsid w:val="00080504"/>
    <w:rsid w:val="001374C9"/>
    <w:rsid w:val="001A2F5E"/>
    <w:rsid w:val="001F038B"/>
    <w:rsid w:val="0023653A"/>
    <w:rsid w:val="002B4882"/>
    <w:rsid w:val="00395B8C"/>
    <w:rsid w:val="003E3851"/>
    <w:rsid w:val="004349E5"/>
    <w:rsid w:val="004D158C"/>
    <w:rsid w:val="004E0FC8"/>
    <w:rsid w:val="004F4EC3"/>
    <w:rsid w:val="00542AB0"/>
    <w:rsid w:val="005A3190"/>
    <w:rsid w:val="00616B64"/>
    <w:rsid w:val="006345A8"/>
    <w:rsid w:val="0064658D"/>
    <w:rsid w:val="006A519B"/>
    <w:rsid w:val="006C3099"/>
    <w:rsid w:val="006E3F23"/>
    <w:rsid w:val="00767ADA"/>
    <w:rsid w:val="00836312"/>
    <w:rsid w:val="00945739"/>
    <w:rsid w:val="00955018"/>
    <w:rsid w:val="009677D2"/>
    <w:rsid w:val="009D1805"/>
    <w:rsid w:val="009F7C7F"/>
    <w:rsid w:val="00A210CF"/>
    <w:rsid w:val="00A44F40"/>
    <w:rsid w:val="00A609AE"/>
    <w:rsid w:val="00BC7335"/>
    <w:rsid w:val="00C21014"/>
    <w:rsid w:val="00C52D55"/>
    <w:rsid w:val="00CB43A4"/>
    <w:rsid w:val="00CC69F8"/>
    <w:rsid w:val="00D801B0"/>
    <w:rsid w:val="00D843E4"/>
    <w:rsid w:val="00F02BFB"/>
    <w:rsid w:val="00F34773"/>
    <w:rsid w:val="00F856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D36"/>
  </w:style>
  <w:style w:type="paragraph" w:styleId="Heading1">
    <w:name w:val="heading 1"/>
    <w:basedOn w:val="Normal"/>
    <w:next w:val="Normal"/>
    <w:link w:val="Heading1Char"/>
    <w:uiPriority w:val="9"/>
    <w:qFormat/>
    <w:rsid w:val="006C3099"/>
    <w:pPr>
      <w:keepNext/>
      <w:keepLines/>
      <w:spacing w:before="480" w:after="0"/>
      <w:outlineLvl w:val="0"/>
    </w:pPr>
    <w:rPr>
      <w:rFonts w:asciiTheme="majorHAnsi" w:eastAsiaTheme="majorEastAsia" w:hAnsiTheme="majorHAnsi" w:cstheme="majorBidi"/>
      <w:b/>
      <w:bCs/>
      <w:color w:val="365F91" w:themeColor="accent1" w:themeShade="BF"/>
      <w:sz w:val="28"/>
      <w:szCs w:val="28"/>
      <w:lang w:val="es-H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8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805"/>
  </w:style>
  <w:style w:type="paragraph" w:styleId="Footer">
    <w:name w:val="footer"/>
    <w:basedOn w:val="Normal"/>
    <w:link w:val="FooterChar"/>
    <w:uiPriority w:val="99"/>
    <w:semiHidden/>
    <w:unhideWhenUsed/>
    <w:rsid w:val="009D180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D1805"/>
  </w:style>
  <w:style w:type="paragraph" w:styleId="BalloonText">
    <w:name w:val="Balloon Text"/>
    <w:basedOn w:val="Normal"/>
    <w:link w:val="BalloonTextChar"/>
    <w:uiPriority w:val="99"/>
    <w:semiHidden/>
    <w:unhideWhenUsed/>
    <w:rsid w:val="009D1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805"/>
    <w:rPr>
      <w:rFonts w:ascii="Tahoma" w:hAnsi="Tahoma" w:cs="Tahoma"/>
      <w:sz w:val="16"/>
      <w:szCs w:val="16"/>
    </w:rPr>
  </w:style>
  <w:style w:type="paragraph" w:styleId="ListParagraph">
    <w:name w:val="List Paragraph"/>
    <w:basedOn w:val="Normal"/>
    <w:uiPriority w:val="34"/>
    <w:qFormat/>
    <w:rsid w:val="001374C9"/>
    <w:pPr>
      <w:ind w:left="720"/>
      <w:contextualSpacing/>
    </w:pPr>
    <w:rPr>
      <w:lang w:val="es-HN"/>
    </w:rPr>
  </w:style>
  <w:style w:type="table" w:customStyle="1" w:styleId="LightShading">
    <w:name w:val="Light Shading"/>
    <w:basedOn w:val="TableNormal"/>
    <w:uiPriority w:val="60"/>
    <w:rsid w:val="001374C9"/>
    <w:pPr>
      <w:spacing w:after="0" w:line="240" w:lineRule="auto"/>
    </w:pPr>
    <w:rPr>
      <w:color w:val="000000" w:themeColor="text1" w:themeShade="BF"/>
      <w:lang w:val="es-H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6C3099"/>
    <w:rPr>
      <w:rFonts w:asciiTheme="majorHAnsi" w:eastAsiaTheme="majorEastAsia" w:hAnsiTheme="majorHAnsi" w:cstheme="majorBidi"/>
      <w:b/>
      <w:bCs/>
      <w:color w:val="365F91" w:themeColor="accent1" w:themeShade="BF"/>
      <w:sz w:val="28"/>
      <w:szCs w:val="28"/>
      <w:lang w:val="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A39519-5534-4075-989A-166063F13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9</cp:revision>
  <dcterms:created xsi:type="dcterms:W3CDTF">2017-08-19T21:16:00Z</dcterms:created>
  <dcterms:modified xsi:type="dcterms:W3CDTF">2017-08-20T00:29:00Z</dcterms:modified>
</cp:coreProperties>
</file>