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FE1" w:rsidRDefault="003D3FE1" w:rsidP="003D3FE1">
      <w:pPr>
        <w:pStyle w:val="BodyTextIndent"/>
        <w:ind w:left="0"/>
        <w:rPr>
          <w:rFonts w:ascii="Garamond" w:hAnsi="Garamond"/>
        </w:rPr>
      </w:pPr>
      <w:r>
        <w:rPr>
          <w:rFonts w:ascii="Garamond" w:hAnsi="Garamond"/>
        </w:rPr>
        <w:t xml:space="preserve">Despite challenges and delays resulting from the delicate political situation in </w:t>
      </w:r>
      <w:smartTag w:uri="urn:schemas-microsoft-com:office:smarttags" w:element="place">
        <w:r>
          <w:rPr>
            <w:rFonts w:ascii="Garamond" w:hAnsi="Garamond"/>
          </w:rPr>
          <w:t>Southern Sudan</w:t>
        </w:r>
      </w:smartTag>
      <w:r>
        <w:rPr>
          <w:rFonts w:ascii="Garamond" w:hAnsi="Garamond"/>
        </w:rPr>
        <w:t>, International Medical Corps is pleased to report that it has successfully opened the school and provided the first eight months of training to the inaugural class of 50 midwifery and nursing students. During the project period (November 1, 2007 through December 31, 2008), IMC prepared the training school, recruited trainers and students, opened the school, and began classes and practicum for the community nursing and midwifery students.</w:t>
      </w:r>
    </w:p>
    <w:p w:rsidR="003D3FE1" w:rsidRDefault="003D3FE1" w:rsidP="003D3FE1">
      <w:pPr>
        <w:jc w:val="both"/>
        <w:rPr>
          <w:rFonts w:ascii="Garamond" w:hAnsi="Garamond"/>
          <w:b/>
        </w:rPr>
      </w:pPr>
    </w:p>
    <w:p w:rsidR="003D3FE1" w:rsidRDefault="003D3FE1" w:rsidP="003D3FE1">
      <w:pPr>
        <w:jc w:val="both"/>
        <w:rPr>
          <w:rFonts w:ascii="Garamond" w:hAnsi="Garamond"/>
        </w:rPr>
      </w:pPr>
      <w:r>
        <w:rPr>
          <w:rFonts w:ascii="Garamond" w:hAnsi="Garamond"/>
        </w:rPr>
        <w:t xml:space="preserve">This program uniquely addresses a critical shortage of health workers in this fragile region—health workers whose training and subsequent employment will not only improve health care, but also contribute to restoring peace and stability.  In fact, the 27 nurses in the training program represent 10% of </w:t>
      </w:r>
      <w:r>
        <w:rPr>
          <w:rFonts w:ascii="Garamond" w:hAnsi="Garamond"/>
          <w:b/>
        </w:rPr>
        <w:t xml:space="preserve">all </w:t>
      </w:r>
      <w:r>
        <w:rPr>
          <w:rFonts w:ascii="Garamond" w:hAnsi="Garamond"/>
        </w:rPr>
        <w:t xml:space="preserve">nurses in </w:t>
      </w:r>
      <w:smartTag w:uri="urn:schemas-microsoft-com:office:smarttags" w:element="place">
        <w:r>
          <w:rPr>
            <w:rFonts w:ascii="Garamond" w:hAnsi="Garamond"/>
          </w:rPr>
          <w:t>South Sudan</w:t>
        </w:r>
      </w:smartTag>
      <w:r>
        <w:rPr>
          <w:rFonts w:ascii="Garamond" w:hAnsi="Garamond"/>
        </w:rPr>
        <w:t xml:space="preserve">. Graduating this first class of midwives and nurses will immediately improve the human resource capacity of the Ministry of Health, as well as the health of the surrounding population, especially in remote areas. </w:t>
      </w:r>
    </w:p>
    <w:p w:rsidR="003D3FE1" w:rsidRDefault="003D3FE1" w:rsidP="003D3FE1">
      <w:pPr>
        <w:jc w:val="both"/>
        <w:rPr>
          <w:rFonts w:ascii="Garamond" w:hAnsi="Garamond"/>
        </w:rPr>
      </w:pPr>
    </w:p>
    <w:p w:rsidR="003D3FE1" w:rsidRDefault="003D3FE1" w:rsidP="003D3FE1">
      <w:pPr>
        <w:jc w:val="both"/>
        <w:rPr>
          <w:rFonts w:ascii="Garamond" w:hAnsi="Garamond"/>
          <w:b/>
        </w:rPr>
      </w:pPr>
      <w:r>
        <w:rPr>
          <w:rFonts w:ascii="Garamond" w:hAnsi="Garamond"/>
        </w:rPr>
        <w:t xml:space="preserve">The </w:t>
      </w:r>
      <w:proofErr w:type="spellStart"/>
      <w:r>
        <w:rPr>
          <w:rFonts w:ascii="Garamond" w:hAnsi="Garamond"/>
        </w:rPr>
        <w:t>Kajo</w:t>
      </w:r>
      <w:proofErr w:type="spellEnd"/>
      <w:r>
        <w:rPr>
          <w:rFonts w:ascii="Garamond" w:hAnsi="Garamond"/>
        </w:rPr>
        <w:t xml:space="preserve"> </w:t>
      </w:r>
      <w:proofErr w:type="spellStart"/>
      <w:r>
        <w:rPr>
          <w:rFonts w:ascii="Garamond" w:hAnsi="Garamond"/>
        </w:rPr>
        <w:t>Keiji</w:t>
      </w:r>
      <w:proofErr w:type="spellEnd"/>
      <w:r>
        <w:rPr>
          <w:rFonts w:ascii="Garamond" w:hAnsi="Garamond"/>
        </w:rPr>
        <w:t xml:space="preserve"> Training Center lies at the very core of International Medical Corps’ mission both in Sudan and globally. </w:t>
      </w:r>
    </w:p>
    <w:p w:rsidR="003D3FE1" w:rsidRDefault="003D3FE1" w:rsidP="003D3FE1">
      <w:pPr>
        <w:spacing w:after="240"/>
        <w:jc w:val="both"/>
        <w:rPr>
          <w:rFonts w:ascii="Garamond" w:hAnsi="Garamond"/>
        </w:rPr>
      </w:pPr>
    </w:p>
    <w:p w:rsidR="003D3FE1" w:rsidRDefault="003D3FE1" w:rsidP="003D3FE1">
      <w:pPr>
        <w:spacing w:after="240"/>
        <w:jc w:val="both"/>
        <w:rPr>
          <w:rFonts w:ascii="Garamond" w:hAnsi="Garamond"/>
        </w:rPr>
      </w:pPr>
      <w:r>
        <w:rPr>
          <w:rFonts w:ascii="Garamond" w:hAnsi="Garamond"/>
        </w:rPr>
        <w:t xml:space="preserve">This past year, a maternity ward was constructed alongside Mundari Hospital with the intent of serving the hospital and providing a practical teaching center for the training school’s nurses and midwives. The maternity ward includes: 15-bed capacity for pre- and post-natal care delivery room, rooms for family planning and Voluntary Counseling and Testing (HIV/AIDS), nursing store room, and procedure/ examination rooms. Approximately 350 pre-natal care visits are being conducted in the hospital per month, with between 50-60 deliveries per month. Of these, about nine per month are Caesarean section deliveries. </w:t>
      </w:r>
    </w:p>
    <w:p w:rsidR="003D3FE1" w:rsidRDefault="003D3FE1" w:rsidP="003D3FE1">
      <w:pPr>
        <w:numPr>
          <w:ilvl w:val="0"/>
          <w:numId w:val="1"/>
        </w:numPr>
        <w:tabs>
          <w:tab w:val="clear" w:pos="1080"/>
          <w:tab w:val="left" w:pos="720"/>
        </w:tabs>
        <w:ind w:left="360" w:hanging="360"/>
        <w:jc w:val="both"/>
        <w:rPr>
          <w:rFonts w:ascii="Garamond" w:hAnsi="Garamond"/>
          <w:b/>
          <w:color w:val="000080"/>
        </w:rPr>
      </w:pPr>
      <w:r>
        <w:rPr>
          <w:rFonts w:ascii="Garamond" w:hAnsi="Garamond"/>
          <w:b/>
          <w:color w:val="000080"/>
        </w:rPr>
        <w:t>GOALS AND OBJECTIVES</w:t>
      </w:r>
    </w:p>
    <w:p w:rsidR="003D3FE1" w:rsidRDefault="003D3FE1" w:rsidP="003D3FE1">
      <w:pPr>
        <w:jc w:val="both"/>
        <w:rPr>
          <w:rFonts w:ascii="Garamond" w:hAnsi="Garamond"/>
          <w:b/>
        </w:rPr>
      </w:pPr>
    </w:p>
    <w:p w:rsidR="003D3FE1" w:rsidRDefault="003D3FE1" w:rsidP="003D3FE1">
      <w:pPr>
        <w:pStyle w:val="CommentText"/>
        <w:jc w:val="both"/>
        <w:rPr>
          <w:rFonts w:ascii="Garamond" w:hAnsi="Garamond"/>
          <w:sz w:val="24"/>
          <w:szCs w:val="24"/>
        </w:rPr>
      </w:pPr>
      <w:r>
        <w:rPr>
          <w:rFonts w:ascii="Garamond" w:hAnsi="Garamond"/>
          <w:b/>
          <w:sz w:val="24"/>
          <w:szCs w:val="24"/>
        </w:rPr>
        <w:t xml:space="preserve">Goal: </w:t>
      </w:r>
      <w:r>
        <w:rPr>
          <w:rFonts w:ascii="Garamond" w:hAnsi="Garamond"/>
          <w:sz w:val="24"/>
          <w:szCs w:val="24"/>
        </w:rPr>
        <w:t xml:space="preserve">To improve the quality of primary health care services provided by Sudanese health professionals in </w:t>
      </w:r>
      <w:smartTag w:uri="urn:schemas-microsoft-com:office:smarttags" w:element="place">
        <w:r>
          <w:rPr>
            <w:rFonts w:ascii="Garamond" w:hAnsi="Garamond"/>
            <w:sz w:val="24"/>
            <w:szCs w:val="24"/>
          </w:rPr>
          <w:t>South Sudan</w:t>
        </w:r>
      </w:smartTag>
      <w:r>
        <w:rPr>
          <w:rFonts w:ascii="Garamond" w:hAnsi="Garamond"/>
          <w:sz w:val="24"/>
          <w:szCs w:val="24"/>
        </w:rPr>
        <w:t xml:space="preserve">.  </w:t>
      </w:r>
    </w:p>
    <w:p w:rsidR="003D3FE1" w:rsidRDefault="003D3FE1" w:rsidP="003D3FE1">
      <w:pPr>
        <w:pStyle w:val="BodyText"/>
        <w:tabs>
          <w:tab w:val="left" w:pos="627"/>
        </w:tabs>
        <w:rPr>
          <w:rFonts w:ascii="Garamond" w:hAnsi="Garamond"/>
          <w:b/>
        </w:rPr>
      </w:pPr>
    </w:p>
    <w:p w:rsidR="003D3FE1" w:rsidRDefault="003D3FE1" w:rsidP="003D3FE1">
      <w:pPr>
        <w:pStyle w:val="BodyText"/>
        <w:tabs>
          <w:tab w:val="left" w:pos="627"/>
        </w:tabs>
        <w:rPr>
          <w:rFonts w:ascii="Garamond" w:hAnsi="Garamond"/>
        </w:rPr>
      </w:pPr>
      <w:r>
        <w:rPr>
          <w:rFonts w:ascii="Garamond" w:hAnsi="Garamond"/>
          <w:b/>
        </w:rPr>
        <w:t>Objective 1:</w:t>
      </w:r>
      <w:r>
        <w:rPr>
          <w:rFonts w:ascii="Garamond" w:hAnsi="Garamond"/>
        </w:rPr>
        <w:t xml:space="preserve">  To support the Ministry of Health/Government of South Sudan health staff needs through formal training of certified Sudanese nurses and midwives at the training center located next to </w:t>
      </w:r>
      <w:smartTag w:uri="urn:schemas-microsoft-com:office:smarttags" w:element="PlaceName">
        <w:r>
          <w:rPr>
            <w:rFonts w:ascii="Garamond" w:hAnsi="Garamond"/>
          </w:rPr>
          <w:t>Mundari</w:t>
        </w:r>
      </w:smartTag>
      <w:r>
        <w:rPr>
          <w:rFonts w:ascii="Garamond" w:hAnsi="Garamond"/>
        </w:rPr>
        <w:t xml:space="preserve"> </w:t>
      </w:r>
      <w:smartTag w:uri="urn:schemas-microsoft-com:office:smarttags" w:element="PlaceType">
        <w:r>
          <w:rPr>
            <w:rFonts w:ascii="Garamond" w:hAnsi="Garamond"/>
          </w:rPr>
          <w:t>Hospital</w:t>
        </w:r>
      </w:smartTag>
      <w:r>
        <w:rPr>
          <w:rFonts w:ascii="Garamond" w:hAnsi="Garamond"/>
        </w:rPr>
        <w:t xml:space="preserve">, </w:t>
      </w:r>
      <w:proofErr w:type="spellStart"/>
      <w:smartTag w:uri="urn:schemas-microsoft-com:office:smarttags" w:element="PlaceName">
        <w:r>
          <w:rPr>
            <w:rFonts w:ascii="Garamond" w:hAnsi="Garamond"/>
          </w:rPr>
          <w:t>Kajo-Keiji</w:t>
        </w:r>
      </w:smartTag>
      <w:proofErr w:type="spellEnd"/>
      <w:r>
        <w:rPr>
          <w:rFonts w:ascii="Garamond" w:hAnsi="Garamond"/>
        </w:rPr>
        <w:t xml:space="preserve"> </w:t>
      </w:r>
      <w:smartTag w:uri="urn:schemas-microsoft-com:office:smarttags" w:element="PlaceType">
        <w:r>
          <w:rPr>
            <w:rFonts w:ascii="Garamond" w:hAnsi="Garamond"/>
          </w:rPr>
          <w:t>County</w:t>
        </w:r>
      </w:smartTag>
      <w:r>
        <w:rPr>
          <w:rFonts w:ascii="Garamond" w:hAnsi="Garamond"/>
        </w:rPr>
        <w:t xml:space="preserve">, </w:t>
      </w:r>
      <w:smartTag w:uri="urn:schemas-microsoft-com:office:smarttags" w:element="PlaceName">
        <w:r>
          <w:rPr>
            <w:rFonts w:ascii="Garamond" w:hAnsi="Garamond"/>
          </w:rPr>
          <w:t>Central</w:t>
        </w:r>
      </w:smartTag>
      <w:r>
        <w:rPr>
          <w:rFonts w:ascii="Garamond" w:hAnsi="Garamond"/>
        </w:rPr>
        <w:t xml:space="preserve"> </w:t>
      </w:r>
      <w:proofErr w:type="spellStart"/>
      <w:smartTag w:uri="urn:schemas-microsoft-com:office:smarttags" w:element="PlaceName">
        <w:r>
          <w:rPr>
            <w:rFonts w:ascii="Garamond" w:hAnsi="Garamond"/>
          </w:rPr>
          <w:t>Equatoria</w:t>
        </w:r>
      </w:smartTag>
      <w:proofErr w:type="spellEnd"/>
      <w:r>
        <w:rPr>
          <w:rFonts w:ascii="Garamond" w:hAnsi="Garamond"/>
        </w:rPr>
        <w:t xml:space="preserve"> </w:t>
      </w:r>
      <w:smartTag w:uri="urn:schemas-microsoft-com:office:smarttags" w:element="PlaceType">
        <w:r>
          <w:rPr>
            <w:rFonts w:ascii="Garamond" w:hAnsi="Garamond"/>
          </w:rPr>
          <w:t>State</w:t>
        </w:r>
      </w:smartTag>
      <w:r>
        <w:rPr>
          <w:rFonts w:ascii="Garamond" w:hAnsi="Garamond"/>
        </w:rPr>
        <w:t xml:space="preserve">, </w:t>
      </w:r>
      <w:proofErr w:type="gramStart"/>
      <w:smartTag w:uri="urn:schemas-microsoft-com:office:smarttags" w:element="place">
        <w:r>
          <w:rPr>
            <w:rFonts w:ascii="Garamond" w:hAnsi="Garamond"/>
          </w:rPr>
          <w:t>South</w:t>
        </w:r>
        <w:proofErr w:type="gramEnd"/>
        <w:r>
          <w:rPr>
            <w:rFonts w:ascii="Garamond" w:hAnsi="Garamond"/>
          </w:rPr>
          <w:t xml:space="preserve"> Sudan</w:t>
        </w:r>
      </w:smartTag>
      <w:r>
        <w:rPr>
          <w:rFonts w:ascii="Garamond" w:hAnsi="Garamond"/>
        </w:rPr>
        <w:t xml:space="preserve">. </w:t>
      </w:r>
    </w:p>
    <w:p w:rsidR="003D3FE1" w:rsidRDefault="003D3FE1" w:rsidP="003D3FE1">
      <w:pPr>
        <w:pStyle w:val="BodyTextIndent"/>
        <w:ind w:left="0"/>
        <w:jc w:val="both"/>
        <w:rPr>
          <w:rFonts w:ascii="Garamond" w:hAnsi="Garamond"/>
        </w:rPr>
      </w:pPr>
    </w:p>
    <w:p w:rsidR="003D3FE1" w:rsidRDefault="003D3FE1" w:rsidP="003D3FE1">
      <w:pPr>
        <w:pStyle w:val="BodyTextIndent"/>
        <w:ind w:left="0"/>
        <w:jc w:val="both"/>
        <w:rPr>
          <w:rFonts w:ascii="Garamond" w:hAnsi="Garamond"/>
        </w:rPr>
      </w:pPr>
      <w:r>
        <w:rPr>
          <w:rFonts w:ascii="Garamond" w:hAnsi="Garamond"/>
          <w:b/>
        </w:rPr>
        <w:t>Objective 2:</w:t>
      </w:r>
      <w:r>
        <w:rPr>
          <w:rFonts w:ascii="Garamond" w:hAnsi="Garamond"/>
        </w:rPr>
        <w:t xml:space="preserve"> To support the Ministry of Health by implementing their approved curricula in the training of health professionals. In utilizing Ministry of Health curricula, IMC is participating actively and fully in the nation’s plan to rebuild its health care system. </w:t>
      </w:r>
    </w:p>
    <w:p w:rsidR="003D3FE1" w:rsidRDefault="003D3FE1" w:rsidP="003D3FE1">
      <w:pPr>
        <w:jc w:val="both"/>
        <w:rPr>
          <w:rFonts w:ascii="Garamond" w:hAnsi="Garamond"/>
          <w:b/>
        </w:rPr>
      </w:pPr>
    </w:p>
    <w:p w:rsidR="003D3FE1" w:rsidRDefault="003D3FE1" w:rsidP="003D3FE1">
      <w:pPr>
        <w:pStyle w:val="BodyText"/>
        <w:tabs>
          <w:tab w:val="left" w:pos="627"/>
        </w:tabs>
        <w:rPr>
          <w:rFonts w:ascii="Garamond" w:hAnsi="Garamond"/>
          <w:b/>
        </w:rPr>
      </w:pPr>
      <w:r>
        <w:rPr>
          <w:rFonts w:ascii="Garamond" w:hAnsi="Garamond"/>
          <w:b/>
        </w:rPr>
        <w:t xml:space="preserve">Key Activities: </w:t>
      </w:r>
    </w:p>
    <w:p w:rsidR="003D3FE1" w:rsidRDefault="003D3FE1" w:rsidP="003D3FE1">
      <w:pPr>
        <w:numPr>
          <w:ilvl w:val="0"/>
          <w:numId w:val="2"/>
        </w:numPr>
        <w:jc w:val="both"/>
        <w:rPr>
          <w:rFonts w:ascii="Garamond" w:hAnsi="Garamond"/>
        </w:rPr>
      </w:pPr>
      <w:r>
        <w:rPr>
          <w:rFonts w:ascii="Garamond" w:hAnsi="Garamond"/>
        </w:rPr>
        <w:t>Recruit and select trainers/tutors in collaboration with Ministry of Health/Government of South Sudan</w:t>
      </w:r>
    </w:p>
    <w:p w:rsidR="003D3FE1" w:rsidRDefault="003D3FE1" w:rsidP="003D3FE1">
      <w:pPr>
        <w:numPr>
          <w:ilvl w:val="0"/>
          <w:numId w:val="2"/>
        </w:numPr>
        <w:jc w:val="both"/>
        <w:rPr>
          <w:rFonts w:ascii="Garamond" w:hAnsi="Garamond"/>
        </w:rPr>
      </w:pPr>
      <w:r>
        <w:rPr>
          <w:rFonts w:ascii="Garamond" w:hAnsi="Garamond"/>
        </w:rPr>
        <w:t xml:space="preserve">Recruit support staff </w:t>
      </w:r>
    </w:p>
    <w:p w:rsidR="003D3FE1" w:rsidRDefault="003D3FE1" w:rsidP="003D3FE1">
      <w:pPr>
        <w:numPr>
          <w:ilvl w:val="0"/>
          <w:numId w:val="2"/>
        </w:numPr>
        <w:jc w:val="both"/>
        <w:rPr>
          <w:rFonts w:ascii="Garamond" w:eastAsia="SimSun" w:hAnsi="Garamond"/>
          <w:lang w:eastAsia="zh-CN"/>
        </w:rPr>
      </w:pPr>
      <w:r>
        <w:rPr>
          <w:rFonts w:ascii="Garamond" w:eastAsia="SimSun" w:hAnsi="Garamond"/>
          <w:lang w:eastAsia="zh-CN"/>
        </w:rPr>
        <w:t>Operate training facility for Ministry of Health as a pilot project</w:t>
      </w:r>
    </w:p>
    <w:p w:rsidR="003D3FE1" w:rsidRDefault="003D3FE1" w:rsidP="003D3FE1">
      <w:pPr>
        <w:numPr>
          <w:ilvl w:val="0"/>
          <w:numId w:val="2"/>
        </w:numPr>
        <w:jc w:val="both"/>
        <w:rPr>
          <w:rFonts w:ascii="Garamond" w:hAnsi="Garamond"/>
        </w:rPr>
      </w:pPr>
      <w:r>
        <w:rPr>
          <w:rFonts w:ascii="Garamond" w:hAnsi="Garamond"/>
        </w:rPr>
        <w:lastRenderedPageBreak/>
        <w:t xml:space="preserve">Conduct theoretical courses at training facility on topics such as anatomy and physiology, primary health care concepts, community diagnoses, microbiology, nursing procedures, medical ethics, etc.  </w:t>
      </w:r>
    </w:p>
    <w:p w:rsidR="003D3FE1" w:rsidRDefault="003D3FE1" w:rsidP="003D3FE1">
      <w:pPr>
        <w:numPr>
          <w:ilvl w:val="0"/>
          <w:numId w:val="2"/>
        </w:numPr>
        <w:jc w:val="both"/>
        <w:rPr>
          <w:rFonts w:ascii="Garamond" w:hAnsi="Garamond"/>
        </w:rPr>
      </w:pPr>
      <w:r>
        <w:rPr>
          <w:rFonts w:ascii="Garamond" w:hAnsi="Garamond"/>
        </w:rPr>
        <w:t>Clinical placement of trainees</w:t>
      </w:r>
    </w:p>
    <w:p w:rsidR="003D3FE1" w:rsidRDefault="003D3FE1" w:rsidP="003D3FE1">
      <w:pPr>
        <w:numPr>
          <w:ilvl w:val="0"/>
          <w:numId w:val="2"/>
        </w:numPr>
        <w:jc w:val="both"/>
        <w:rPr>
          <w:rFonts w:ascii="Garamond" w:hAnsi="Garamond"/>
        </w:rPr>
      </w:pPr>
      <w:r>
        <w:rPr>
          <w:rFonts w:ascii="Garamond" w:hAnsi="Garamond"/>
        </w:rPr>
        <w:t>Evaluation of trainers/tutors’ performance, including theoretical and practical mastery assessments</w:t>
      </w:r>
    </w:p>
    <w:p w:rsidR="003D3FE1" w:rsidRPr="00A80852" w:rsidRDefault="003D3FE1" w:rsidP="003D3FE1">
      <w:pPr>
        <w:numPr>
          <w:ilvl w:val="0"/>
          <w:numId w:val="2"/>
        </w:numPr>
        <w:jc w:val="both"/>
        <w:rPr>
          <w:rFonts w:ascii="Garamond" w:hAnsi="Garamond"/>
          <w:b/>
        </w:rPr>
      </w:pPr>
      <w:r>
        <w:rPr>
          <w:rFonts w:ascii="Garamond" w:eastAsia="SimSun" w:hAnsi="Garamond"/>
          <w:lang w:eastAsia="zh-CN"/>
        </w:rPr>
        <w:t xml:space="preserve">Assessment and review of training program for </w:t>
      </w:r>
      <w:r>
        <w:rPr>
          <w:rFonts w:ascii="Garamond" w:hAnsi="Garamond"/>
        </w:rPr>
        <w:t>Ministry of Health/Government of South Sudan</w:t>
      </w:r>
    </w:p>
    <w:p w:rsidR="00A80852" w:rsidRDefault="00A80852" w:rsidP="00A80852">
      <w:pPr>
        <w:ind w:left="360"/>
        <w:jc w:val="both"/>
        <w:rPr>
          <w:rFonts w:ascii="Garamond" w:hAnsi="Garamond"/>
          <w:b/>
        </w:rPr>
      </w:pPr>
    </w:p>
    <w:p w:rsidR="003D3FE1" w:rsidRPr="00A80852" w:rsidRDefault="003D3FE1" w:rsidP="00A80852">
      <w:pPr>
        <w:ind w:left="360"/>
        <w:jc w:val="both"/>
        <w:rPr>
          <w:rFonts w:ascii="Garamond" w:hAnsi="Garamond"/>
        </w:rPr>
      </w:pPr>
      <w:r w:rsidRPr="00A80852">
        <w:rPr>
          <w:rFonts w:ascii="Garamond" w:hAnsi="Garamond"/>
          <w:b/>
          <w:i/>
        </w:rPr>
        <w:t>Opening Ceremony and Beginning of Classes</w:t>
      </w:r>
    </w:p>
    <w:p w:rsidR="003D3FE1" w:rsidRPr="00A80852" w:rsidRDefault="003D3FE1" w:rsidP="00A80852">
      <w:pPr>
        <w:ind w:left="360"/>
        <w:jc w:val="both"/>
        <w:rPr>
          <w:rFonts w:ascii="Garamond" w:hAnsi="Garamond"/>
        </w:rPr>
      </w:pPr>
    </w:p>
    <w:p w:rsidR="003D3FE1" w:rsidRPr="003D3FE1" w:rsidRDefault="003D3FE1" w:rsidP="003D3FE1">
      <w:pPr>
        <w:pStyle w:val="ListParagraph"/>
        <w:numPr>
          <w:ilvl w:val="0"/>
          <w:numId w:val="2"/>
        </w:numPr>
        <w:jc w:val="both"/>
        <w:rPr>
          <w:rFonts w:ascii="Garamond" w:hAnsi="Garamond"/>
        </w:rPr>
      </w:pPr>
      <w:r w:rsidRPr="003D3FE1">
        <w:rPr>
          <w:rFonts w:ascii="Garamond" w:hAnsi="Garamond"/>
        </w:rPr>
        <w:t>Fifty students are now enrolled at the Training Center. They began classes on May 26, 2008. The breakdown of students by gender is represented below:</w:t>
      </w:r>
    </w:p>
    <w:p w:rsidR="003D3FE1" w:rsidRPr="00A80852" w:rsidRDefault="003D3FE1" w:rsidP="00A80852">
      <w:pPr>
        <w:ind w:left="360"/>
        <w:jc w:val="both"/>
        <w:rPr>
          <w:rFonts w:ascii="Garamond" w:hAnsi="Garamond"/>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720"/>
        <w:gridCol w:w="1080"/>
        <w:gridCol w:w="720"/>
        <w:gridCol w:w="720"/>
        <w:gridCol w:w="1080"/>
        <w:gridCol w:w="900"/>
        <w:gridCol w:w="900"/>
      </w:tblGrid>
      <w:tr w:rsidR="003D3FE1" w:rsidTr="008865A1">
        <w:trPr>
          <w:cantSplit/>
        </w:trPr>
        <w:tc>
          <w:tcPr>
            <w:tcW w:w="2160" w:type="dxa"/>
            <w:vMerge w:val="restart"/>
            <w:shd w:val="clear" w:color="auto" w:fill="333399"/>
          </w:tcPr>
          <w:p w:rsidR="003D3FE1" w:rsidRDefault="003D3FE1" w:rsidP="008865A1">
            <w:pPr>
              <w:jc w:val="both"/>
              <w:rPr>
                <w:rFonts w:ascii="Garamond" w:hAnsi="Garamond"/>
                <w:b/>
                <w:color w:val="FFFFFF"/>
                <w:sz w:val="22"/>
                <w:szCs w:val="22"/>
              </w:rPr>
            </w:pPr>
          </w:p>
        </w:tc>
        <w:tc>
          <w:tcPr>
            <w:tcW w:w="2520" w:type="dxa"/>
            <w:gridSpan w:val="3"/>
            <w:shd w:val="clear" w:color="auto" w:fill="333399"/>
          </w:tcPr>
          <w:p w:rsidR="003D3FE1" w:rsidRDefault="003D3FE1" w:rsidP="008865A1">
            <w:pPr>
              <w:jc w:val="center"/>
              <w:rPr>
                <w:rFonts w:ascii="Garamond" w:hAnsi="Garamond"/>
                <w:b/>
                <w:color w:val="FFFFFF"/>
                <w:sz w:val="22"/>
                <w:szCs w:val="22"/>
              </w:rPr>
            </w:pPr>
            <w:r>
              <w:rPr>
                <w:rFonts w:ascii="Garamond" w:hAnsi="Garamond"/>
                <w:b/>
                <w:color w:val="FFFFFF"/>
                <w:sz w:val="22"/>
                <w:szCs w:val="22"/>
              </w:rPr>
              <w:t>Nursing Department</w:t>
            </w:r>
          </w:p>
        </w:tc>
        <w:tc>
          <w:tcPr>
            <w:tcW w:w="2700" w:type="dxa"/>
            <w:gridSpan w:val="3"/>
            <w:shd w:val="clear" w:color="auto" w:fill="333399"/>
          </w:tcPr>
          <w:p w:rsidR="003D3FE1" w:rsidRDefault="003D3FE1" w:rsidP="008865A1">
            <w:pPr>
              <w:jc w:val="center"/>
              <w:rPr>
                <w:rFonts w:ascii="Garamond" w:hAnsi="Garamond"/>
                <w:b/>
                <w:color w:val="FFFFFF"/>
                <w:sz w:val="22"/>
                <w:szCs w:val="22"/>
              </w:rPr>
            </w:pPr>
            <w:r>
              <w:rPr>
                <w:rFonts w:ascii="Garamond" w:hAnsi="Garamond"/>
                <w:b/>
                <w:color w:val="FFFFFF"/>
                <w:sz w:val="22"/>
                <w:szCs w:val="22"/>
              </w:rPr>
              <w:t>Midwife Department</w:t>
            </w:r>
          </w:p>
        </w:tc>
        <w:tc>
          <w:tcPr>
            <w:tcW w:w="900" w:type="dxa"/>
            <w:vMerge w:val="restart"/>
            <w:shd w:val="clear" w:color="auto" w:fill="333399"/>
          </w:tcPr>
          <w:p w:rsidR="003D3FE1" w:rsidRDefault="003D3FE1" w:rsidP="008865A1">
            <w:pPr>
              <w:jc w:val="center"/>
              <w:rPr>
                <w:rFonts w:ascii="Garamond" w:hAnsi="Garamond"/>
                <w:b/>
                <w:color w:val="FFFFFF"/>
                <w:sz w:val="22"/>
                <w:szCs w:val="22"/>
              </w:rPr>
            </w:pPr>
            <w:r>
              <w:rPr>
                <w:rFonts w:ascii="Garamond" w:hAnsi="Garamond"/>
                <w:b/>
                <w:color w:val="FFFFFF"/>
                <w:sz w:val="22"/>
                <w:szCs w:val="22"/>
              </w:rPr>
              <w:t>Grand Total</w:t>
            </w:r>
          </w:p>
        </w:tc>
      </w:tr>
      <w:tr w:rsidR="003D3FE1" w:rsidTr="008865A1">
        <w:trPr>
          <w:cantSplit/>
        </w:trPr>
        <w:tc>
          <w:tcPr>
            <w:tcW w:w="2160" w:type="dxa"/>
            <w:vMerge/>
            <w:tcBorders>
              <w:bottom w:val="single" w:sz="4" w:space="0" w:color="auto"/>
            </w:tcBorders>
            <w:shd w:val="clear" w:color="auto" w:fill="333399"/>
          </w:tcPr>
          <w:p w:rsidR="003D3FE1" w:rsidRDefault="003D3FE1" w:rsidP="008865A1">
            <w:pPr>
              <w:jc w:val="both"/>
              <w:rPr>
                <w:rFonts w:ascii="Garamond" w:hAnsi="Garamond"/>
                <w:b/>
                <w:color w:val="FFFFFF"/>
                <w:sz w:val="22"/>
                <w:szCs w:val="22"/>
              </w:rPr>
            </w:pPr>
          </w:p>
        </w:tc>
        <w:tc>
          <w:tcPr>
            <w:tcW w:w="720" w:type="dxa"/>
            <w:tcBorders>
              <w:bottom w:val="single" w:sz="4" w:space="0" w:color="auto"/>
            </w:tcBorders>
            <w:shd w:val="clear" w:color="auto" w:fill="333399"/>
          </w:tcPr>
          <w:p w:rsidR="003D3FE1" w:rsidRDefault="003D3FE1" w:rsidP="008865A1">
            <w:pPr>
              <w:jc w:val="center"/>
              <w:rPr>
                <w:rFonts w:ascii="Garamond" w:hAnsi="Garamond"/>
                <w:b/>
                <w:color w:val="FFFFFF"/>
                <w:sz w:val="22"/>
                <w:szCs w:val="22"/>
              </w:rPr>
            </w:pPr>
            <w:r>
              <w:rPr>
                <w:rFonts w:ascii="Garamond" w:hAnsi="Garamond"/>
                <w:b/>
                <w:color w:val="FFFFFF"/>
                <w:sz w:val="22"/>
                <w:szCs w:val="22"/>
              </w:rPr>
              <w:t>Male</w:t>
            </w:r>
          </w:p>
        </w:tc>
        <w:tc>
          <w:tcPr>
            <w:tcW w:w="1080" w:type="dxa"/>
            <w:tcBorders>
              <w:bottom w:val="single" w:sz="4" w:space="0" w:color="auto"/>
            </w:tcBorders>
            <w:shd w:val="clear" w:color="auto" w:fill="333399"/>
          </w:tcPr>
          <w:p w:rsidR="003D3FE1" w:rsidRDefault="003D3FE1" w:rsidP="008865A1">
            <w:pPr>
              <w:jc w:val="center"/>
              <w:rPr>
                <w:rFonts w:ascii="Garamond" w:hAnsi="Garamond"/>
                <w:b/>
                <w:color w:val="FFFFFF"/>
                <w:sz w:val="22"/>
                <w:szCs w:val="22"/>
              </w:rPr>
            </w:pPr>
            <w:r>
              <w:rPr>
                <w:rFonts w:ascii="Garamond" w:hAnsi="Garamond"/>
                <w:b/>
                <w:color w:val="FFFFFF"/>
                <w:sz w:val="22"/>
                <w:szCs w:val="22"/>
              </w:rPr>
              <w:t>Female</w:t>
            </w:r>
          </w:p>
        </w:tc>
        <w:tc>
          <w:tcPr>
            <w:tcW w:w="720" w:type="dxa"/>
            <w:tcBorders>
              <w:bottom w:val="single" w:sz="4" w:space="0" w:color="auto"/>
            </w:tcBorders>
            <w:shd w:val="clear" w:color="auto" w:fill="333399"/>
          </w:tcPr>
          <w:p w:rsidR="003D3FE1" w:rsidRDefault="003D3FE1" w:rsidP="008865A1">
            <w:pPr>
              <w:jc w:val="center"/>
              <w:rPr>
                <w:rFonts w:ascii="Garamond" w:hAnsi="Garamond"/>
                <w:b/>
                <w:color w:val="FFFFFF"/>
                <w:sz w:val="22"/>
                <w:szCs w:val="22"/>
              </w:rPr>
            </w:pPr>
            <w:r>
              <w:rPr>
                <w:rFonts w:ascii="Garamond" w:hAnsi="Garamond"/>
                <w:b/>
                <w:color w:val="FFFFFF"/>
                <w:sz w:val="22"/>
                <w:szCs w:val="22"/>
              </w:rPr>
              <w:t>Total</w:t>
            </w:r>
          </w:p>
        </w:tc>
        <w:tc>
          <w:tcPr>
            <w:tcW w:w="720" w:type="dxa"/>
            <w:tcBorders>
              <w:bottom w:val="single" w:sz="4" w:space="0" w:color="auto"/>
            </w:tcBorders>
            <w:shd w:val="clear" w:color="auto" w:fill="333399"/>
          </w:tcPr>
          <w:p w:rsidR="003D3FE1" w:rsidRDefault="003D3FE1" w:rsidP="008865A1">
            <w:pPr>
              <w:jc w:val="center"/>
              <w:rPr>
                <w:rFonts w:ascii="Garamond" w:hAnsi="Garamond"/>
                <w:b/>
                <w:color w:val="FFFFFF"/>
                <w:sz w:val="22"/>
                <w:szCs w:val="22"/>
              </w:rPr>
            </w:pPr>
            <w:r>
              <w:rPr>
                <w:rFonts w:ascii="Garamond" w:hAnsi="Garamond"/>
                <w:b/>
                <w:color w:val="FFFFFF"/>
                <w:sz w:val="22"/>
                <w:szCs w:val="22"/>
              </w:rPr>
              <w:t>Male</w:t>
            </w:r>
          </w:p>
        </w:tc>
        <w:tc>
          <w:tcPr>
            <w:tcW w:w="1080" w:type="dxa"/>
            <w:tcBorders>
              <w:bottom w:val="single" w:sz="4" w:space="0" w:color="auto"/>
            </w:tcBorders>
            <w:shd w:val="clear" w:color="auto" w:fill="333399"/>
          </w:tcPr>
          <w:p w:rsidR="003D3FE1" w:rsidRDefault="003D3FE1" w:rsidP="008865A1">
            <w:pPr>
              <w:jc w:val="center"/>
              <w:rPr>
                <w:rFonts w:ascii="Garamond" w:hAnsi="Garamond"/>
                <w:b/>
                <w:color w:val="FFFFFF"/>
                <w:sz w:val="22"/>
                <w:szCs w:val="22"/>
              </w:rPr>
            </w:pPr>
            <w:r>
              <w:rPr>
                <w:rFonts w:ascii="Garamond" w:hAnsi="Garamond"/>
                <w:b/>
                <w:color w:val="FFFFFF"/>
                <w:sz w:val="22"/>
                <w:szCs w:val="22"/>
              </w:rPr>
              <w:t>Female</w:t>
            </w:r>
          </w:p>
        </w:tc>
        <w:tc>
          <w:tcPr>
            <w:tcW w:w="900" w:type="dxa"/>
            <w:tcBorders>
              <w:bottom w:val="single" w:sz="4" w:space="0" w:color="auto"/>
            </w:tcBorders>
            <w:shd w:val="clear" w:color="auto" w:fill="333399"/>
          </w:tcPr>
          <w:p w:rsidR="003D3FE1" w:rsidRDefault="003D3FE1" w:rsidP="008865A1">
            <w:pPr>
              <w:jc w:val="center"/>
              <w:rPr>
                <w:rFonts w:ascii="Garamond" w:hAnsi="Garamond"/>
                <w:b/>
                <w:color w:val="FFFFFF"/>
                <w:sz w:val="22"/>
                <w:szCs w:val="22"/>
              </w:rPr>
            </w:pPr>
            <w:r>
              <w:rPr>
                <w:rFonts w:ascii="Garamond" w:hAnsi="Garamond"/>
                <w:b/>
                <w:color w:val="FFFFFF"/>
                <w:sz w:val="22"/>
                <w:szCs w:val="22"/>
              </w:rPr>
              <w:t>Total</w:t>
            </w:r>
          </w:p>
        </w:tc>
        <w:tc>
          <w:tcPr>
            <w:tcW w:w="900" w:type="dxa"/>
            <w:vMerge/>
            <w:tcBorders>
              <w:bottom w:val="single" w:sz="4" w:space="0" w:color="auto"/>
            </w:tcBorders>
            <w:shd w:val="clear" w:color="auto" w:fill="333399"/>
          </w:tcPr>
          <w:p w:rsidR="003D3FE1" w:rsidRDefault="003D3FE1" w:rsidP="008865A1">
            <w:pPr>
              <w:jc w:val="center"/>
              <w:rPr>
                <w:rFonts w:ascii="Garamond" w:hAnsi="Garamond"/>
                <w:sz w:val="22"/>
                <w:szCs w:val="22"/>
              </w:rPr>
            </w:pPr>
          </w:p>
        </w:tc>
      </w:tr>
      <w:tr w:rsidR="003D3FE1" w:rsidTr="008865A1">
        <w:tc>
          <w:tcPr>
            <w:tcW w:w="2160" w:type="dxa"/>
            <w:tcBorders>
              <w:bottom w:val="dotted" w:sz="4" w:space="0" w:color="auto"/>
            </w:tcBorders>
            <w:shd w:val="clear" w:color="auto" w:fill="333399"/>
          </w:tcPr>
          <w:p w:rsidR="003D3FE1" w:rsidRDefault="003D3FE1" w:rsidP="008865A1">
            <w:pPr>
              <w:jc w:val="both"/>
              <w:rPr>
                <w:rFonts w:ascii="Garamond" w:hAnsi="Garamond"/>
                <w:b/>
                <w:color w:val="FFFFFF"/>
                <w:sz w:val="22"/>
                <w:szCs w:val="22"/>
              </w:rPr>
            </w:pPr>
            <w:r>
              <w:rPr>
                <w:rFonts w:ascii="Garamond" w:hAnsi="Garamond"/>
                <w:b/>
                <w:color w:val="FFFFFF"/>
                <w:sz w:val="22"/>
                <w:szCs w:val="22"/>
              </w:rPr>
              <w:t xml:space="preserve"># Student </w:t>
            </w:r>
          </w:p>
        </w:tc>
        <w:tc>
          <w:tcPr>
            <w:tcW w:w="720" w:type="dxa"/>
            <w:tcBorders>
              <w:bottom w:val="dotted" w:sz="4" w:space="0" w:color="auto"/>
            </w:tcBorders>
          </w:tcPr>
          <w:p w:rsidR="003D3FE1" w:rsidRDefault="003D3FE1" w:rsidP="008865A1">
            <w:pPr>
              <w:jc w:val="center"/>
              <w:rPr>
                <w:rFonts w:ascii="Garamond" w:hAnsi="Garamond"/>
                <w:sz w:val="22"/>
                <w:szCs w:val="22"/>
              </w:rPr>
            </w:pPr>
            <w:r>
              <w:rPr>
                <w:rFonts w:ascii="Garamond" w:hAnsi="Garamond"/>
                <w:sz w:val="22"/>
                <w:szCs w:val="22"/>
              </w:rPr>
              <w:t>19</w:t>
            </w:r>
          </w:p>
        </w:tc>
        <w:tc>
          <w:tcPr>
            <w:tcW w:w="1080" w:type="dxa"/>
            <w:tcBorders>
              <w:bottom w:val="dotted" w:sz="4" w:space="0" w:color="auto"/>
            </w:tcBorders>
          </w:tcPr>
          <w:p w:rsidR="003D3FE1" w:rsidRDefault="003D3FE1" w:rsidP="008865A1">
            <w:pPr>
              <w:jc w:val="center"/>
              <w:rPr>
                <w:rFonts w:ascii="Garamond" w:hAnsi="Garamond"/>
                <w:sz w:val="22"/>
                <w:szCs w:val="22"/>
              </w:rPr>
            </w:pPr>
            <w:r>
              <w:rPr>
                <w:rFonts w:ascii="Garamond" w:hAnsi="Garamond"/>
                <w:sz w:val="22"/>
                <w:szCs w:val="22"/>
              </w:rPr>
              <w:t>8</w:t>
            </w:r>
          </w:p>
        </w:tc>
        <w:tc>
          <w:tcPr>
            <w:tcW w:w="720" w:type="dxa"/>
            <w:tcBorders>
              <w:bottom w:val="dotted" w:sz="4" w:space="0" w:color="auto"/>
            </w:tcBorders>
          </w:tcPr>
          <w:p w:rsidR="003D3FE1" w:rsidRDefault="003D3FE1" w:rsidP="008865A1">
            <w:pPr>
              <w:jc w:val="center"/>
              <w:rPr>
                <w:rFonts w:ascii="Garamond" w:hAnsi="Garamond"/>
                <w:sz w:val="22"/>
                <w:szCs w:val="22"/>
              </w:rPr>
            </w:pPr>
            <w:r>
              <w:rPr>
                <w:rFonts w:ascii="Garamond" w:hAnsi="Garamond"/>
                <w:sz w:val="22"/>
                <w:szCs w:val="22"/>
              </w:rPr>
              <w:t>27</w:t>
            </w:r>
          </w:p>
        </w:tc>
        <w:tc>
          <w:tcPr>
            <w:tcW w:w="720" w:type="dxa"/>
            <w:tcBorders>
              <w:bottom w:val="dotted" w:sz="4" w:space="0" w:color="auto"/>
            </w:tcBorders>
          </w:tcPr>
          <w:p w:rsidR="003D3FE1" w:rsidRDefault="003D3FE1" w:rsidP="008865A1">
            <w:pPr>
              <w:jc w:val="center"/>
              <w:rPr>
                <w:rFonts w:ascii="Garamond" w:hAnsi="Garamond"/>
                <w:sz w:val="22"/>
                <w:szCs w:val="22"/>
              </w:rPr>
            </w:pPr>
            <w:r>
              <w:rPr>
                <w:rFonts w:ascii="Garamond" w:hAnsi="Garamond"/>
                <w:sz w:val="22"/>
                <w:szCs w:val="22"/>
              </w:rPr>
              <w:t>1</w:t>
            </w:r>
          </w:p>
        </w:tc>
        <w:tc>
          <w:tcPr>
            <w:tcW w:w="1080" w:type="dxa"/>
            <w:tcBorders>
              <w:bottom w:val="dotted" w:sz="4" w:space="0" w:color="auto"/>
            </w:tcBorders>
          </w:tcPr>
          <w:p w:rsidR="003D3FE1" w:rsidRDefault="003D3FE1" w:rsidP="008865A1">
            <w:pPr>
              <w:jc w:val="center"/>
              <w:rPr>
                <w:rFonts w:ascii="Garamond" w:hAnsi="Garamond"/>
                <w:sz w:val="22"/>
                <w:szCs w:val="22"/>
              </w:rPr>
            </w:pPr>
            <w:r>
              <w:rPr>
                <w:rFonts w:ascii="Garamond" w:hAnsi="Garamond"/>
                <w:sz w:val="22"/>
                <w:szCs w:val="22"/>
              </w:rPr>
              <w:t>22</w:t>
            </w:r>
          </w:p>
        </w:tc>
        <w:tc>
          <w:tcPr>
            <w:tcW w:w="900" w:type="dxa"/>
            <w:tcBorders>
              <w:bottom w:val="dotted" w:sz="4" w:space="0" w:color="auto"/>
            </w:tcBorders>
          </w:tcPr>
          <w:p w:rsidR="003D3FE1" w:rsidRDefault="003D3FE1" w:rsidP="008865A1">
            <w:pPr>
              <w:jc w:val="center"/>
              <w:rPr>
                <w:rFonts w:ascii="Garamond" w:hAnsi="Garamond"/>
                <w:sz w:val="22"/>
                <w:szCs w:val="22"/>
              </w:rPr>
            </w:pPr>
            <w:r>
              <w:rPr>
                <w:rFonts w:ascii="Garamond" w:hAnsi="Garamond"/>
                <w:sz w:val="22"/>
                <w:szCs w:val="22"/>
              </w:rPr>
              <w:t>23</w:t>
            </w:r>
          </w:p>
        </w:tc>
        <w:tc>
          <w:tcPr>
            <w:tcW w:w="900" w:type="dxa"/>
            <w:tcBorders>
              <w:bottom w:val="dotted" w:sz="4" w:space="0" w:color="auto"/>
            </w:tcBorders>
          </w:tcPr>
          <w:p w:rsidR="003D3FE1" w:rsidRDefault="003D3FE1" w:rsidP="008865A1">
            <w:pPr>
              <w:jc w:val="center"/>
              <w:rPr>
                <w:rFonts w:ascii="Garamond" w:hAnsi="Garamond"/>
                <w:sz w:val="22"/>
                <w:szCs w:val="22"/>
              </w:rPr>
            </w:pPr>
            <w:r>
              <w:rPr>
                <w:rFonts w:ascii="Garamond" w:hAnsi="Garamond"/>
                <w:sz w:val="22"/>
                <w:szCs w:val="22"/>
              </w:rPr>
              <w:t>50</w:t>
            </w:r>
          </w:p>
        </w:tc>
      </w:tr>
      <w:tr w:rsidR="003D3FE1" w:rsidTr="008865A1">
        <w:tc>
          <w:tcPr>
            <w:tcW w:w="2160" w:type="dxa"/>
            <w:tcBorders>
              <w:top w:val="dotted" w:sz="4" w:space="0" w:color="auto"/>
              <w:bottom w:val="dotted" w:sz="4" w:space="0" w:color="auto"/>
            </w:tcBorders>
            <w:shd w:val="clear" w:color="auto" w:fill="333399"/>
          </w:tcPr>
          <w:p w:rsidR="003D3FE1" w:rsidRDefault="003D3FE1" w:rsidP="008865A1">
            <w:pPr>
              <w:jc w:val="both"/>
              <w:rPr>
                <w:rFonts w:ascii="Garamond" w:hAnsi="Garamond"/>
                <w:b/>
                <w:color w:val="FFFFFF"/>
                <w:sz w:val="22"/>
                <w:szCs w:val="22"/>
              </w:rPr>
            </w:pPr>
            <w:r>
              <w:rPr>
                <w:rFonts w:ascii="Garamond" w:hAnsi="Garamond"/>
                <w:b/>
                <w:color w:val="FFFFFF"/>
                <w:sz w:val="22"/>
                <w:szCs w:val="22"/>
              </w:rPr>
              <w:t># female students with babies</w:t>
            </w:r>
          </w:p>
        </w:tc>
        <w:tc>
          <w:tcPr>
            <w:tcW w:w="720" w:type="dxa"/>
            <w:tcBorders>
              <w:top w:val="dotted" w:sz="4" w:space="0" w:color="auto"/>
              <w:bottom w:val="dotted" w:sz="4" w:space="0" w:color="auto"/>
            </w:tcBorders>
          </w:tcPr>
          <w:p w:rsidR="003D3FE1" w:rsidRDefault="003D3FE1" w:rsidP="008865A1">
            <w:pPr>
              <w:jc w:val="center"/>
              <w:rPr>
                <w:rFonts w:ascii="Garamond" w:hAnsi="Garamond"/>
                <w:sz w:val="22"/>
                <w:szCs w:val="22"/>
              </w:rPr>
            </w:pPr>
          </w:p>
        </w:tc>
        <w:tc>
          <w:tcPr>
            <w:tcW w:w="1080" w:type="dxa"/>
            <w:tcBorders>
              <w:top w:val="dotted" w:sz="4" w:space="0" w:color="auto"/>
              <w:bottom w:val="dotted" w:sz="4" w:space="0" w:color="auto"/>
            </w:tcBorders>
          </w:tcPr>
          <w:p w:rsidR="003D3FE1" w:rsidRDefault="003D3FE1" w:rsidP="008865A1">
            <w:pPr>
              <w:jc w:val="center"/>
              <w:rPr>
                <w:rFonts w:ascii="Garamond" w:hAnsi="Garamond"/>
                <w:sz w:val="22"/>
                <w:szCs w:val="22"/>
              </w:rPr>
            </w:pPr>
            <w:r>
              <w:rPr>
                <w:rFonts w:ascii="Garamond" w:hAnsi="Garamond"/>
                <w:sz w:val="22"/>
                <w:szCs w:val="22"/>
              </w:rPr>
              <w:t>1</w:t>
            </w:r>
          </w:p>
        </w:tc>
        <w:tc>
          <w:tcPr>
            <w:tcW w:w="720" w:type="dxa"/>
            <w:tcBorders>
              <w:top w:val="dotted" w:sz="4" w:space="0" w:color="auto"/>
              <w:bottom w:val="dotted" w:sz="4" w:space="0" w:color="auto"/>
            </w:tcBorders>
          </w:tcPr>
          <w:p w:rsidR="003D3FE1" w:rsidRDefault="003D3FE1" w:rsidP="008865A1">
            <w:pPr>
              <w:jc w:val="center"/>
              <w:rPr>
                <w:rFonts w:ascii="Garamond" w:hAnsi="Garamond"/>
                <w:sz w:val="22"/>
                <w:szCs w:val="22"/>
              </w:rPr>
            </w:pPr>
            <w:r>
              <w:rPr>
                <w:rFonts w:ascii="Garamond" w:hAnsi="Garamond"/>
                <w:sz w:val="22"/>
                <w:szCs w:val="22"/>
              </w:rPr>
              <w:t>1</w:t>
            </w:r>
          </w:p>
        </w:tc>
        <w:tc>
          <w:tcPr>
            <w:tcW w:w="720" w:type="dxa"/>
            <w:tcBorders>
              <w:top w:val="dotted" w:sz="4" w:space="0" w:color="auto"/>
              <w:bottom w:val="dotted" w:sz="4" w:space="0" w:color="auto"/>
            </w:tcBorders>
          </w:tcPr>
          <w:p w:rsidR="003D3FE1" w:rsidRDefault="003D3FE1" w:rsidP="008865A1">
            <w:pPr>
              <w:jc w:val="center"/>
              <w:rPr>
                <w:rFonts w:ascii="Garamond" w:hAnsi="Garamond"/>
                <w:sz w:val="22"/>
                <w:szCs w:val="22"/>
              </w:rPr>
            </w:pPr>
          </w:p>
        </w:tc>
        <w:tc>
          <w:tcPr>
            <w:tcW w:w="1080" w:type="dxa"/>
            <w:tcBorders>
              <w:top w:val="dotted" w:sz="4" w:space="0" w:color="auto"/>
              <w:bottom w:val="dotted" w:sz="4" w:space="0" w:color="auto"/>
            </w:tcBorders>
          </w:tcPr>
          <w:p w:rsidR="003D3FE1" w:rsidRDefault="003D3FE1" w:rsidP="008865A1">
            <w:pPr>
              <w:jc w:val="center"/>
              <w:rPr>
                <w:rFonts w:ascii="Garamond" w:hAnsi="Garamond"/>
                <w:sz w:val="22"/>
                <w:szCs w:val="22"/>
              </w:rPr>
            </w:pPr>
            <w:r>
              <w:rPr>
                <w:rFonts w:ascii="Garamond" w:hAnsi="Garamond"/>
                <w:sz w:val="22"/>
                <w:szCs w:val="22"/>
              </w:rPr>
              <w:t>1</w:t>
            </w:r>
          </w:p>
        </w:tc>
        <w:tc>
          <w:tcPr>
            <w:tcW w:w="900" w:type="dxa"/>
            <w:tcBorders>
              <w:top w:val="dotted" w:sz="4" w:space="0" w:color="auto"/>
              <w:bottom w:val="dotted" w:sz="4" w:space="0" w:color="auto"/>
            </w:tcBorders>
          </w:tcPr>
          <w:p w:rsidR="003D3FE1" w:rsidRDefault="003D3FE1" w:rsidP="008865A1">
            <w:pPr>
              <w:jc w:val="center"/>
              <w:rPr>
                <w:rFonts w:ascii="Garamond" w:hAnsi="Garamond"/>
                <w:sz w:val="22"/>
                <w:szCs w:val="22"/>
              </w:rPr>
            </w:pPr>
            <w:r>
              <w:rPr>
                <w:rFonts w:ascii="Garamond" w:hAnsi="Garamond"/>
                <w:sz w:val="22"/>
                <w:szCs w:val="22"/>
              </w:rPr>
              <w:t>1</w:t>
            </w:r>
          </w:p>
        </w:tc>
        <w:tc>
          <w:tcPr>
            <w:tcW w:w="900" w:type="dxa"/>
            <w:tcBorders>
              <w:top w:val="dotted" w:sz="4" w:space="0" w:color="auto"/>
              <w:bottom w:val="dotted" w:sz="4" w:space="0" w:color="auto"/>
            </w:tcBorders>
          </w:tcPr>
          <w:p w:rsidR="003D3FE1" w:rsidRDefault="003D3FE1" w:rsidP="008865A1">
            <w:pPr>
              <w:jc w:val="center"/>
              <w:rPr>
                <w:rFonts w:ascii="Garamond" w:hAnsi="Garamond"/>
                <w:sz w:val="22"/>
                <w:szCs w:val="22"/>
              </w:rPr>
            </w:pPr>
            <w:r>
              <w:rPr>
                <w:rFonts w:ascii="Garamond" w:hAnsi="Garamond"/>
                <w:sz w:val="22"/>
                <w:szCs w:val="22"/>
              </w:rPr>
              <w:t>2</w:t>
            </w:r>
          </w:p>
        </w:tc>
      </w:tr>
    </w:tbl>
    <w:p w:rsidR="003D3FE1" w:rsidRPr="00A80852" w:rsidRDefault="003D3FE1" w:rsidP="00A80852">
      <w:pPr>
        <w:ind w:left="360"/>
        <w:jc w:val="both"/>
        <w:rPr>
          <w:rFonts w:ascii="Garamond" w:hAnsi="Garamond"/>
        </w:rPr>
      </w:pPr>
    </w:p>
    <w:p w:rsidR="003D3FE1" w:rsidRPr="00A80852" w:rsidRDefault="003D3FE1" w:rsidP="00157C57">
      <w:pPr>
        <w:jc w:val="both"/>
        <w:rPr>
          <w:rFonts w:ascii="Garamond" w:hAnsi="Garamond"/>
          <w:b/>
          <w:i/>
        </w:rPr>
      </w:pPr>
      <w:r w:rsidRPr="00A80852">
        <w:rPr>
          <w:rFonts w:ascii="Garamond" w:hAnsi="Garamond"/>
          <w:b/>
          <w:i/>
        </w:rPr>
        <w:t>Ongoing Education</w:t>
      </w:r>
    </w:p>
    <w:p w:rsidR="003D3FE1" w:rsidRPr="00A80852" w:rsidRDefault="003D3FE1" w:rsidP="00A80852">
      <w:pPr>
        <w:ind w:left="360"/>
        <w:jc w:val="both"/>
        <w:rPr>
          <w:rFonts w:ascii="Garamond" w:hAnsi="Garamond"/>
          <w:i/>
        </w:rPr>
      </w:pPr>
      <w:r w:rsidRPr="00A80852">
        <w:rPr>
          <w:rFonts w:ascii="Garamond" w:hAnsi="Garamond"/>
          <w:i/>
        </w:rPr>
        <w:t>Certified Community Nursing Program</w:t>
      </w:r>
    </w:p>
    <w:p w:rsidR="003D3FE1" w:rsidRPr="00A80852" w:rsidRDefault="003D3FE1" w:rsidP="00A80852">
      <w:pPr>
        <w:ind w:left="360"/>
        <w:jc w:val="both"/>
        <w:rPr>
          <w:rFonts w:ascii="Garamond" w:hAnsi="Garamond"/>
          <w:highlight w:val="yellow"/>
        </w:rPr>
      </w:pPr>
      <w:bookmarkStart w:id="0" w:name="_Toc129752951"/>
      <w:bookmarkStart w:id="1" w:name="_Toc139879095"/>
    </w:p>
    <w:p w:rsidR="003D3FE1" w:rsidRPr="003D3FE1" w:rsidRDefault="003D3FE1" w:rsidP="003D3FE1">
      <w:pPr>
        <w:pStyle w:val="ListParagraph"/>
        <w:numPr>
          <w:ilvl w:val="0"/>
          <w:numId w:val="2"/>
        </w:numPr>
        <w:jc w:val="both"/>
        <w:rPr>
          <w:rFonts w:ascii="Garamond" w:hAnsi="Garamond"/>
        </w:rPr>
      </w:pPr>
      <w:bookmarkStart w:id="2" w:name="_Toc129752953"/>
      <w:bookmarkStart w:id="3" w:name="_Toc139879097"/>
      <w:bookmarkEnd w:id="0"/>
      <w:bookmarkEnd w:id="1"/>
      <w:r w:rsidRPr="003D3FE1">
        <w:rPr>
          <w:rFonts w:ascii="Garamond" w:hAnsi="Garamond"/>
        </w:rPr>
        <w:t>The 2½-year program is divided into five blocks requiring seven hours per day, 35 hours per week, for a total of 4,550 hours. Students are allowed a four-week break in the first year of the program and a six-week break in the second. Within each of the program blocks, students are expected to master various competences through clinical and community placements.</w:t>
      </w:r>
    </w:p>
    <w:p w:rsidR="003D3FE1" w:rsidRPr="00A80852" w:rsidRDefault="003D3FE1" w:rsidP="00A80852">
      <w:pPr>
        <w:ind w:left="360"/>
        <w:jc w:val="both"/>
        <w:rPr>
          <w:rFonts w:ascii="Garamond" w:hAnsi="Garamond"/>
        </w:rPr>
      </w:pPr>
      <w:r>
        <w:rPr>
          <w:noProof/>
        </w:rPr>
        <w:pict>
          <v:shapetype id="_x0000_t202" coordsize="21600,21600" o:spt="202" path="m,l,21600r21600,l21600,xe">
            <v:stroke joinstyle="miter"/>
            <v:path gradientshapeok="t" o:connecttype="rect"/>
          </v:shapetype>
          <v:shape id="_x0000_s1033" type="#_x0000_t202" style="position:absolute;left:0;text-align:left;margin-left:0;margin-top:187.7pt;width:252pt;height:11.5pt;z-index:251668480" stroked="f">
            <v:textbox style="mso-next-textbox:#_x0000_s1033" inset="0,0,0,0">
              <w:txbxContent>
                <w:p w:rsidR="003D3FE1" w:rsidRDefault="003D3FE1" w:rsidP="003D3FE1">
                  <w:pPr>
                    <w:pStyle w:val="Caption"/>
                    <w:jc w:val="center"/>
                    <w:rPr>
                      <w:noProof/>
                      <w:color w:val="000080"/>
                    </w:rPr>
                  </w:pPr>
                  <w:r>
                    <w:rPr>
                      <w:color w:val="000080"/>
                    </w:rPr>
                    <w:t>Nursing students take an examination</w:t>
                  </w:r>
                </w:p>
              </w:txbxContent>
            </v:textbox>
            <w10:wrap type="square"/>
          </v:shape>
        </w:pict>
      </w:r>
      <w:r>
        <w:rPr>
          <w:noProof/>
        </w:rPr>
        <w:drawing>
          <wp:anchor distT="0" distB="0" distL="114300" distR="114300" simplePos="0" relativeHeight="251667456" behindDoc="0" locked="0" layoutInCell="1" allowOverlap="1">
            <wp:simplePos x="0" y="0"/>
            <wp:positionH relativeFrom="column">
              <wp:align>left</wp:align>
            </wp:positionH>
            <wp:positionV relativeFrom="paragraph">
              <wp:posOffset>171450</wp:posOffset>
            </wp:positionV>
            <wp:extent cx="3200400" cy="2155190"/>
            <wp:effectExtent l="19050" t="0" r="0" b="0"/>
            <wp:wrapSquare wrapText="bothSides"/>
            <wp:docPr id="8" name="Picture 8" descr="SANY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NY0021"/>
                    <pic:cNvPicPr>
                      <a:picLocks noChangeAspect="1" noChangeArrowheads="1"/>
                    </pic:cNvPicPr>
                  </pic:nvPicPr>
                  <pic:blipFill>
                    <a:blip r:embed="rId7"/>
                    <a:srcRect/>
                    <a:stretch>
                      <a:fillRect/>
                    </a:stretch>
                  </pic:blipFill>
                  <pic:spPr bwMode="auto">
                    <a:xfrm>
                      <a:off x="0" y="0"/>
                      <a:ext cx="3200400" cy="2155190"/>
                    </a:xfrm>
                    <a:prstGeom prst="rect">
                      <a:avLst/>
                    </a:prstGeom>
                    <a:noFill/>
                    <a:ln w="38100">
                      <a:noFill/>
                      <a:miter lim="800000"/>
                      <a:headEnd/>
                      <a:tailEnd/>
                    </a:ln>
                    <a:effectLst/>
                  </pic:spPr>
                </pic:pic>
              </a:graphicData>
            </a:graphic>
          </wp:anchor>
        </w:drawing>
      </w:r>
    </w:p>
    <w:p w:rsidR="003D3FE1" w:rsidRPr="003D3FE1" w:rsidRDefault="003D3FE1" w:rsidP="003D3FE1">
      <w:pPr>
        <w:pStyle w:val="ListParagraph"/>
        <w:numPr>
          <w:ilvl w:val="0"/>
          <w:numId w:val="2"/>
        </w:numPr>
        <w:jc w:val="both"/>
        <w:rPr>
          <w:rFonts w:ascii="Garamond" w:hAnsi="Garamond"/>
          <w:lang w:val="en-GB"/>
        </w:rPr>
      </w:pPr>
      <w:r w:rsidRPr="003D3FE1">
        <w:rPr>
          <w:rFonts w:ascii="Garamond" w:hAnsi="Garamond"/>
          <w:lang w:val="en-GB"/>
        </w:rPr>
        <w:t xml:space="preserve">The students from the nursing department have been in their practical clinical rotation since November 17, 2008. This placement will run for three months in the following wards or departments: Medical Ward, Surgical Ward, and </w:t>
      </w:r>
      <w:proofErr w:type="spellStart"/>
      <w:r w:rsidRPr="003D3FE1">
        <w:rPr>
          <w:rFonts w:ascii="Garamond" w:hAnsi="Garamond"/>
          <w:lang w:val="en-GB"/>
        </w:rPr>
        <w:t>Pediatric</w:t>
      </w:r>
      <w:proofErr w:type="spellEnd"/>
      <w:r w:rsidRPr="003D3FE1">
        <w:rPr>
          <w:rFonts w:ascii="Garamond" w:hAnsi="Garamond"/>
          <w:lang w:val="en-GB"/>
        </w:rPr>
        <w:t xml:space="preserve"> Ward. At the end of this rotation, students will be assessed on their nursing care competencies concerning patients with a medical condition, patients with a surgical condition, and </w:t>
      </w:r>
      <w:proofErr w:type="spellStart"/>
      <w:r w:rsidRPr="003D3FE1">
        <w:rPr>
          <w:rFonts w:ascii="Garamond" w:hAnsi="Garamond"/>
          <w:lang w:val="en-GB"/>
        </w:rPr>
        <w:t>pediatric</w:t>
      </w:r>
      <w:proofErr w:type="spellEnd"/>
      <w:r w:rsidRPr="003D3FE1">
        <w:rPr>
          <w:rFonts w:ascii="Garamond" w:hAnsi="Garamond"/>
          <w:lang w:val="en-GB"/>
        </w:rPr>
        <w:t xml:space="preserve"> patients</w:t>
      </w:r>
      <w:r w:rsidRPr="003D3FE1">
        <w:rPr>
          <w:rFonts w:ascii="Garamond" w:hAnsi="Garamond"/>
        </w:rPr>
        <w:t xml:space="preserve">. </w:t>
      </w:r>
      <w:r w:rsidRPr="003D3FE1">
        <w:rPr>
          <w:rFonts w:ascii="Garamond" w:hAnsi="Garamond"/>
          <w:lang w:val="en-GB"/>
        </w:rPr>
        <w:t>All the 27 students are still in their clinical rotation and are due for assessment in early 2009.</w:t>
      </w:r>
    </w:p>
    <w:p w:rsidR="003D3FE1" w:rsidRPr="00A80852" w:rsidRDefault="003D3FE1" w:rsidP="00A80852">
      <w:pPr>
        <w:ind w:left="360"/>
        <w:jc w:val="both"/>
        <w:rPr>
          <w:rFonts w:ascii="Garamond" w:hAnsi="Garamond"/>
          <w:lang w:val="en-GB"/>
        </w:rPr>
      </w:pPr>
    </w:p>
    <w:bookmarkEnd w:id="2"/>
    <w:bookmarkEnd w:id="3"/>
    <w:p w:rsidR="00157C57" w:rsidRDefault="00157C57" w:rsidP="00A80852">
      <w:pPr>
        <w:ind w:left="360"/>
        <w:jc w:val="both"/>
        <w:rPr>
          <w:rFonts w:ascii="Garamond" w:hAnsi="Garamond"/>
          <w:i/>
        </w:rPr>
      </w:pPr>
    </w:p>
    <w:p w:rsidR="003D3FE1" w:rsidRPr="00A80852" w:rsidRDefault="003D3FE1" w:rsidP="00A80852">
      <w:pPr>
        <w:ind w:left="360"/>
        <w:jc w:val="both"/>
        <w:rPr>
          <w:rFonts w:ascii="Garamond" w:hAnsi="Garamond"/>
          <w:b/>
        </w:rPr>
      </w:pPr>
      <w:r w:rsidRPr="00A80852">
        <w:rPr>
          <w:rFonts w:ascii="Garamond" w:hAnsi="Garamond"/>
          <w:i/>
        </w:rPr>
        <w:lastRenderedPageBreak/>
        <w:t>Community Midwifery Program</w:t>
      </w:r>
    </w:p>
    <w:p w:rsidR="003D3FE1" w:rsidRDefault="003D3FE1" w:rsidP="003D3FE1">
      <w:pPr>
        <w:pStyle w:val="BodyText"/>
        <w:numPr>
          <w:ilvl w:val="0"/>
          <w:numId w:val="2"/>
        </w:numPr>
        <w:rPr>
          <w:rFonts w:ascii="Garamond" w:hAnsi="Garamond"/>
        </w:rPr>
      </w:pPr>
      <w:r>
        <w:rPr>
          <w:rFonts w:ascii="Garamond" w:hAnsi="Garamond"/>
        </w:rPr>
        <w:t xml:space="preserve">The Community Midwife program is an 18-month program. It has five integrated blocks: the Introductory, First, Second, Third, and Revision/Final examination. The program is also designed with clinical placements in the hospitals and health centers and Community-Based Education and Service. </w:t>
      </w:r>
    </w:p>
    <w:p w:rsidR="003D3FE1" w:rsidRPr="00A80852" w:rsidRDefault="003D3FE1" w:rsidP="00A80852">
      <w:pPr>
        <w:ind w:left="360"/>
        <w:jc w:val="both"/>
        <w:rPr>
          <w:rFonts w:ascii="Garamond" w:hAnsi="Garamond"/>
          <w:b/>
          <w:i/>
        </w:rPr>
      </w:pPr>
      <w:r w:rsidRPr="00A80852">
        <w:rPr>
          <w:rFonts w:ascii="Garamond" w:hAnsi="Garamond"/>
          <w:b/>
          <w:i/>
        </w:rPr>
        <w:t>Collaboration with Mundari Hospital and Key Partners</w:t>
      </w:r>
    </w:p>
    <w:p w:rsidR="003D3FE1" w:rsidRDefault="003D3FE1" w:rsidP="003D3FE1">
      <w:pPr>
        <w:pStyle w:val="ListParagraph"/>
        <w:numPr>
          <w:ilvl w:val="0"/>
          <w:numId w:val="2"/>
        </w:numPr>
        <w:jc w:val="both"/>
        <w:rPr>
          <w:rFonts w:ascii="Garamond" w:hAnsi="Garamond"/>
        </w:rPr>
      </w:pPr>
      <w:r w:rsidRPr="003D3FE1">
        <w:rPr>
          <w:rFonts w:ascii="Garamond" w:hAnsi="Garamond"/>
        </w:rPr>
        <w:t>Upon a recent visit to the school, the Ministry of Health Director General for Nursing and Midwifery and the World Health Organization (WHO) Representative of Nursing and Allied Health Professionals expressed their happiness with the training school students’ aspirations of being an example in hygiene and sanitation, with a well-maintained, clean environment. There are plans to start a kitchen garden on the school grounds (to be maintained by the students), which will provide vegetables for the students’ meals.</w:t>
      </w:r>
    </w:p>
    <w:p w:rsidR="00A80852" w:rsidRPr="003D3FE1" w:rsidRDefault="00A80852" w:rsidP="00A80852">
      <w:pPr>
        <w:pStyle w:val="ListParagraph"/>
        <w:jc w:val="both"/>
        <w:rPr>
          <w:rFonts w:ascii="Garamond" w:hAnsi="Garamond"/>
        </w:rPr>
      </w:pPr>
    </w:p>
    <w:p w:rsidR="003D3FE1" w:rsidRDefault="003D3FE1" w:rsidP="003D3FE1">
      <w:pPr>
        <w:spacing w:after="240"/>
        <w:rPr>
          <w:rFonts w:ascii="Garamond" w:hAnsi="Garamond"/>
        </w:rPr>
      </w:pPr>
      <w:r>
        <w:rPr>
          <w:rFonts w:ascii="Garamond" w:hAnsi="Garamond"/>
        </w:rPr>
        <w:t xml:space="preserve">International Medical Corps also collaborated with a partner non-governmental organization, Danish Refugee Council, to construct a water point (borehole well) within the training school campus. The World Health Organization has provided additional computers, textbooks, and equipment (including an overhead projector) to support the training school. </w:t>
      </w:r>
    </w:p>
    <w:p w:rsidR="003D3FE1" w:rsidRDefault="003D3FE1" w:rsidP="003D3FE1">
      <w:pPr>
        <w:numPr>
          <w:ilvl w:val="0"/>
          <w:numId w:val="1"/>
        </w:numPr>
        <w:tabs>
          <w:tab w:val="clear" w:pos="1080"/>
          <w:tab w:val="left" w:pos="720"/>
        </w:tabs>
        <w:ind w:left="360" w:hanging="360"/>
        <w:jc w:val="both"/>
        <w:rPr>
          <w:rFonts w:ascii="Garamond" w:hAnsi="Garamond"/>
          <w:b/>
          <w:color w:val="000080"/>
        </w:rPr>
      </w:pPr>
      <w:r>
        <w:rPr>
          <w:rFonts w:ascii="Garamond" w:hAnsi="Garamond"/>
          <w:b/>
          <w:color w:val="000080"/>
        </w:rPr>
        <w:t>INTERVIEWS WITH STUDENTS</w:t>
      </w:r>
    </w:p>
    <w:p w:rsidR="003D3FE1" w:rsidRDefault="003D3FE1" w:rsidP="003D3FE1">
      <w:pPr>
        <w:jc w:val="both"/>
        <w:rPr>
          <w:rFonts w:ascii="Garamond" w:hAnsi="Garamond"/>
          <w:b/>
        </w:rPr>
      </w:pPr>
    </w:p>
    <w:p w:rsidR="003D3FE1" w:rsidRDefault="003D3FE1" w:rsidP="003D3FE1">
      <w:pPr>
        <w:jc w:val="both"/>
        <w:rPr>
          <w:rFonts w:ascii="Garamond" w:hAnsi="Garamond"/>
        </w:rPr>
      </w:pPr>
      <w:r>
        <w:rPr>
          <w:rFonts w:ascii="Garamond" w:hAnsi="Garamond"/>
        </w:rPr>
        <w:t xml:space="preserve">Below are comments from students at the </w:t>
      </w:r>
      <w:smartTag w:uri="urn:schemas-microsoft-com:office:smarttags" w:element="place">
        <w:smartTag w:uri="urn:schemas-microsoft-com:office:smarttags" w:element="PlaceName">
          <w:r>
            <w:rPr>
              <w:rFonts w:ascii="Garamond" w:hAnsi="Garamond"/>
            </w:rPr>
            <w:t>Training</w:t>
          </w:r>
        </w:smartTag>
        <w:r>
          <w:rPr>
            <w:rFonts w:ascii="Garamond" w:hAnsi="Garamond"/>
          </w:rPr>
          <w:t xml:space="preserve"> </w:t>
        </w:r>
        <w:smartTag w:uri="urn:schemas-microsoft-com:office:smarttags" w:element="PlaceType">
          <w:r>
            <w:rPr>
              <w:rFonts w:ascii="Garamond" w:hAnsi="Garamond"/>
            </w:rPr>
            <w:t>Center</w:t>
          </w:r>
        </w:smartTag>
      </w:smartTag>
      <w:r>
        <w:rPr>
          <w:rFonts w:ascii="Garamond" w:hAnsi="Garamond"/>
        </w:rPr>
        <w:t>, in their own words.</w:t>
      </w:r>
    </w:p>
    <w:p w:rsidR="003D3FE1" w:rsidRDefault="003D3FE1" w:rsidP="003D3FE1">
      <w:pPr>
        <w:jc w:val="both"/>
        <w:rPr>
          <w:rFonts w:ascii="Garamond" w:hAnsi="Garamond"/>
          <w:b/>
        </w:rPr>
      </w:pPr>
    </w:p>
    <w:p w:rsidR="003D3FE1" w:rsidRDefault="003D3FE1" w:rsidP="003D3FE1">
      <w:pPr>
        <w:pBdr>
          <w:top w:val="single" w:sz="4" w:space="1" w:color="auto"/>
          <w:left w:val="single" w:sz="4" w:space="4" w:color="auto"/>
          <w:bottom w:val="single" w:sz="4" w:space="1" w:color="auto"/>
          <w:right w:val="single" w:sz="4" w:space="4" w:color="auto"/>
        </w:pBdr>
        <w:jc w:val="both"/>
        <w:rPr>
          <w:rFonts w:ascii="Garamond" w:hAnsi="Garamond"/>
          <w:b/>
          <w:lang w:val="en-GB"/>
        </w:rPr>
      </w:pPr>
      <w:r>
        <w:rPr>
          <w:noProof/>
        </w:rPr>
        <w:drawing>
          <wp:anchor distT="0" distB="0" distL="114300" distR="114300" simplePos="0" relativeHeight="251670528" behindDoc="0" locked="0" layoutInCell="1" allowOverlap="1">
            <wp:simplePos x="0" y="0"/>
            <wp:positionH relativeFrom="column">
              <wp:posOffset>0</wp:posOffset>
            </wp:positionH>
            <wp:positionV relativeFrom="paragraph">
              <wp:posOffset>18415</wp:posOffset>
            </wp:positionV>
            <wp:extent cx="1600200" cy="1222375"/>
            <wp:effectExtent l="19050" t="0" r="0" b="0"/>
            <wp:wrapSquare wrapText="bothSides"/>
            <wp:docPr id="10" name="Picture 10" descr="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118"/>
                    <pic:cNvPicPr>
                      <a:picLocks noChangeAspect="1" noChangeArrowheads="1"/>
                    </pic:cNvPicPr>
                  </pic:nvPicPr>
                  <pic:blipFill>
                    <a:blip r:embed="rId8"/>
                    <a:srcRect/>
                    <a:stretch>
                      <a:fillRect/>
                    </a:stretch>
                  </pic:blipFill>
                  <pic:spPr bwMode="auto">
                    <a:xfrm>
                      <a:off x="0" y="0"/>
                      <a:ext cx="1600200" cy="1222375"/>
                    </a:xfrm>
                    <a:prstGeom prst="rect">
                      <a:avLst/>
                    </a:prstGeom>
                    <a:noFill/>
                    <a:ln w="9525">
                      <a:noFill/>
                      <a:miter lim="800000"/>
                      <a:headEnd/>
                      <a:tailEnd/>
                    </a:ln>
                  </pic:spPr>
                </pic:pic>
              </a:graphicData>
            </a:graphic>
          </wp:anchor>
        </w:drawing>
      </w:r>
      <w:proofErr w:type="spellStart"/>
      <w:r>
        <w:rPr>
          <w:rFonts w:ascii="Garamond" w:hAnsi="Garamond"/>
          <w:b/>
          <w:lang w:val="en-GB"/>
        </w:rPr>
        <w:t>Sida</w:t>
      </w:r>
      <w:proofErr w:type="spellEnd"/>
      <w:r>
        <w:rPr>
          <w:rFonts w:ascii="Garamond" w:hAnsi="Garamond"/>
          <w:b/>
          <w:lang w:val="en-GB"/>
        </w:rPr>
        <w:t xml:space="preserve"> </w:t>
      </w:r>
      <w:proofErr w:type="spellStart"/>
      <w:r>
        <w:rPr>
          <w:rFonts w:ascii="Garamond" w:hAnsi="Garamond"/>
          <w:b/>
          <w:lang w:val="en-GB"/>
        </w:rPr>
        <w:t>Taban</w:t>
      </w:r>
      <w:proofErr w:type="spellEnd"/>
      <w:r>
        <w:rPr>
          <w:rFonts w:ascii="Garamond" w:hAnsi="Garamond"/>
          <w:b/>
          <w:lang w:val="en-GB"/>
        </w:rPr>
        <w:t xml:space="preserve"> - Certified Community </w:t>
      </w:r>
      <w:proofErr w:type="gramStart"/>
      <w:r>
        <w:rPr>
          <w:rFonts w:ascii="Garamond" w:hAnsi="Garamond"/>
          <w:b/>
          <w:lang w:val="en-GB"/>
        </w:rPr>
        <w:t>Nursing</w:t>
      </w:r>
      <w:proofErr w:type="gramEnd"/>
      <w:r>
        <w:rPr>
          <w:rFonts w:ascii="Garamond" w:hAnsi="Garamond"/>
          <w:b/>
          <w:lang w:val="en-GB"/>
        </w:rPr>
        <w:t xml:space="preserve"> student</w:t>
      </w:r>
    </w:p>
    <w:p w:rsidR="003D3FE1" w:rsidRDefault="003D3FE1" w:rsidP="003D3FE1">
      <w:pPr>
        <w:pBdr>
          <w:top w:val="single" w:sz="4" w:space="1" w:color="auto"/>
          <w:left w:val="single" w:sz="4" w:space="4" w:color="auto"/>
          <w:bottom w:val="single" w:sz="4" w:space="1" w:color="auto"/>
          <w:right w:val="single" w:sz="4" w:space="4" w:color="auto"/>
        </w:pBdr>
        <w:jc w:val="both"/>
        <w:rPr>
          <w:rFonts w:ascii="Garamond" w:hAnsi="Garamond"/>
          <w:lang w:val="en-GB"/>
        </w:rPr>
      </w:pPr>
      <w:r>
        <w:rPr>
          <w:rFonts w:ascii="Garamond" w:hAnsi="Garamond"/>
          <w:lang w:val="en-GB"/>
        </w:rPr>
        <w:t xml:space="preserve">I am 40 years old and I completed high school in 1988 and went to </w:t>
      </w:r>
      <w:smartTag w:uri="urn:schemas-microsoft-com:office:smarttags" w:element="country-region">
        <w:smartTag w:uri="urn:schemas-microsoft-com:office:smarttags" w:element="place">
          <w:r>
            <w:rPr>
              <w:rFonts w:ascii="Garamond" w:hAnsi="Garamond"/>
              <w:lang w:val="en-GB"/>
            </w:rPr>
            <w:t>Uganda</w:t>
          </w:r>
        </w:smartTag>
      </w:smartTag>
      <w:r>
        <w:rPr>
          <w:rFonts w:ascii="Garamond" w:hAnsi="Garamond"/>
          <w:lang w:val="en-GB"/>
        </w:rPr>
        <w:t xml:space="preserve"> for exile. While in </w:t>
      </w:r>
      <w:smartTag w:uri="urn:schemas-microsoft-com:office:smarttags" w:element="country-region">
        <w:smartTag w:uri="urn:schemas-microsoft-com:office:smarttags" w:element="place">
          <w:r>
            <w:rPr>
              <w:rFonts w:ascii="Garamond" w:hAnsi="Garamond"/>
              <w:lang w:val="en-GB"/>
            </w:rPr>
            <w:t>Uganda</w:t>
          </w:r>
        </w:smartTag>
      </w:smartTag>
      <w:r>
        <w:rPr>
          <w:rFonts w:ascii="Garamond" w:hAnsi="Garamond"/>
          <w:lang w:val="en-GB"/>
        </w:rPr>
        <w:t xml:space="preserve">, I never had the chance to further my education. Within the first year of starting this course, we were visiting wards once a week and were able to really get involved. One of the reasons I chose this training </w:t>
      </w:r>
      <w:proofErr w:type="spellStart"/>
      <w:r>
        <w:rPr>
          <w:rFonts w:ascii="Garamond" w:hAnsi="Garamond"/>
          <w:lang w:val="en-GB"/>
        </w:rPr>
        <w:t>center</w:t>
      </w:r>
      <w:proofErr w:type="spellEnd"/>
      <w:r>
        <w:rPr>
          <w:rFonts w:ascii="Garamond" w:hAnsi="Garamond"/>
          <w:lang w:val="en-GB"/>
        </w:rPr>
        <w:t xml:space="preserve"> is because of support provided by IMC. I entered into the profession at a very exciting time, sharing much of learning with other health staff, enabling us to learn with and about others, in the long run improving the care of the patient. As a male nurse student I hope I will make a difference within the field of men’s health in </w:t>
      </w:r>
      <w:smartTag w:uri="urn:schemas-microsoft-com:office:smarttags" w:element="place">
        <w:r>
          <w:rPr>
            <w:rFonts w:ascii="Garamond" w:hAnsi="Garamond"/>
            <w:lang w:val="en-GB"/>
          </w:rPr>
          <w:t>South Sudan</w:t>
        </w:r>
      </w:smartTag>
      <w:r>
        <w:rPr>
          <w:rFonts w:ascii="Garamond" w:hAnsi="Garamond"/>
          <w:lang w:val="en-GB"/>
        </w:rPr>
        <w:t xml:space="preserve"> and be party for positive changes within the health care profession.</w:t>
      </w:r>
    </w:p>
    <w:p w:rsidR="00FF0A5F" w:rsidRDefault="00FF0A5F" w:rsidP="00FF0A5F">
      <w:pPr>
        <w:jc w:val="both"/>
        <w:rPr>
          <w:b/>
          <w:lang w:val="en-GB"/>
        </w:rPr>
      </w:pPr>
    </w:p>
    <w:p w:rsidR="00FF0A5F" w:rsidRDefault="00FF0A5F" w:rsidP="00FF0A5F">
      <w:pPr>
        <w:pBdr>
          <w:top w:val="single" w:sz="4" w:space="1" w:color="auto"/>
          <w:left w:val="single" w:sz="4" w:space="4" w:color="auto"/>
          <w:bottom w:val="single" w:sz="4" w:space="1" w:color="auto"/>
          <w:right w:val="single" w:sz="4" w:space="4" w:color="auto"/>
        </w:pBdr>
        <w:jc w:val="both"/>
        <w:rPr>
          <w:rFonts w:ascii="Garamond" w:hAnsi="Garamond"/>
          <w:b/>
          <w:lang w:val="en-GB"/>
        </w:rPr>
      </w:pPr>
      <w:r>
        <w:rPr>
          <w:noProof/>
        </w:rPr>
        <w:drawing>
          <wp:anchor distT="0" distB="0" distL="114300" distR="114300" simplePos="0" relativeHeight="251674624" behindDoc="0" locked="0" layoutInCell="1" allowOverlap="1">
            <wp:simplePos x="0" y="0"/>
            <wp:positionH relativeFrom="column">
              <wp:posOffset>0</wp:posOffset>
            </wp:positionH>
            <wp:positionV relativeFrom="paragraph">
              <wp:posOffset>18415</wp:posOffset>
            </wp:positionV>
            <wp:extent cx="1600200" cy="1200150"/>
            <wp:effectExtent l="19050" t="0" r="0" b="0"/>
            <wp:wrapSquare wrapText="bothSides"/>
            <wp:docPr id="12" name="Picture 12" descr="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133"/>
                    <pic:cNvPicPr>
                      <a:picLocks noChangeAspect="1" noChangeArrowheads="1"/>
                    </pic:cNvPicPr>
                  </pic:nvPicPr>
                  <pic:blipFill>
                    <a:blip r:embed="rId9"/>
                    <a:srcRect/>
                    <a:stretch>
                      <a:fillRect/>
                    </a:stretch>
                  </pic:blipFill>
                  <pic:spPr bwMode="auto">
                    <a:xfrm>
                      <a:off x="0" y="0"/>
                      <a:ext cx="1600200" cy="1200150"/>
                    </a:xfrm>
                    <a:prstGeom prst="rect">
                      <a:avLst/>
                    </a:prstGeom>
                    <a:noFill/>
                    <a:ln w="9525">
                      <a:noFill/>
                      <a:miter lim="800000"/>
                      <a:headEnd/>
                      <a:tailEnd/>
                    </a:ln>
                  </pic:spPr>
                </pic:pic>
              </a:graphicData>
            </a:graphic>
          </wp:anchor>
        </w:drawing>
      </w:r>
      <w:r>
        <w:rPr>
          <w:rFonts w:ascii="Garamond" w:hAnsi="Garamond"/>
          <w:b/>
          <w:lang w:val="en-GB"/>
        </w:rPr>
        <w:t xml:space="preserve">Pricilla </w:t>
      </w:r>
      <w:proofErr w:type="spellStart"/>
      <w:r>
        <w:rPr>
          <w:rFonts w:ascii="Garamond" w:hAnsi="Garamond"/>
          <w:b/>
          <w:lang w:val="en-GB"/>
        </w:rPr>
        <w:t>Meling</w:t>
      </w:r>
      <w:proofErr w:type="spellEnd"/>
      <w:r>
        <w:rPr>
          <w:rFonts w:ascii="Garamond" w:hAnsi="Garamond"/>
          <w:b/>
          <w:lang w:val="en-GB"/>
        </w:rPr>
        <w:t xml:space="preserve"> – Community Midwifery student</w:t>
      </w:r>
    </w:p>
    <w:p w:rsidR="006C517C" w:rsidRDefault="00FF0A5F" w:rsidP="00FF0A5F">
      <w:r>
        <w:rPr>
          <w:rFonts w:ascii="Garamond" w:hAnsi="Garamond"/>
          <w:lang w:val="en-GB"/>
        </w:rPr>
        <w:t xml:space="preserve">I started this community midwifery training at the age of 38 years. I was a nurse aide on job training before I joined this program, but now I have the access to conventional training and I have so far acquired skills and knowledge during these seven months of this training. I feel it is never too late to have a career. Since leaving school at 18 years of age I have always worked as a community health worker, so I had to undertake basic sciences like biology, chemistry and English again before I could study nursing at </w:t>
      </w:r>
      <w:proofErr w:type="spellStart"/>
      <w:smartTag w:uri="urn:schemas-microsoft-com:office:smarttags" w:element="place">
        <w:smartTag w:uri="urn:schemas-microsoft-com:office:smarttags" w:element="PlaceName">
          <w:r>
            <w:rPr>
              <w:rFonts w:ascii="Garamond" w:hAnsi="Garamond"/>
              <w:lang w:val="en-GB"/>
            </w:rPr>
            <w:t>Kajo</w:t>
          </w:r>
        </w:smartTag>
        <w:proofErr w:type="spellEnd"/>
        <w:r>
          <w:rPr>
            <w:rFonts w:ascii="Garamond" w:hAnsi="Garamond"/>
            <w:lang w:val="en-GB"/>
          </w:rPr>
          <w:t xml:space="preserve"> </w:t>
        </w:r>
        <w:proofErr w:type="spellStart"/>
        <w:smartTag w:uri="urn:schemas-microsoft-com:office:smarttags" w:element="PlaceName">
          <w:r>
            <w:rPr>
              <w:rFonts w:ascii="Garamond" w:hAnsi="Garamond"/>
              <w:lang w:val="en-GB"/>
            </w:rPr>
            <w:t>Keiji</w:t>
          </w:r>
        </w:smartTag>
        <w:proofErr w:type="spellEnd"/>
        <w:r>
          <w:rPr>
            <w:rFonts w:ascii="Garamond" w:hAnsi="Garamond"/>
            <w:lang w:val="en-GB"/>
          </w:rPr>
          <w:t xml:space="preserve"> </w:t>
        </w:r>
        <w:smartTag w:uri="urn:schemas-microsoft-com:office:smarttags" w:element="PlaceName">
          <w:r>
            <w:rPr>
              <w:rFonts w:ascii="Garamond" w:hAnsi="Garamond"/>
              <w:lang w:val="en-GB"/>
            </w:rPr>
            <w:t>Medical</w:t>
          </w:r>
        </w:smartTag>
        <w:r>
          <w:rPr>
            <w:rFonts w:ascii="Garamond" w:hAnsi="Garamond"/>
            <w:lang w:val="en-GB"/>
          </w:rPr>
          <w:t xml:space="preserve"> </w:t>
        </w:r>
        <w:smartTag w:uri="urn:schemas-microsoft-com:office:smarttags" w:element="PlaceName">
          <w:r>
            <w:rPr>
              <w:rFonts w:ascii="Garamond" w:hAnsi="Garamond"/>
              <w:lang w:val="en-GB"/>
            </w:rPr>
            <w:t>Training</w:t>
          </w:r>
        </w:smartTag>
        <w:r>
          <w:rPr>
            <w:rFonts w:ascii="Garamond" w:hAnsi="Garamond"/>
            <w:lang w:val="en-GB"/>
          </w:rPr>
          <w:t xml:space="preserve"> </w:t>
        </w:r>
        <w:proofErr w:type="spellStart"/>
        <w:smartTag w:uri="urn:schemas-microsoft-com:office:smarttags" w:element="PlaceType">
          <w:r>
            <w:rPr>
              <w:rFonts w:ascii="Garamond" w:hAnsi="Garamond"/>
              <w:lang w:val="en-GB"/>
            </w:rPr>
            <w:t>Center</w:t>
          </w:r>
        </w:smartTag>
      </w:smartTag>
      <w:proofErr w:type="spellEnd"/>
      <w:r>
        <w:rPr>
          <w:rFonts w:ascii="Garamond" w:hAnsi="Garamond"/>
          <w:lang w:val="en-GB"/>
        </w:rPr>
        <w:t>. This was initially very daunting, but the knowledge and confidence I gained is invaluable. I am enjoying the college course immensely, and completing assignments.</w:t>
      </w:r>
    </w:p>
    <w:sectPr w:rsidR="006C517C" w:rsidSect="006C517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FE1" w:rsidRDefault="003D3FE1" w:rsidP="003D3FE1">
      <w:r>
        <w:separator/>
      </w:r>
    </w:p>
  </w:endnote>
  <w:endnote w:type="continuationSeparator" w:id="0">
    <w:p w:rsidR="003D3FE1" w:rsidRDefault="003D3FE1" w:rsidP="003D3F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FE1" w:rsidRDefault="003D3FE1" w:rsidP="003D3FE1">
      <w:r>
        <w:separator/>
      </w:r>
    </w:p>
  </w:footnote>
  <w:footnote w:type="continuationSeparator" w:id="0">
    <w:p w:rsidR="003D3FE1" w:rsidRDefault="003D3FE1" w:rsidP="003D3F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56464"/>
    <w:multiLevelType w:val="hybridMultilevel"/>
    <w:tmpl w:val="ED902FA8"/>
    <w:lvl w:ilvl="0" w:tplc="A48C148A">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1F220B"/>
    <w:multiLevelType w:val="hybridMultilevel"/>
    <w:tmpl w:val="868C4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D3FE1"/>
    <w:rsid w:val="00157C57"/>
    <w:rsid w:val="003D3FE1"/>
    <w:rsid w:val="006C517C"/>
    <w:rsid w:val="00A80852"/>
    <w:rsid w:val="00B61E97"/>
    <w:rsid w:val="00FF0A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F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D3FE1"/>
    <w:pPr>
      <w:ind w:left="1080"/>
    </w:pPr>
  </w:style>
  <w:style w:type="character" w:customStyle="1" w:styleId="BodyTextIndentChar">
    <w:name w:val="Body Text Indent Char"/>
    <w:basedOn w:val="DefaultParagraphFont"/>
    <w:link w:val="BodyTextIndent"/>
    <w:rsid w:val="003D3FE1"/>
    <w:rPr>
      <w:rFonts w:ascii="Times New Roman" w:eastAsia="Times New Roman" w:hAnsi="Times New Roman" w:cs="Times New Roman"/>
      <w:sz w:val="24"/>
      <w:szCs w:val="24"/>
    </w:rPr>
  </w:style>
  <w:style w:type="paragraph" w:styleId="Caption">
    <w:name w:val="caption"/>
    <w:basedOn w:val="Normal"/>
    <w:next w:val="Normal"/>
    <w:qFormat/>
    <w:rsid w:val="003D3FE1"/>
    <w:rPr>
      <w:b/>
      <w:bCs/>
      <w:sz w:val="20"/>
      <w:szCs w:val="20"/>
    </w:rPr>
  </w:style>
  <w:style w:type="paragraph" w:styleId="BodyText">
    <w:name w:val="Body Text"/>
    <w:basedOn w:val="Normal"/>
    <w:link w:val="BodyTextChar"/>
    <w:uiPriority w:val="99"/>
    <w:unhideWhenUsed/>
    <w:rsid w:val="003D3FE1"/>
    <w:pPr>
      <w:spacing w:after="120"/>
    </w:pPr>
  </w:style>
  <w:style w:type="character" w:customStyle="1" w:styleId="BodyTextChar">
    <w:name w:val="Body Text Char"/>
    <w:basedOn w:val="DefaultParagraphFont"/>
    <w:link w:val="BodyText"/>
    <w:uiPriority w:val="99"/>
    <w:rsid w:val="003D3FE1"/>
    <w:rPr>
      <w:rFonts w:ascii="Times New Roman" w:eastAsia="Times New Roman" w:hAnsi="Times New Roman" w:cs="Times New Roman"/>
      <w:sz w:val="24"/>
      <w:szCs w:val="24"/>
    </w:rPr>
  </w:style>
  <w:style w:type="paragraph" w:styleId="CommentText">
    <w:name w:val="annotation text"/>
    <w:basedOn w:val="Normal"/>
    <w:link w:val="CommentTextChar"/>
    <w:semiHidden/>
    <w:rsid w:val="003D3FE1"/>
    <w:rPr>
      <w:sz w:val="20"/>
      <w:szCs w:val="20"/>
    </w:rPr>
  </w:style>
  <w:style w:type="character" w:customStyle="1" w:styleId="CommentTextChar">
    <w:name w:val="Comment Text Char"/>
    <w:basedOn w:val="DefaultParagraphFont"/>
    <w:link w:val="CommentText"/>
    <w:semiHidden/>
    <w:rsid w:val="003D3FE1"/>
    <w:rPr>
      <w:rFonts w:ascii="Times New Roman" w:eastAsia="Times New Roman" w:hAnsi="Times New Roman" w:cs="Times New Roman"/>
      <w:sz w:val="20"/>
      <w:szCs w:val="20"/>
    </w:rPr>
  </w:style>
  <w:style w:type="character" w:styleId="FootnoteReference">
    <w:name w:val="footnote reference"/>
    <w:basedOn w:val="DefaultParagraphFont"/>
    <w:semiHidden/>
    <w:rsid w:val="003D3FE1"/>
    <w:rPr>
      <w:vertAlign w:val="superscript"/>
    </w:rPr>
  </w:style>
  <w:style w:type="paragraph" w:styleId="FootnoteText">
    <w:name w:val="footnote text"/>
    <w:basedOn w:val="Normal"/>
    <w:link w:val="FootnoteTextChar"/>
    <w:semiHidden/>
    <w:rsid w:val="003D3FE1"/>
    <w:rPr>
      <w:rFonts w:ascii="Helvetica" w:hAnsi="Helvetica"/>
      <w:sz w:val="20"/>
      <w:szCs w:val="20"/>
      <w:lang w:val="en-GB" w:eastAsia="en-GB"/>
    </w:rPr>
  </w:style>
  <w:style w:type="character" w:customStyle="1" w:styleId="FootnoteTextChar">
    <w:name w:val="Footnote Text Char"/>
    <w:basedOn w:val="DefaultParagraphFont"/>
    <w:link w:val="FootnoteText"/>
    <w:semiHidden/>
    <w:rsid w:val="003D3FE1"/>
    <w:rPr>
      <w:rFonts w:ascii="Helvetica" w:eastAsia="Times New Roman" w:hAnsi="Helvetica" w:cs="Times New Roman"/>
      <w:sz w:val="20"/>
      <w:szCs w:val="20"/>
      <w:lang w:val="en-GB" w:eastAsia="en-GB"/>
    </w:rPr>
  </w:style>
  <w:style w:type="paragraph" w:styleId="ListParagraph">
    <w:name w:val="List Paragraph"/>
    <w:basedOn w:val="Normal"/>
    <w:uiPriority w:val="34"/>
    <w:qFormat/>
    <w:rsid w:val="003D3F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hsaravia</dc:creator>
  <cp:keywords/>
  <dc:description/>
  <cp:lastModifiedBy>hsaravia</cp:lastModifiedBy>
  <cp:revision>2</cp:revision>
  <dcterms:created xsi:type="dcterms:W3CDTF">2009-06-18T17:01:00Z</dcterms:created>
  <dcterms:modified xsi:type="dcterms:W3CDTF">2009-06-18T17:34:00Z</dcterms:modified>
</cp:coreProperties>
</file>