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12" w:rsidRDefault="00A35812" w:rsidP="00A35812">
      <w:pPr>
        <w:pStyle w:val="ListParagraph"/>
        <w:rPr>
          <w:rFonts w:ascii="HelveticaNeueLT Std" w:hAnsi="HelveticaNeueLT Std"/>
          <w:sz w:val="24"/>
          <w:szCs w:val="24"/>
        </w:rPr>
      </w:pPr>
      <w:r w:rsidRPr="00300D12">
        <w:rPr>
          <w:rFonts w:ascii="HelveticaNeueLT Std" w:hAnsi="HelveticaNeueLT Std"/>
          <w:sz w:val="24"/>
          <w:szCs w:val="24"/>
        </w:rPr>
        <w:t xml:space="preserve">The mission of the Extended Stay Hospital Grant Program is to promote individual treatment by providing financial and emotional support to the families of the children suffering from Cystic Fibrosis. A vision to build supportive communities for families affected by Cystic Fibrosis was first recognized by Claire </w:t>
      </w:r>
      <w:proofErr w:type="spellStart"/>
      <w:r w:rsidRPr="00300D12">
        <w:rPr>
          <w:rFonts w:ascii="HelveticaNeueLT Std" w:hAnsi="HelveticaNeueLT Std"/>
          <w:sz w:val="24"/>
          <w:szCs w:val="24"/>
        </w:rPr>
        <w:t>Wineland</w:t>
      </w:r>
      <w:proofErr w:type="spellEnd"/>
      <w:r w:rsidRPr="00300D12">
        <w:rPr>
          <w:rFonts w:ascii="HelveticaNeueLT Std" w:hAnsi="HelveticaNeueLT Std"/>
          <w:sz w:val="24"/>
          <w:szCs w:val="24"/>
        </w:rPr>
        <w:t xml:space="preserve"> through her own struggles with Cystic Fibrosis, a progressive, genetic disease that causes persistent lung infections and limits the ability to breathe over time. </w:t>
      </w:r>
    </w:p>
    <w:p w:rsidR="00A35812" w:rsidRDefault="00A35812" w:rsidP="00A35812">
      <w:pPr>
        <w:pStyle w:val="ListParagraph"/>
        <w:rPr>
          <w:rFonts w:ascii="HelveticaNeueLT Std" w:hAnsi="HelveticaNeueLT Std"/>
          <w:sz w:val="24"/>
          <w:szCs w:val="24"/>
        </w:rPr>
      </w:pPr>
      <w:bookmarkStart w:id="0" w:name="_GoBack"/>
      <w:bookmarkEnd w:id="0"/>
    </w:p>
    <w:p w:rsidR="00A35812" w:rsidRPr="00300D12" w:rsidRDefault="00A35812" w:rsidP="00A35812">
      <w:pPr>
        <w:pStyle w:val="ListParagraph"/>
        <w:rPr>
          <w:rFonts w:ascii="HelveticaNeueLT Std" w:hAnsi="HelveticaNeueLT Std"/>
          <w:sz w:val="24"/>
          <w:szCs w:val="24"/>
        </w:rPr>
      </w:pPr>
      <w:r w:rsidRPr="00300D12">
        <w:rPr>
          <w:rFonts w:ascii="HelveticaNeueLT Std" w:hAnsi="HelveticaNeueLT Std"/>
          <w:sz w:val="24"/>
          <w:szCs w:val="24"/>
        </w:rPr>
        <w:t>The families of children affected by Cystic Fibrosis often experience financial hardships during extended hospital stays, including the inability to pay hospital bills, make rent, mortgage, or utility payments or purchase vital medical equipment. The Extended Hospital Stay Grant Program is an existing program that successfully provides financial assistance to families with children that are experiencing a hospital stay of at least 14 consecutive days due to Cystic Fibrosis or who have experienced one within the last calendar year. The commitment to providing these families with financial assistance through the Extended Hospital Stay Grant Program is contingent on need and is specifically designed to help the lower-income and underserved segment of the community; those who otherwise lack access to adequate resources and support.</w:t>
      </w:r>
    </w:p>
    <w:p w:rsidR="00A35812" w:rsidRPr="00300D12" w:rsidRDefault="00A35812" w:rsidP="00A35812">
      <w:pPr>
        <w:pStyle w:val="ListParagraph"/>
        <w:rPr>
          <w:rFonts w:ascii="HelveticaNeueLT Std" w:hAnsi="HelveticaNeueLT Std"/>
          <w:sz w:val="24"/>
          <w:szCs w:val="24"/>
        </w:rPr>
      </w:pPr>
    </w:p>
    <w:p w:rsidR="00A35812" w:rsidRDefault="00A35812" w:rsidP="00A35812">
      <w:pPr>
        <w:pStyle w:val="ListParagraph"/>
        <w:rPr>
          <w:rFonts w:ascii="HelveticaNeueLT Std" w:hAnsi="HelveticaNeueLT Std"/>
          <w:sz w:val="24"/>
          <w:szCs w:val="24"/>
        </w:rPr>
      </w:pPr>
      <w:r w:rsidRPr="00EA015B">
        <w:rPr>
          <w:rFonts w:ascii="HelveticaNeueLT Std" w:hAnsi="HelveticaNeueLT Std"/>
          <w:b/>
          <w:sz w:val="24"/>
          <w:szCs w:val="24"/>
        </w:rPr>
        <w:t xml:space="preserve">Goals and Objectives:  </w:t>
      </w:r>
      <w:r w:rsidRPr="00EA015B">
        <w:rPr>
          <w:rFonts w:ascii="HelveticaNeueLT Std" w:hAnsi="HelveticaNeueLT Std"/>
          <w:sz w:val="24"/>
          <w:szCs w:val="24"/>
        </w:rPr>
        <w:t>Claire’s Place Foundation</w:t>
      </w:r>
      <w:r w:rsidRPr="00EA015B">
        <w:rPr>
          <w:rFonts w:ascii="HelveticaNeueLT Std" w:hAnsi="HelveticaNeueLT Std"/>
          <w:b/>
          <w:sz w:val="24"/>
          <w:szCs w:val="24"/>
        </w:rPr>
        <w:t xml:space="preserve"> </w:t>
      </w:r>
      <w:r w:rsidRPr="00EA015B">
        <w:rPr>
          <w:rFonts w:ascii="HelveticaNeueLT Std" w:hAnsi="HelveticaNeueLT Std"/>
          <w:sz w:val="24"/>
          <w:szCs w:val="24"/>
        </w:rPr>
        <w:t>objectives for the 201</w:t>
      </w:r>
      <w:r>
        <w:rPr>
          <w:rFonts w:ascii="HelveticaNeueLT Std" w:hAnsi="HelveticaNeueLT Std"/>
          <w:sz w:val="24"/>
          <w:szCs w:val="24"/>
        </w:rPr>
        <w:t>8</w:t>
      </w:r>
      <w:r w:rsidRPr="00EA015B">
        <w:rPr>
          <w:rFonts w:ascii="HelveticaNeueLT Std" w:hAnsi="HelveticaNeueLT Std"/>
          <w:sz w:val="24"/>
          <w:szCs w:val="24"/>
        </w:rPr>
        <w:t xml:space="preserve"> Extended Hospital Stay Grant Program (EHSGP) year</w:t>
      </w:r>
      <w:r>
        <w:rPr>
          <w:rFonts w:ascii="HelveticaNeueLT Std" w:hAnsi="HelveticaNeueLT Std"/>
          <w:sz w:val="24"/>
          <w:szCs w:val="24"/>
        </w:rPr>
        <w:t xml:space="preserve"> included the following</w:t>
      </w:r>
      <w:r w:rsidRPr="00EA015B">
        <w:rPr>
          <w:rFonts w:ascii="HelveticaNeueLT Std" w:hAnsi="HelveticaNeueLT Std"/>
          <w:sz w:val="24"/>
          <w:szCs w:val="24"/>
        </w:rPr>
        <w:t xml:space="preserve">: </w:t>
      </w:r>
    </w:p>
    <w:p w:rsidR="00A35812" w:rsidRDefault="00A35812" w:rsidP="00A35812">
      <w:pPr>
        <w:pStyle w:val="ListParagraph"/>
        <w:rPr>
          <w:rFonts w:ascii="HelveticaNeueLT Std" w:hAnsi="HelveticaNeueLT Std"/>
          <w:sz w:val="24"/>
          <w:szCs w:val="24"/>
        </w:rPr>
      </w:pPr>
    </w:p>
    <w:p w:rsidR="00A35812" w:rsidRPr="00A13FD4" w:rsidRDefault="00A35812" w:rsidP="00A35812">
      <w:pPr>
        <w:pStyle w:val="ListParagraph"/>
        <w:numPr>
          <w:ilvl w:val="0"/>
          <w:numId w:val="2"/>
        </w:numPr>
        <w:rPr>
          <w:rFonts w:ascii="HelveticaNeueLT Std" w:hAnsi="HelveticaNeueLT Std"/>
          <w:sz w:val="24"/>
          <w:szCs w:val="24"/>
        </w:rPr>
      </w:pPr>
      <w:r w:rsidRPr="00A13FD4">
        <w:rPr>
          <w:rFonts w:ascii="HelveticaNeueLT Std" w:hAnsi="HelveticaNeueLT Std"/>
          <w:sz w:val="24"/>
          <w:szCs w:val="24"/>
        </w:rPr>
        <w:t>By the end of 201</w:t>
      </w:r>
      <w:r>
        <w:rPr>
          <w:rFonts w:ascii="HelveticaNeueLT Std" w:hAnsi="HelveticaNeueLT Std"/>
          <w:sz w:val="24"/>
          <w:szCs w:val="24"/>
        </w:rPr>
        <w:t>8</w:t>
      </w:r>
      <w:r w:rsidRPr="00A13FD4">
        <w:rPr>
          <w:rFonts w:ascii="HelveticaNeueLT Std" w:hAnsi="HelveticaNeueLT Std"/>
          <w:sz w:val="24"/>
          <w:szCs w:val="24"/>
        </w:rPr>
        <w:t xml:space="preserve">, </w:t>
      </w:r>
      <w:r>
        <w:rPr>
          <w:rFonts w:ascii="HelveticaNeueLT Std" w:hAnsi="HelveticaNeueLT Std"/>
          <w:sz w:val="24"/>
          <w:szCs w:val="24"/>
        </w:rPr>
        <w:t xml:space="preserve">48 </w:t>
      </w:r>
      <w:r w:rsidRPr="00A13FD4">
        <w:rPr>
          <w:rFonts w:ascii="HelveticaNeueLT Std" w:hAnsi="HelveticaNeueLT Std"/>
          <w:sz w:val="24"/>
          <w:szCs w:val="24"/>
        </w:rPr>
        <w:t>families will overcome financial hardship due to extended hospital stay and be fully available to attend to emotional, medical and social needs of their child.</w:t>
      </w:r>
    </w:p>
    <w:p w:rsidR="00A35812" w:rsidRPr="00A13FD4" w:rsidRDefault="00A35812" w:rsidP="00A35812">
      <w:pPr>
        <w:pStyle w:val="ListParagraph"/>
        <w:numPr>
          <w:ilvl w:val="0"/>
          <w:numId w:val="2"/>
        </w:numPr>
        <w:rPr>
          <w:rFonts w:ascii="HelveticaNeueLT Std" w:hAnsi="HelveticaNeueLT Std"/>
          <w:sz w:val="24"/>
          <w:szCs w:val="24"/>
        </w:rPr>
      </w:pPr>
      <w:r w:rsidRPr="00A13FD4">
        <w:rPr>
          <w:rFonts w:ascii="HelveticaNeueLT Std" w:hAnsi="HelveticaNeueLT Std"/>
          <w:sz w:val="24"/>
          <w:szCs w:val="24"/>
        </w:rPr>
        <w:t>By December 201</w:t>
      </w:r>
      <w:r>
        <w:rPr>
          <w:rFonts w:ascii="HelveticaNeueLT Std" w:hAnsi="HelveticaNeueLT Std"/>
          <w:sz w:val="24"/>
          <w:szCs w:val="24"/>
        </w:rPr>
        <w:t>8</w:t>
      </w:r>
      <w:r w:rsidRPr="00A13FD4">
        <w:rPr>
          <w:rFonts w:ascii="HelveticaNeueLT Std" w:hAnsi="HelveticaNeueLT Std"/>
          <w:sz w:val="24"/>
          <w:szCs w:val="24"/>
        </w:rPr>
        <w:t>, Support Family staff from the Claire’s Place Foundation will have recognized and recruited three additional support families to add to the network, and available to provide emotional and social support for other families in the CF community.</w:t>
      </w:r>
    </w:p>
    <w:p w:rsidR="00A35812" w:rsidRPr="00A13FD4" w:rsidRDefault="00A35812" w:rsidP="00A35812">
      <w:pPr>
        <w:pStyle w:val="ListParagraph"/>
        <w:numPr>
          <w:ilvl w:val="0"/>
          <w:numId w:val="2"/>
        </w:numPr>
        <w:rPr>
          <w:rFonts w:ascii="HelveticaNeueLT Std" w:hAnsi="HelveticaNeueLT Std"/>
          <w:sz w:val="24"/>
          <w:szCs w:val="24"/>
        </w:rPr>
      </w:pPr>
      <w:r w:rsidRPr="00A13FD4">
        <w:rPr>
          <w:rFonts w:ascii="HelveticaNeueLT Std" w:hAnsi="HelveticaNeueLT Std"/>
          <w:sz w:val="24"/>
          <w:szCs w:val="24"/>
        </w:rPr>
        <w:t>By the end of 201</w:t>
      </w:r>
      <w:r>
        <w:rPr>
          <w:rFonts w:ascii="HelveticaNeueLT Std" w:hAnsi="HelveticaNeueLT Std"/>
          <w:sz w:val="24"/>
          <w:szCs w:val="24"/>
        </w:rPr>
        <w:t>8</w:t>
      </w:r>
      <w:r w:rsidRPr="00A13FD4">
        <w:rPr>
          <w:rFonts w:ascii="HelveticaNeueLT Std" w:hAnsi="HelveticaNeueLT Std"/>
          <w:sz w:val="24"/>
          <w:szCs w:val="24"/>
        </w:rPr>
        <w:t xml:space="preserve">, the Extended Hospital Stay Grant Program (EHSGP) will meet the needs of families with children of CF and social workers of patients with CF by increasing program capacity </w:t>
      </w:r>
      <w:r>
        <w:rPr>
          <w:rFonts w:ascii="HelveticaNeueLT Std" w:hAnsi="HelveticaNeueLT Std"/>
          <w:sz w:val="24"/>
          <w:szCs w:val="24"/>
        </w:rPr>
        <w:t>by</w:t>
      </w:r>
      <w:r w:rsidRPr="00A13FD4">
        <w:rPr>
          <w:rFonts w:ascii="HelveticaNeueLT Std" w:hAnsi="HelveticaNeueLT Std"/>
          <w:sz w:val="24"/>
          <w:szCs w:val="24"/>
        </w:rPr>
        <w:t xml:space="preserve"> </w:t>
      </w:r>
      <w:r>
        <w:rPr>
          <w:rFonts w:ascii="HelveticaNeueLT Std" w:hAnsi="HelveticaNeueLT Std"/>
          <w:sz w:val="24"/>
          <w:szCs w:val="24"/>
        </w:rPr>
        <w:t>30</w:t>
      </w:r>
      <w:r w:rsidRPr="00A13FD4">
        <w:rPr>
          <w:rFonts w:ascii="HelveticaNeueLT Std" w:hAnsi="HelveticaNeueLT Std"/>
          <w:sz w:val="24"/>
          <w:szCs w:val="24"/>
        </w:rPr>
        <w:t>% in 201</w:t>
      </w:r>
      <w:r>
        <w:rPr>
          <w:rFonts w:ascii="HelveticaNeueLT Std" w:hAnsi="HelveticaNeueLT Std"/>
          <w:sz w:val="24"/>
          <w:szCs w:val="24"/>
        </w:rPr>
        <w:t>8</w:t>
      </w:r>
      <w:r w:rsidRPr="00A13FD4">
        <w:rPr>
          <w:rFonts w:ascii="HelveticaNeueLT Std" w:hAnsi="HelveticaNeueLT Std"/>
          <w:sz w:val="24"/>
          <w:szCs w:val="24"/>
        </w:rPr>
        <w:t>.</w:t>
      </w:r>
    </w:p>
    <w:p w:rsidR="00A35812" w:rsidRPr="00EA015B" w:rsidRDefault="00A35812" w:rsidP="00A35812">
      <w:pPr>
        <w:pStyle w:val="ListParagraph"/>
        <w:ind w:left="1080"/>
        <w:rPr>
          <w:rFonts w:ascii="HelveticaNeueLT Std" w:hAnsi="HelveticaNeueLT Std"/>
          <w:sz w:val="24"/>
          <w:szCs w:val="24"/>
        </w:rPr>
      </w:pPr>
    </w:p>
    <w:p w:rsidR="00A35812" w:rsidRDefault="00A35812" w:rsidP="00A35812">
      <w:pPr>
        <w:pStyle w:val="ListParagraph"/>
        <w:rPr>
          <w:rFonts w:ascii="HelveticaNeueLT Std" w:hAnsi="HelveticaNeueLT Std"/>
          <w:sz w:val="24"/>
          <w:szCs w:val="24"/>
        </w:rPr>
      </w:pPr>
      <w:r w:rsidRPr="00300D12">
        <w:rPr>
          <w:rFonts w:ascii="HelveticaNeueLT Std" w:hAnsi="HelveticaNeueLT Std"/>
          <w:sz w:val="24"/>
          <w:szCs w:val="24"/>
        </w:rPr>
        <w:t xml:space="preserve">Seventy-five percent of all donor contributions, grant awards, and the foundation’s annual campaign are committed to helping underserved families within the Cystic Fibrosis community. </w:t>
      </w:r>
      <w:r>
        <w:rPr>
          <w:rFonts w:ascii="HelveticaNeueLT Std" w:hAnsi="HelveticaNeueLT Std"/>
          <w:sz w:val="24"/>
          <w:szCs w:val="24"/>
        </w:rPr>
        <w:t xml:space="preserve">The Extended Hospital Stay Grant Program </w:t>
      </w:r>
      <w:r w:rsidRPr="00300D12">
        <w:rPr>
          <w:rFonts w:ascii="HelveticaNeueLT Std" w:hAnsi="HelveticaNeueLT Std"/>
          <w:sz w:val="24"/>
          <w:szCs w:val="24"/>
        </w:rPr>
        <w:t>also pro</w:t>
      </w:r>
      <w:r>
        <w:rPr>
          <w:rFonts w:ascii="HelveticaNeueLT Std" w:hAnsi="HelveticaNeueLT Std"/>
          <w:sz w:val="24"/>
          <w:szCs w:val="24"/>
        </w:rPr>
        <w:t xml:space="preserve">vides emotional support to these </w:t>
      </w:r>
      <w:r w:rsidRPr="00300D12">
        <w:rPr>
          <w:rFonts w:ascii="HelveticaNeueLT Std" w:hAnsi="HelveticaNeueLT Std"/>
          <w:sz w:val="24"/>
          <w:szCs w:val="24"/>
        </w:rPr>
        <w:t>families through intervention, on-going progress evaluations, and follow-up evaluations.</w:t>
      </w:r>
    </w:p>
    <w:p w:rsidR="00A35812" w:rsidRPr="00665DA4" w:rsidRDefault="00A35812" w:rsidP="00A35812">
      <w:pPr>
        <w:pStyle w:val="ListParagraph"/>
        <w:ind w:left="0"/>
        <w:rPr>
          <w:rFonts w:ascii="HelveticaNeueLT Std" w:hAnsi="HelveticaNeueLT Std"/>
          <w:sz w:val="24"/>
          <w:szCs w:val="24"/>
        </w:rPr>
      </w:pPr>
    </w:p>
    <w:p w:rsidR="00A35812" w:rsidRDefault="00A35812" w:rsidP="00A35812">
      <w:pPr>
        <w:pStyle w:val="ListParagraph"/>
        <w:rPr>
          <w:rFonts w:ascii="HelveticaNeueLT Std" w:hAnsi="HelveticaNeueLT Std"/>
          <w:sz w:val="24"/>
          <w:szCs w:val="24"/>
        </w:rPr>
      </w:pPr>
      <w:r>
        <w:rPr>
          <w:rFonts w:ascii="HelveticaNeueLT Std" w:hAnsi="HelveticaNeueLT Std"/>
          <w:sz w:val="24"/>
          <w:szCs w:val="24"/>
        </w:rPr>
        <w:t>Principal actions and activities:</w:t>
      </w:r>
    </w:p>
    <w:p w:rsidR="00A35812" w:rsidRDefault="00A35812" w:rsidP="00A35812">
      <w:pPr>
        <w:pStyle w:val="ListParagraph"/>
        <w:rPr>
          <w:rFonts w:ascii="HelveticaNeueLT Std" w:hAnsi="HelveticaNeueLT Std"/>
          <w:sz w:val="24"/>
          <w:szCs w:val="24"/>
        </w:rPr>
      </w:pPr>
    </w:p>
    <w:p w:rsidR="00A35812" w:rsidRDefault="00A35812" w:rsidP="00A35812">
      <w:pPr>
        <w:pStyle w:val="ListParagraph"/>
        <w:rPr>
          <w:rFonts w:ascii="HelveticaNeueLT Std" w:hAnsi="HelveticaNeueLT Std"/>
          <w:sz w:val="24"/>
          <w:szCs w:val="24"/>
        </w:rPr>
      </w:pPr>
      <w:r>
        <w:rPr>
          <w:rFonts w:ascii="HelveticaNeueLT Std" w:hAnsi="HelveticaNeueLT Std"/>
          <w:sz w:val="24"/>
          <w:szCs w:val="24"/>
        </w:rPr>
        <w:t xml:space="preserve">In 2017, Claire’s Place Foundation has provided financial assistance on behalf of 32 children whose families were experiencing financial hardship due to their child’s extended stay in the hospital. The payments were made for financial obligations such as rent, mortgage payments, utilities, medical payments, and legal fees. In addition to helping these families whose children were affected by Cystic Fibrosis, our organization has identified three more support families. </w:t>
      </w:r>
    </w:p>
    <w:p w:rsidR="00A35812" w:rsidRPr="006F2A00" w:rsidRDefault="00A35812" w:rsidP="00A35812">
      <w:pPr>
        <w:pStyle w:val="ListParagraph"/>
        <w:rPr>
          <w:rFonts w:ascii="HelveticaNeueLT Std" w:hAnsi="HelveticaNeueLT Std"/>
          <w:sz w:val="24"/>
          <w:szCs w:val="24"/>
        </w:rPr>
      </w:pPr>
    </w:p>
    <w:p w:rsidR="00A35812" w:rsidRPr="0002439F" w:rsidRDefault="00A35812" w:rsidP="00A35812">
      <w:pPr>
        <w:pStyle w:val="ListParagraph"/>
        <w:spacing w:before="100" w:after="100" w:line="240" w:lineRule="auto"/>
        <w:rPr>
          <w:rFonts w:ascii="HelveticaNeueLT Std" w:hAnsi="HelveticaNeueLT Std" w:cs="Arial"/>
          <w:color w:val="000000"/>
          <w:sz w:val="24"/>
        </w:rPr>
      </w:pPr>
      <w:r w:rsidRPr="0002439F">
        <w:rPr>
          <w:rFonts w:ascii="HelveticaNeueLT Std" w:hAnsi="HelveticaNeueLT Std" w:cs="Arial"/>
          <w:bCs/>
          <w:sz w:val="24"/>
          <w:lang w:val="en-GB"/>
        </w:rPr>
        <w:t>Project Impact Breakdown</w:t>
      </w:r>
    </w:p>
    <w:p w:rsidR="00A35812" w:rsidRDefault="00A35812" w:rsidP="00A35812">
      <w:pPr>
        <w:ind w:left="720"/>
        <w:rPr>
          <w:rFonts w:ascii="HelveticaNeueLT Std" w:eastAsia="Calibri" w:hAnsi="HelveticaNeueLT Std" w:cs="Arial"/>
          <w:bCs/>
          <w:szCs w:val="22"/>
          <w:lang w:val="en-GB"/>
        </w:rPr>
      </w:pPr>
      <w:r>
        <w:rPr>
          <w:rFonts w:ascii="HelveticaNeueLT Std" w:eastAsia="Calibri" w:hAnsi="HelveticaNeueLT Std" w:cs="Arial"/>
          <w:bCs/>
          <w:szCs w:val="22"/>
          <w:lang w:val="en-GB"/>
        </w:rPr>
        <w:t>T</w:t>
      </w:r>
      <w:r w:rsidRPr="00960ADE">
        <w:rPr>
          <w:rFonts w:ascii="HelveticaNeueLT Std" w:eastAsia="Calibri" w:hAnsi="HelveticaNeueLT Std" w:cs="Arial"/>
          <w:bCs/>
          <w:szCs w:val="22"/>
          <w:lang w:val="en-GB"/>
        </w:rPr>
        <w:t xml:space="preserve">he </w:t>
      </w:r>
      <w:r w:rsidRPr="00A35812">
        <w:rPr>
          <w:rFonts w:ascii="HelveticaNeueLT Std" w:eastAsia="Calibri" w:hAnsi="HelveticaNeueLT Std" w:cs="Arial"/>
          <w:bCs/>
          <w:szCs w:val="22"/>
          <w:lang w:val="en-GB"/>
        </w:rPr>
        <w:t>specific and measurable outcomes</w:t>
      </w:r>
      <w:r w:rsidRPr="00960ADE">
        <w:rPr>
          <w:rFonts w:ascii="HelveticaNeueLT Std" w:eastAsia="Calibri" w:hAnsi="HelveticaNeueLT Std" w:cs="Arial"/>
          <w:bCs/>
          <w:szCs w:val="22"/>
          <w:lang w:val="en-GB"/>
        </w:rPr>
        <w:t xml:space="preserve"> that have directly benefited the children </w:t>
      </w:r>
      <w:r>
        <w:rPr>
          <w:rFonts w:ascii="HelveticaNeueLT Std" w:eastAsia="Calibri" w:hAnsi="HelveticaNeueLT Std" w:cs="Arial"/>
          <w:bCs/>
          <w:szCs w:val="22"/>
          <w:lang w:val="en-GB"/>
        </w:rPr>
        <w:t xml:space="preserve">we </w:t>
      </w:r>
      <w:r w:rsidRPr="00960ADE">
        <w:rPr>
          <w:rFonts w:ascii="HelveticaNeueLT Std" w:eastAsia="Calibri" w:hAnsi="HelveticaNeueLT Std" w:cs="Arial"/>
          <w:bCs/>
          <w:szCs w:val="22"/>
          <w:lang w:val="en-GB"/>
        </w:rPr>
        <w:t>serve</w:t>
      </w:r>
      <w:r>
        <w:rPr>
          <w:rFonts w:ascii="HelveticaNeueLT Std" w:eastAsia="Calibri" w:hAnsi="HelveticaNeueLT Std" w:cs="Arial"/>
          <w:bCs/>
          <w:szCs w:val="22"/>
          <w:lang w:val="en-GB"/>
        </w:rPr>
        <w:t>:</w:t>
      </w:r>
    </w:p>
    <w:p w:rsidR="00A35812" w:rsidRDefault="00A35812" w:rsidP="00A35812">
      <w:pPr>
        <w:ind w:left="720"/>
        <w:rPr>
          <w:rFonts w:ascii="HelveticaNeueLT Std" w:eastAsia="Calibri" w:hAnsi="HelveticaNeueLT Std" w:cs="Arial"/>
          <w:bCs/>
          <w:szCs w:val="22"/>
          <w:lang w:val="en-GB"/>
        </w:rPr>
      </w:pPr>
    </w:p>
    <w:p w:rsidR="00A35812" w:rsidRDefault="00A35812" w:rsidP="00A35812">
      <w:pPr>
        <w:ind w:left="720"/>
        <w:rPr>
          <w:rFonts w:ascii="HelveticaNeueLT Std" w:hAnsi="HelveticaNeueLT Std" w:cs="Arial"/>
          <w:szCs w:val="24"/>
        </w:rPr>
      </w:pPr>
      <w:r>
        <w:rPr>
          <w:rFonts w:ascii="HelveticaNeueLT Std" w:hAnsi="HelveticaNeueLT Std" w:cs="Arial"/>
          <w:bCs/>
          <w:szCs w:val="24"/>
          <w:lang w:val="en-GB"/>
        </w:rPr>
        <w:t xml:space="preserve">In 2017, </w:t>
      </w:r>
      <w:r w:rsidRPr="00855F72">
        <w:rPr>
          <w:rFonts w:ascii="HelveticaNeueLT Std" w:hAnsi="HelveticaNeueLT Std" w:cs="Arial"/>
          <w:bCs/>
          <w:szCs w:val="24"/>
          <w:lang w:val="en-GB"/>
        </w:rPr>
        <w:t xml:space="preserve">we have assisted a total of </w:t>
      </w:r>
      <w:r>
        <w:rPr>
          <w:rFonts w:ascii="HelveticaNeueLT Std" w:hAnsi="HelveticaNeueLT Std" w:cs="Arial"/>
          <w:bCs/>
          <w:szCs w:val="24"/>
          <w:lang w:val="en-GB"/>
        </w:rPr>
        <w:t>32</w:t>
      </w:r>
      <w:r w:rsidRPr="00855F72">
        <w:rPr>
          <w:rFonts w:ascii="HelveticaNeueLT Std" w:hAnsi="HelveticaNeueLT Std" w:cs="Arial"/>
          <w:bCs/>
          <w:szCs w:val="24"/>
          <w:lang w:val="en-GB"/>
        </w:rPr>
        <w:t xml:space="preserve"> families whose children have Cystic Fibrosis. These families were accepted in the extended hospital stay program and received financial assistance in </w:t>
      </w:r>
      <w:r>
        <w:rPr>
          <w:rFonts w:ascii="HelveticaNeueLT Std" w:hAnsi="HelveticaNeueLT Std" w:cs="Arial"/>
          <w:bCs/>
          <w:szCs w:val="24"/>
          <w:lang w:val="en-GB"/>
        </w:rPr>
        <w:t xml:space="preserve">the </w:t>
      </w:r>
      <w:r w:rsidRPr="00855F72">
        <w:rPr>
          <w:rFonts w:ascii="HelveticaNeueLT Std" w:hAnsi="HelveticaNeueLT Std" w:cs="Arial"/>
          <w:bCs/>
          <w:szCs w:val="24"/>
          <w:lang w:val="en-GB"/>
        </w:rPr>
        <w:t>form of</w:t>
      </w:r>
      <w:r>
        <w:rPr>
          <w:rFonts w:ascii="HelveticaNeueLT Std" w:hAnsi="HelveticaNeueLT Std" w:cs="Arial"/>
          <w:bCs/>
          <w:szCs w:val="24"/>
          <w:lang w:val="en-GB"/>
        </w:rPr>
        <w:t xml:space="preserve"> third-party</w:t>
      </w:r>
      <w:r w:rsidRPr="00855F72">
        <w:rPr>
          <w:rFonts w:ascii="HelveticaNeueLT Std" w:hAnsi="HelveticaNeueLT Std" w:cs="Arial"/>
          <w:bCs/>
          <w:szCs w:val="24"/>
          <w:lang w:val="en-GB"/>
        </w:rPr>
        <w:t xml:space="preserve"> check payments for utility bills, hospital fees, rent and mortgage payments. </w:t>
      </w:r>
      <w:r w:rsidRPr="00855F72">
        <w:rPr>
          <w:rFonts w:ascii="HelveticaNeueLT Std" w:hAnsi="HelveticaNeueLT Std" w:cs="Arial"/>
          <w:szCs w:val="24"/>
        </w:rPr>
        <w:t>The Extended Stay Hospital Grant Program has thus been able to provide a 33% increase in program capacity from 2016.</w:t>
      </w:r>
      <w:r>
        <w:rPr>
          <w:rFonts w:ascii="HelveticaNeueLT Std" w:hAnsi="HelveticaNeueLT Std" w:cs="Arial"/>
          <w:szCs w:val="24"/>
        </w:rPr>
        <w:t xml:space="preserve"> </w:t>
      </w:r>
      <w:r w:rsidRPr="00855F72">
        <w:rPr>
          <w:rFonts w:ascii="HelveticaNeueLT Std" w:hAnsi="HelveticaNeueLT Std" w:cs="Arial"/>
          <w:szCs w:val="24"/>
        </w:rPr>
        <w:t xml:space="preserve">Of the </w:t>
      </w:r>
      <w:r>
        <w:rPr>
          <w:rFonts w:ascii="HelveticaNeueLT Std" w:hAnsi="HelveticaNeueLT Std" w:cs="Arial"/>
          <w:szCs w:val="24"/>
        </w:rPr>
        <w:t xml:space="preserve">32 </w:t>
      </w:r>
      <w:r w:rsidRPr="00855F72">
        <w:rPr>
          <w:rFonts w:ascii="HelveticaNeueLT Std" w:hAnsi="HelveticaNeueLT Std" w:cs="Arial"/>
          <w:szCs w:val="24"/>
        </w:rPr>
        <w:t xml:space="preserve">families receiving help from the program, 3 of those families have become available support families for other families in the Cystic Fibrosis community. </w:t>
      </w:r>
    </w:p>
    <w:p w:rsidR="006C227C" w:rsidRDefault="006C227C" w:rsidP="00A35812">
      <w:pPr>
        <w:ind w:left="720"/>
        <w:rPr>
          <w:rFonts w:ascii="HelveticaNeueLT Std" w:hAnsi="HelveticaNeueLT Std" w:cs="Arial"/>
          <w:szCs w:val="24"/>
        </w:rPr>
      </w:pPr>
    </w:p>
    <w:p w:rsidR="004A11EE" w:rsidRDefault="004A11EE" w:rsidP="00A35812">
      <w:pPr>
        <w:ind w:left="720"/>
        <w:rPr>
          <w:rFonts w:ascii="HelveticaNeueLT Std" w:hAnsi="HelveticaNeueLT Std" w:cs="Arial"/>
          <w:szCs w:val="24"/>
        </w:rPr>
      </w:pPr>
    </w:p>
    <w:p w:rsidR="004A11EE" w:rsidRDefault="004A11EE" w:rsidP="00A35812">
      <w:pPr>
        <w:ind w:left="720"/>
        <w:rPr>
          <w:rFonts w:ascii="HelveticaNeueLT Std" w:hAnsi="HelveticaNeueLT Std" w:cs="Arial"/>
          <w:szCs w:val="24"/>
        </w:rPr>
      </w:pPr>
    </w:p>
    <w:p w:rsidR="004A11EE" w:rsidRDefault="004A11EE" w:rsidP="00A35812">
      <w:pPr>
        <w:ind w:left="720"/>
        <w:rPr>
          <w:rFonts w:ascii="HelveticaNeueLT Std" w:hAnsi="HelveticaNeueLT Std" w:cs="Arial"/>
          <w:szCs w:val="24"/>
        </w:rPr>
      </w:pPr>
    </w:p>
    <w:p w:rsidR="004A11EE" w:rsidRDefault="004A11EE" w:rsidP="00A35812">
      <w:pPr>
        <w:ind w:left="720"/>
        <w:rPr>
          <w:rFonts w:ascii="HelveticaNeueLT Std" w:hAnsi="HelveticaNeueLT Std" w:cs="Arial"/>
          <w:szCs w:val="24"/>
        </w:rPr>
      </w:pPr>
    </w:p>
    <w:p w:rsidR="004A11EE" w:rsidRDefault="004A11EE" w:rsidP="00A35812">
      <w:pPr>
        <w:ind w:left="720"/>
        <w:rPr>
          <w:rFonts w:ascii="HelveticaNeueLT Std" w:hAnsi="HelveticaNeueLT Std" w:cs="Arial"/>
          <w:szCs w:val="24"/>
        </w:rPr>
      </w:pPr>
    </w:p>
    <w:p w:rsidR="004A11EE" w:rsidRDefault="004A11EE" w:rsidP="00A35812">
      <w:pPr>
        <w:ind w:left="720"/>
        <w:rPr>
          <w:rFonts w:ascii="HelveticaNeueLT Std" w:hAnsi="HelveticaNeueLT Std" w:cs="Arial"/>
          <w:szCs w:val="24"/>
        </w:rPr>
      </w:pPr>
    </w:p>
    <w:p w:rsidR="006C227C" w:rsidRDefault="006C227C" w:rsidP="00A35812">
      <w:pPr>
        <w:ind w:left="720"/>
        <w:rPr>
          <w:rFonts w:ascii="HelveticaNeueLT Std" w:hAnsi="HelveticaNeueLT Std" w:cs="Arial"/>
          <w:szCs w:val="24"/>
        </w:rPr>
      </w:pPr>
    </w:p>
    <w:tbl>
      <w:tblPr>
        <w:tblStyle w:val="TableGrid"/>
        <w:tblW w:w="5000" w:type="pct"/>
        <w:jc w:val="center"/>
        <w:tblLook w:val="04A0" w:firstRow="1" w:lastRow="0" w:firstColumn="1" w:lastColumn="0" w:noHBand="0" w:noVBand="1"/>
      </w:tblPr>
      <w:tblGrid>
        <w:gridCol w:w="3067"/>
        <w:gridCol w:w="1318"/>
        <w:gridCol w:w="1777"/>
        <w:gridCol w:w="1896"/>
        <w:gridCol w:w="1292"/>
      </w:tblGrid>
      <w:tr w:rsidR="006C227C" w:rsidRPr="006C227C" w:rsidTr="00AB587A">
        <w:trPr>
          <w:jc w:val="center"/>
        </w:trPr>
        <w:tc>
          <w:tcPr>
            <w:tcW w:w="5000" w:type="pct"/>
            <w:gridSpan w:val="5"/>
          </w:tcPr>
          <w:p w:rsidR="006C227C" w:rsidRPr="006C227C" w:rsidRDefault="006C227C" w:rsidP="006C227C">
            <w:pPr>
              <w:spacing w:before="100" w:after="100"/>
              <w:jc w:val="both"/>
              <w:rPr>
                <w:rFonts w:ascii="Arial" w:eastAsia="Calibri" w:hAnsi="Arial" w:cs="Arial"/>
                <w:sz w:val="22"/>
                <w:szCs w:val="22"/>
              </w:rPr>
            </w:pPr>
            <w:r w:rsidRPr="006C227C">
              <w:rPr>
                <w:rFonts w:ascii="Arial" w:eastAsia="Calibri" w:hAnsi="Arial" w:cs="Arial"/>
                <w:sz w:val="22"/>
                <w:szCs w:val="22"/>
              </w:rPr>
              <w:t>Extended Stay Hospital Grant Program Project Budget (FY2018)</w:t>
            </w:r>
          </w:p>
          <w:p w:rsidR="006C227C" w:rsidRPr="006C227C" w:rsidRDefault="006C227C" w:rsidP="00E004AF">
            <w:pPr>
              <w:spacing w:before="100" w:after="100"/>
              <w:jc w:val="both"/>
              <w:rPr>
                <w:rFonts w:ascii="Arial" w:eastAsia="Calibri" w:hAnsi="Arial" w:cs="Arial"/>
                <w:sz w:val="22"/>
                <w:szCs w:val="22"/>
              </w:rPr>
            </w:pPr>
            <w:r w:rsidRPr="006C227C">
              <w:rPr>
                <w:rFonts w:ascii="Arial" w:hAnsi="Arial" w:cs="Arial"/>
                <w:sz w:val="22"/>
                <w:szCs w:val="22"/>
              </w:rPr>
              <w:t>Name of Organization: Claire’s Place Foundation, Inc.</w:t>
            </w:r>
            <w:r w:rsidRPr="006C227C">
              <w:rPr>
                <w:rFonts w:ascii="Arial" w:eastAsia="Calibri" w:hAnsi="Arial" w:cs="Arial"/>
                <w:sz w:val="22"/>
                <w:szCs w:val="22"/>
              </w:rPr>
              <w:t xml:space="preserve"> (CP)  </w:t>
            </w:r>
          </w:p>
        </w:tc>
      </w:tr>
      <w:tr w:rsidR="006C227C" w:rsidRPr="006C227C" w:rsidTr="004A11EE">
        <w:trPr>
          <w:jc w:val="center"/>
        </w:trPr>
        <w:tc>
          <w:tcPr>
            <w:tcW w:w="1640" w:type="pct"/>
          </w:tcPr>
          <w:p w:rsidR="006C227C" w:rsidRPr="006C227C" w:rsidRDefault="006C227C" w:rsidP="006C227C">
            <w:pPr>
              <w:spacing w:before="100" w:after="100" w:line="276" w:lineRule="auto"/>
              <w:contextualSpacing/>
              <w:jc w:val="center"/>
              <w:rPr>
                <w:rFonts w:ascii="Arial" w:eastAsia="Calibri" w:hAnsi="Arial" w:cs="Arial"/>
                <w:b/>
                <w:sz w:val="22"/>
                <w:szCs w:val="22"/>
              </w:rPr>
            </w:pPr>
            <w:r w:rsidRPr="006C227C">
              <w:rPr>
                <w:rFonts w:ascii="Arial" w:eastAsia="Calibri" w:hAnsi="Arial" w:cs="Arial"/>
                <w:b/>
                <w:sz w:val="22"/>
                <w:szCs w:val="22"/>
              </w:rPr>
              <w:t>Budget</w:t>
            </w:r>
          </w:p>
          <w:p w:rsidR="006C227C" w:rsidRPr="006C227C" w:rsidRDefault="006C227C" w:rsidP="006C227C">
            <w:pPr>
              <w:spacing w:before="100" w:after="100" w:line="276" w:lineRule="auto"/>
              <w:contextualSpacing/>
              <w:jc w:val="center"/>
              <w:rPr>
                <w:rFonts w:ascii="Arial" w:eastAsia="Calibri" w:hAnsi="Arial" w:cs="Arial"/>
                <w:sz w:val="22"/>
                <w:szCs w:val="22"/>
              </w:rPr>
            </w:pPr>
            <w:r w:rsidRPr="006C227C">
              <w:rPr>
                <w:rFonts w:ascii="Arial" w:eastAsia="Calibri" w:hAnsi="Arial" w:cs="Arial"/>
                <w:b/>
                <w:sz w:val="22"/>
                <w:szCs w:val="22"/>
              </w:rPr>
              <w:t>Expense Item</w:t>
            </w:r>
          </w:p>
        </w:tc>
        <w:tc>
          <w:tcPr>
            <w:tcW w:w="705" w:type="pct"/>
          </w:tcPr>
          <w:p w:rsidR="006C227C" w:rsidRPr="006C227C" w:rsidRDefault="006C227C" w:rsidP="006C227C">
            <w:pPr>
              <w:spacing w:before="100" w:after="100" w:line="276" w:lineRule="auto"/>
              <w:contextualSpacing/>
              <w:jc w:val="center"/>
              <w:rPr>
                <w:rFonts w:ascii="Arial" w:eastAsia="Calibri" w:hAnsi="Arial" w:cs="Arial"/>
                <w:b/>
                <w:sz w:val="22"/>
                <w:szCs w:val="22"/>
              </w:rPr>
            </w:pPr>
          </w:p>
        </w:tc>
        <w:tc>
          <w:tcPr>
            <w:tcW w:w="950" w:type="pct"/>
          </w:tcPr>
          <w:p w:rsidR="006C227C" w:rsidRPr="006C227C" w:rsidRDefault="006C227C" w:rsidP="006C227C">
            <w:pPr>
              <w:spacing w:before="100" w:after="100" w:line="276" w:lineRule="auto"/>
              <w:contextualSpacing/>
              <w:jc w:val="center"/>
              <w:rPr>
                <w:rFonts w:ascii="Arial" w:eastAsia="Calibri" w:hAnsi="Arial" w:cs="Arial"/>
                <w:b/>
                <w:sz w:val="22"/>
                <w:szCs w:val="22"/>
              </w:rPr>
            </w:pPr>
          </w:p>
        </w:tc>
        <w:tc>
          <w:tcPr>
            <w:tcW w:w="1014" w:type="pct"/>
          </w:tcPr>
          <w:p w:rsidR="006C227C" w:rsidRPr="006C227C" w:rsidRDefault="006C227C" w:rsidP="006C227C">
            <w:pPr>
              <w:spacing w:before="100" w:after="100" w:line="276" w:lineRule="auto"/>
              <w:contextualSpacing/>
              <w:jc w:val="center"/>
              <w:rPr>
                <w:rFonts w:ascii="Arial" w:eastAsia="Calibri" w:hAnsi="Arial" w:cs="Arial"/>
                <w:b/>
                <w:sz w:val="22"/>
                <w:szCs w:val="22"/>
              </w:rPr>
            </w:pPr>
          </w:p>
        </w:tc>
        <w:tc>
          <w:tcPr>
            <w:tcW w:w="691" w:type="pct"/>
          </w:tcPr>
          <w:p w:rsidR="006C227C" w:rsidRPr="006C227C" w:rsidRDefault="006C227C" w:rsidP="006C227C">
            <w:pPr>
              <w:spacing w:before="100" w:after="100" w:line="276" w:lineRule="auto"/>
              <w:contextualSpacing/>
              <w:jc w:val="center"/>
              <w:rPr>
                <w:rFonts w:ascii="Arial" w:eastAsia="Calibri" w:hAnsi="Arial" w:cs="Arial"/>
                <w:b/>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Salary and Wages</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 xml:space="preserve">Executive Director, Claire’s Place Foundation </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51,000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Total Salary and Wages</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51,000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Total Fringe</w:t>
            </w:r>
            <w:r>
              <w:rPr>
                <w:rFonts w:ascii="Arial" w:eastAsia="Calibri" w:hAnsi="Arial" w:cs="Arial"/>
                <w:sz w:val="22"/>
                <w:szCs w:val="22"/>
              </w:rPr>
              <w:t xml:space="preserve"> &amp; Taxes</w:t>
            </w:r>
            <w:r w:rsidRPr="006C227C">
              <w:rPr>
                <w:rFonts w:ascii="Arial" w:eastAsia="Calibri" w:hAnsi="Arial" w:cs="Arial"/>
                <w:sz w:val="22"/>
                <w:szCs w:val="22"/>
              </w:rPr>
              <w:t xml:space="preserve"> </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4,303.60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SUBTOTAL PERSONNEL</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55,303.60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rPr>
                <w:rFonts w:ascii="Arial" w:hAnsi="Arial" w:cs="Arial"/>
                <w:b/>
                <w:sz w:val="22"/>
                <w:szCs w:val="22"/>
              </w:rPr>
            </w:pPr>
            <w:r w:rsidRPr="006C227C">
              <w:rPr>
                <w:rFonts w:ascii="Arial" w:hAnsi="Arial" w:cs="Arial"/>
                <w:b/>
                <w:sz w:val="22"/>
                <w:szCs w:val="22"/>
              </w:rPr>
              <w:t>Professional Services</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Bookkeeping/Payroll</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1,186.10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Photography</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300.00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Public Awareness Campaign</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Public Relations/Marketing</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10,997.00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Entertainment/Catering</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2,982.75</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Venue Rentals</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2,500.00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CP Foundation Disbursements</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Extended Stay Hospital Grants</w:t>
            </w:r>
          </w:p>
        </w:tc>
        <w:tc>
          <w:tcPr>
            <w:tcW w:w="705" w:type="pct"/>
          </w:tcPr>
          <w:p w:rsidR="006C227C" w:rsidRPr="006C227C" w:rsidRDefault="005F76A6"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8</w:t>
            </w:r>
            <w:r w:rsidR="00E004AF">
              <w:rPr>
                <w:rFonts w:ascii="Arial" w:eastAsia="Calibri" w:hAnsi="Arial" w:cs="Arial"/>
                <w:sz w:val="22"/>
                <w:szCs w:val="22"/>
              </w:rPr>
              <w:t>5,165.57</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E004AF" w:rsidRPr="006C227C" w:rsidTr="004A11EE">
        <w:trPr>
          <w:jc w:val="center"/>
        </w:trPr>
        <w:tc>
          <w:tcPr>
            <w:tcW w:w="1640" w:type="pct"/>
          </w:tcPr>
          <w:p w:rsidR="00E004AF" w:rsidRPr="006C227C" w:rsidRDefault="00E004AF" w:rsidP="006C227C">
            <w:pPr>
              <w:spacing w:before="100" w:after="100" w:line="276" w:lineRule="auto"/>
              <w:contextualSpacing/>
              <w:rPr>
                <w:rFonts w:ascii="Arial" w:eastAsia="Calibri" w:hAnsi="Arial" w:cs="Arial"/>
                <w:b/>
                <w:sz w:val="22"/>
                <w:szCs w:val="22"/>
              </w:rPr>
            </w:pPr>
            <w:r>
              <w:rPr>
                <w:rFonts w:ascii="Arial" w:eastAsia="Calibri" w:hAnsi="Arial" w:cs="Arial"/>
                <w:b/>
                <w:sz w:val="22"/>
                <w:szCs w:val="22"/>
              </w:rPr>
              <w:t>Merchandise</w:t>
            </w:r>
          </w:p>
        </w:tc>
        <w:tc>
          <w:tcPr>
            <w:tcW w:w="705"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c>
          <w:tcPr>
            <w:tcW w:w="950"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c>
          <w:tcPr>
            <w:tcW w:w="1014"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c>
          <w:tcPr>
            <w:tcW w:w="691"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r>
      <w:tr w:rsidR="00E004AF" w:rsidRPr="006C227C" w:rsidTr="004A11EE">
        <w:trPr>
          <w:jc w:val="center"/>
        </w:trPr>
        <w:tc>
          <w:tcPr>
            <w:tcW w:w="1640" w:type="pct"/>
          </w:tcPr>
          <w:p w:rsidR="00E004AF" w:rsidRPr="00E004AF" w:rsidRDefault="00E004AF" w:rsidP="006C227C">
            <w:pPr>
              <w:spacing w:before="100" w:after="100" w:line="276" w:lineRule="auto"/>
              <w:contextualSpacing/>
              <w:rPr>
                <w:rFonts w:ascii="Arial" w:eastAsia="Calibri" w:hAnsi="Arial" w:cs="Arial"/>
                <w:sz w:val="22"/>
                <w:szCs w:val="22"/>
              </w:rPr>
            </w:pPr>
            <w:proofErr w:type="spellStart"/>
            <w:r>
              <w:rPr>
                <w:rFonts w:ascii="Arial" w:eastAsia="Calibri" w:hAnsi="Arial" w:cs="Arial"/>
                <w:sz w:val="22"/>
                <w:szCs w:val="22"/>
              </w:rPr>
              <w:t>Tshirts</w:t>
            </w:r>
            <w:proofErr w:type="spellEnd"/>
            <w:r>
              <w:rPr>
                <w:rFonts w:ascii="Arial" w:eastAsia="Calibri" w:hAnsi="Arial" w:cs="Arial"/>
                <w:sz w:val="22"/>
                <w:szCs w:val="22"/>
              </w:rPr>
              <w:t xml:space="preserve">, </w:t>
            </w:r>
            <w:proofErr w:type="spellStart"/>
            <w:proofErr w:type="gramStart"/>
            <w:r>
              <w:rPr>
                <w:rFonts w:ascii="Arial" w:eastAsia="Calibri" w:hAnsi="Arial" w:cs="Arial"/>
                <w:sz w:val="22"/>
                <w:szCs w:val="22"/>
              </w:rPr>
              <w:t>bracelets,water</w:t>
            </w:r>
            <w:proofErr w:type="spellEnd"/>
            <w:proofErr w:type="gramEnd"/>
            <w:r>
              <w:rPr>
                <w:rFonts w:ascii="Arial" w:eastAsia="Calibri" w:hAnsi="Arial" w:cs="Arial"/>
                <w:sz w:val="22"/>
                <w:szCs w:val="22"/>
              </w:rPr>
              <w:t xml:space="preserve"> bottles</w:t>
            </w:r>
          </w:p>
        </w:tc>
        <w:tc>
          <w:tcPr>
            <w:tcW w:w="705" w:type="pct"/>
          </w:tcPr>
          <w:p w:rsidR="00E004AF"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5,158.50</w:t>
            </w:r>
          </w:p>
        </w:tc>
        <w:tc>
          <w:tcPr>
            <w:tcW w:w="950"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c>
          <w:tcPr>
            <w:tcW w:w="1014"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c>
          <w:tcPr>
            <w:tcW w:w="691" w:type="pct"/>
          </w:tcPr>
          <w:p w:rsidR="00E004AF" w:rsidRPr="006C227C" w:rsidRDefault="00E004AF"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Phone and Website</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Telephone Services</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3,802.44</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Website Hosting and Maintenance</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600.00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Program Training &amp; Forums</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Printing and Copying</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400.44</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Postage and Mailing</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477.59</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lastRenderedPageBreak/>
              <w:t>Miscellaneous</w:t>
            </w:r>
          </w:p>
        </w:tc>
        <w:tc>
          <w:tcPr>
            <w:tcW w:w="705"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Travel and Conferences</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1,500.00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SUBTOTAL NON-PERSONNEL</w:t>
            </w:r>
          </w:p>
        </w:tc>
        <w:tc>
          <w:tcPr>
            <w:tcW w:w="705" w:type="pct"/>
          </w:tcPr>
          <w:p w:rsidR="006C227C" w:rsidRPr="006C227C" w:rsidRDefault="00E004AF" w:rsidP="006C227C">
            <w:pPr>
              <w:spacing w:before="100" w:after="100" w:line="276" w:lineRule="auto"/>
              <w:contextualSpacing/>
              <w:jc w:val="center"/>
              <w:rPr>
                <w:rFonts w:ascii="Arial" w:eastAsia="Calibri" w:hAnsi="Arial" w:cs="Arial"/>
                <w:sz w:val="22"/>
                <w:szCs w:val="22"/>
              </w:rPr>
            </w:pPr>
            <w:r>
              <w:rPr>
                <w:rFonts w:ascii="Arial" w:eastAsia="Calibri" w:hAnsi="Arial" w:cs="Arial"/>
                <w:sz w:val="22"/>
                <w:szCs w:val="22"/>
              </w:rPr>
              <w:t>1</w:t>
            </w:r>
            <w:r w:rsidR="005F76A6">
              <w:rPr>
                <w:rFonts w:ascii="Arial" w:eastAsia="Calibri" w:hAnsi="Arial" w:cs="Arial"/>
                <w:sz w:val="22"/>
                <w:szCs w:val="22"/>
              </w:rPr>
              <w:t>1</w:t>
            </w:r>
            <w:r>
              <w:rPr>
                <w:rFonts w:ascii="Arial" w:eastAsia="Calibri" w:hAnsi="Arial" w:cs="Arial"/>
                <w:sz w:val="22"/>
                <w:szCs w:val="22"/>
              </w:rPr>
              <w:t>5,070.39</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Indirect Costs (3%)</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3,152.11</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sz w:val="22"/>
                <w:szCs w:val="22"/>
              </w:rPr>
            </w:pPr>
            <w:r w:rsidRPr="006C227C">
              <w:rPr>
                <w:rFonts w:ascii="Arial" w:eastAsia="Calibri" w:hAnsi="Arial" w:cs="Arial"/>
                <w:sz w:val="22"/>
                <w:szCs w:val="22"/>
              </w:rPr>
              <w:t>(Insurance, other operations)</w:t>
            </w:r>
          </w:p>
        </w:tc>
        <w:tc>
          <w:tcPr>
            <w:tcW w:w="705" w:type="pct"/>
          </w:tcPr>
          <w:p w:rsidR="006C227C" w:rsidRPr="006C227C" w:rsidRDefault="00E004AF" w:rsidP="006C227C">
            <w:pPr>
              <w:spacing w:before="100" w:after="100" w:line="276" w:lineRule="auto"/>
              <w:contextualSpacing/>
              <w:jc w:val="center"/>
              <w:rPr>
                <w:rFonts w:ascii="Arial" w:eastAsia="Calibri" w:hAnsi="Arial" w:cs="Arial"/>
                <w:sz w:val="22"/>
                <w:szCs w:val="22"/>
              </w:rPr>
            </w:pPr>
            <w:r>
              <w:rPr>
                <w:rFonts w:ascii="Arial" w:eastAsia="Calibri" w:hAnsi="Arial" w:cs="Arial"/>
                <w:sz w:val="22"/>
                <w:szCs w:val="22"/>
              </w:rPr>
              <w:t>1,730.00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SUBTOTAL INDIRECT</w:t>
            </w:r>
          </w:p>
        </w:tc>
        <w:tc>
          <w:tcPr>
            <w:tcW w:w="705" w:type="pct"/>
          </w:tcPr>
          <w:p w:rsidR="006C227C" w:rsidRPr="006C227C" w:rsidRDefault="00E004AF" w:rsidP="006C227C">
            <w:pPr>
              <w:spacing w:before="100" w:after="100" w:line="276" w:lineRule="auto"/>
              <w:contextualSpacing/>
              <w:jc w:val="right"/>
              <w:rPr>
                <w:rFonts w:ascii="Arial" w:eastAsia="Calibri" w:hAnsi="Arial" w:cs="Arial"/>
                <w:sz w:val="22"/>
                <w:szCs w:val="22"/>
              </w:rPr>
            </w:pPr>
            <w:r>
              <w:rPr>
                <w:rFonts w:ascii="Arial" w:eastAsia="Calibri" w:hAnsi="Arial" w:cs="Arial"/>
                <w:sz w:val="22"/>
                <w:szCs w:val="22"/>
              </w:rPr>
              <w:t>1</w:t>
            </w:r>
            <w:r w:rsidR="005F76A6">
              <w:rPr>
                <w:rFonts w:ascii="Arial" w:eastAsia="Calibri" w:hAnsi="Arial" w:cs="Arial"/>
                <w:sz w:val="22"/>
                <w:szCs w:val="22"/>
              </w:rPr>
              <w:t>1</w:t>
            </w:r>
            <w:r>
              <w:rPr>
                <w:rFonts w:ascii="Arial" w:eastAsia="Calibri" w:hAnsi="Arial" w:cs="Arial"/>
                <w:sz w:val="22"/>
                <w:szCs w:val="22"/>
              </w:rPr>
              <w:t>9,952.50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r w:rsidR="006C227C" w:rsidRPr="006C227C" w:rsidTr="004A11EE">
        <w:trPr>
          <w:jc w:val="center"/>
        </w:trPr>
        <w:tc>
          <w:tcPr>
            <w:tcW w:w="1640" w:type="pct"/>
          </w:tcPr>
          <w:p w:rsidR="006C227C" w:rsidRPr="006C227C" w:rsidRDefault="006C227C" w:rsidP="006C227C">
            <w:pPr>
              <w:spacing w:before="100" w:after="100" w:line="276" w:lineRule="auto"/>
              <w:contextualSpacing/>
              <w:rPr>
                <w:rFonts w:ascii="Arial" w:eastAsia="Calibri" w:hAnsi="Arial" w:cs="Arial"/>
                <w:b/>
                <w:sz w:val="22"/>
                <w:szCs w:val="22"/>
              </w:rPr>
            </w:pPr>
            <w:r w:rsidRPr="006C227C">
              <w:rPr>
                <w:rFonts w:ascii="Arial" w:eastAsia="Calibri" w:hAnsi="Arial" w:cs="Arial"/>
                <w:b/>
                <w:sz w:val="22"/>
                <w:szCs w:val="22"/>
              </w:rPr>
              <w:t>TOTAL BUDGET</w:t>
            </w:r>
          </w:p>
        </w:tc>
        <w:tc>
          <w:tcPr>
            <w:tcW w:w="705" w:type="pct"/>
          </w:tcPr>
          <w:p w:rsidR="006C227C" w:rsidRPr="006C227C" w:rsidRDefault="00E004AF" w:rsidP="006C227C">
            <w:pPr>
              <w:spacing w:before="100" w:after="100" w:line="276" w:lineRule="auto"/>
              <w:contextualSpacing/>
              <w:jc w:val="center"/>
              <w:rPr>
                <w:rFonts w:ascii="Arial" w:eastAsia="Calibri" w:hAnsi="Arial" w:cs="Arial"/>
                <w:sz w:val="22"/>
                <w:szCs w:val="22"/>
              </w:rPr>
            </w:pPr>
            <w:r>
              <w:rPr>
                <w:rFonts w:ascii="Arial" w:eastAsia="Calibri" w:hAnsi="Arial" w:cs="Arial"/>
                <w:sz w:val="22"/>
                <w:szCs w:val="22"/>
              </w:rPr>
              <w:t>1</w:t>
            </w:r>
            <w:r w:rsidR="005F76A6">
              <w:rPr>
                <w:rFonts w:ascii="Arial" w:eastAsia="Calibri" w:hAnsi="Arial" w:cs="Arial"/>
                <w:sz w:val="22"/>
                <w:szCs w:val="22"/>
              </w:rPr>
              <w:t>7</w:t>
            </w:r>
            <w:r>
              <w:rPr>
                <w:rFonts w:ascii="Arial" w:eastAsia="Calibri" w:hAnsi="Arial" w:cs="Arial"/>
                <w:sz w:val="22"/>
                <w:szCs w:val="22"/>
              </w:rPr>
              <w:t>5,256.10</w:t>
            </w:r>
          </w:p>
        </w:tc>
        <w:tc>
          <w:tcPr>
            <w:tcW w:w="950"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1014"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c>
          <w:tcPr>
            <w:tcW w:w="691" w:type="pct"/>
          </w:tcPr>
          <w:p w:rsidR="006C227C" w:rsidRPr="006C227C" w:rsidRDefault="006C227C" w:rsidP="006C227C">
            <w:pPr>
              <w:spacing w:before="100" w:after="100" w:line="276" w:lineRule="auto"/>
              <w:contextualSpacing/>
              <w:jc w:val="right"/>
              <w:rPr>
                <w:rFonts w:ascii="Arial" w:eastAsia="Calibri" w:hAnsi="Arial" w:cs="Arial"/>
                <w:sz w:val="22"/>
                <w:szCs w:val="22"/>
              </w:rPr>
            </w:pPr>
          </w:p>
        </w:tc>
      </w:tr>
    </w:tbl>
    <w:p w:rsidR="00A35812" w:rsidRDefault="00A35812" w:rsidP="00A35812">
      <w:pPr>
        <w:ind w:left="720"/>
        <w:rPr>
          <w:rFonts w:ascii="HelveticaNeueLT Std" w:hAnsi="HelveticaNeueLT Std" w:cs="Arial"/>
          <w:szCs w:val="24"/>
        </w:rPr>
      </w:pPr>
    </w:p>
    <w:p w:rsidR="00A35812" w:rsidRDefault="00A35812" w:rsidP="00A35812">
      <w:pPr>
        <w:ind w:left="720"/>
        <w:rPr>
          <w:rFonts w:ascii="HelveticaNeueLT Std" w:hAnsi="HelveticaNeueLT Std" w:cs="Arial"/>
          <w:szCs w:val="24"/>
        </w:rPr>
      </w:pPr>
    </w:p>
    <w:p w:rsidR="005F76A6" w:rsidRPr="008C2315" w:rsidRDefault="005F76A6" w:rsidP="005F76A6">
      <w:pPr>
        <w:pStyle w:val="ListParagraph"/>
        <w:spacing w:before="100" w:after="100" w:line="240" w:lineRule="auto"/>
        <w:rPr>
          <w:rFonts w:ascii="Arial" w:hAnsi="Arial" w:cs="Arial"/>
          <w:b/>
        </w:rPr>
      </w:pPr>
      <w:r w:rsidRPr="008C2315">
        <w:rPr>
          <w:rFonts w:ascii="Arial" w:hAnsi="Arial" w:cs="Arial"/>
          <w:b/>
          <w:bCs/>
          <w:u w:val="single"/>
          <w:lang w:val="en-GB"/>
        </w:rPr>
        <w:t>Project Impact Breakdown</w:t>
      </w:r>
    </w:p>
    <w:p w:rsidR="005F76A6" w:rsidRDefault="005F76A6" w:rsidP="005F76A6">
      <w:pPr>
        <w:ind w:left="720"/>
        <w:rPr>
          <w:rFonts w:ascii="Arial" w:eastAsia="Calibri" w:hAnsi="Arial" w:cs="Arial"/>
          <w:bCs/>
          <w:sz w:val="22"/>
          <w:szCs w:val="22"/>
          <w:lang w:val="en-GB"/>
        </w:rPr>
      </w:pPr>
    </w:p>
    <w:p w:rsidR="005F76A6" w:rsidRPr="00EA3E21" w:rsidRDefault="005F76A6" w:rsidP="005F76A6">
      <w:pPr>
        <w:ind w:left="720"/>
        <w:rPr>
          <w:rFonts w:ascii="HelveticaNeueLT Std" w:hAnsi="HelveticaNeueLT Std" w:cs="Arial"/>
          <w:bCs/>
          <w:szCs w:val="24"/>
          <w:lang w:val="en-GB"/>
        </w:rPr>
      </w:pPr>
      <w:r w:rsidRPr="00EA3E21">
        <w:rPr>
          <w:rFonts w:ascii="HelveticaNeueLT Std" w:hAnsi="HelveticaNeueLT Std" w:cs="Arial"/>
          <w:bCs/>
          <w:szCs w:val="24"/>
          <w:lang w:val="en-GB"/>
        </w:rPr>
        <w:t>The Extended Stay Hospital Grant Program will increase program capacity by an additional 3</w:t>
      </w:r>
      <w:r>
        <w:rPr>
          <w:rFonts w:ascii="HelveticaNeueLT Std" w:hAnsi="HelveticaNeueLT Std" w:cs="Arial"/>
          <w:bCs/>
          <w:szCs w:val="24"/>
          <w:lang w:val="en-GB"/>
        </w:rPr>
        <w:t>0</w:t>
      </w:r>
      <w:r w:rsidRPr="00EA3E21">
        <w:rPr>
          <w:rFonts w:ascii="HelveticaNeueLT Std" w:hAnsi="HelveticaNeueLT Std" w:cs="Arial"/>
          <w:bCs/>
          <w:szCs w:val="24"/>
          <w:lang w:val="en-GB"/>
        </w:rPr>
        <w:t xml:space="preserve">% </w:t>
      </w:r>
      <w:r>
        <w:rPr>
          <w:rFonts w:ascii="HelveticaNeueLT Std" w:hAnsi="HelveticaNeueLT Std" w:cs="Arial"/>
          <w:bCs/>
          <w:szCs w:val="24"/>
          <w:lang w:val="en-GB"/>
        </w:rPr>
        <w:t>in 2018, a 200% increase from 2016</w:t>
      </w:r>
      <w:r w:rsidRPr="00EA3E21">
        <w:rPr>
          <w:rFonts w:ascii="HelveticaNeueLT Std" w:hAnsi="HelveticaNeueLT Std" w:cs="Arial"/>
          <w:bCs/>
          <w:szCs w:val="24"/>
          <w:lang w:val="en-GB"/>
        </w:rPr>
        <w:t xml:space="preserve">. The </w:t>
      </w:r>
      <w:r>
        <w:rPr>
          <w:rFonts w:ascii="HelveticaNeueLT Std" w:hAnsi="HelveticaNeueLT Std" w:cs="Arial"/>
          <w:bCs/>
          <w:szCs w:val="24"/>
          <w:lang w:val="en-GB"/>
        </w:rPr>
        <w:t>program will directly benefit 64</w:t>
      </w:r>
      <w:r w:rsidRPr="00EA3E21">
        <w:rPr>
          <w:rFonts w:ascii="HelveticaNeueLT Std" w:hAnsi="HelveticaNeueLT Std" w:cs="Arial"/>
          <w:bCs/>
          <w:szCs w:val="24"/>
          <w:lang w:val="en-GB"/>
        </w:rPr>
        <w:t xml:space="preserve"> children between 2017 and 2018 (based on an average grant disbursement of $1,500). The program will indirectly benefit the immediate family and friends of children experiencing extended hospital stays dues to Cystic Fibrosis and will also indirectly benefit the Cystic Fibrosis community at large by increasing awareness and encouraging hope. </w:t>
      </w:r>
    </w:p>
    <w:p w:rsidR="00A35812" w:rsidRDefault="00A35812" w:rsidP="00A35812">
      <w:pPr>
        <w:ind w:left="720"/>
        <w:rPr>
          <w:rFonts w:ascii="HelveticaNeueLT Std" w:eastAsia="Calibri" w:hAnsi="HelveticaNeueLT Std" w:cs="Arial"/>
          <w:bCs/>
          <w:szCs w:val="22"/>
          <w:lang w:val="en-GB"/>
        </w:rPr>
      </w:pPr>
    </w:p>
    <w:p w:rsidR="00A35812" w:rsidRDefault="00A35812" w:rsidP="00A35812">
      <w:pPr>
        <w:ind w:left="720"/>
        <w:rPr>
          <w:rFonts w:ascii="HelveticaNeueLT Std" w:eastAsia="Calibri" w:hAnsi="HelveticaNeueLT Std" w:cs="Arial"/>
          <w:bCs/>
          <w:szCs w:val="22"/>
          <w:lang w:val="en-GB"/>
        </w:rPr>
      </w:pPr>
    </w:p>
    <w:p w:rsidR="00A35812" w:rsidRPr="00855F72" w:rsidRDefault="00A35812" w:rsidP="00A35812">
      <w:pPr>
        <w:ind w:left="720"/>
        <w:rPr>
          <w:rFonts w:ascii="HelveticaNeueLT Std" w:eastAsia="Calibri" w:hAnsi="HelveticaNeueLT Std" w:cs="Arial"/>
          <w:bCs/>
          <w:szCs w:val="22"/>
          <w:lang w:val="en-GB"/>
        </w:rPr>
      </w:pPr>
    </w:p>
    <w:p w:rsidR="00C925BF" w:rsidRDefault="00C925BF"/>
    <w:sectPr w:rsidR="00C925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75" w:rsidRDefault="00D76375" w:rsidP="004A11EE">
      <w:r>
        <w:separator/>
      </w:r>
    </w:p>
  </w:endnote>
  <w:endnote w:type="continuationSeparator" w:id="0">
    <w:p w:rsidR="00D76375" w:rsidRDefault="00D76375" w:rsidP="004A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75" w:rsidRDefault="00D76375" w:rsidP="004A11EE">
      <w:r>
        <w:separator/>
      </w:r>
    </w:p>
  </w:footnote>
  <w:footnote w:type="continuationSeparator" w:id="0">
    <w:p w:rsidR="00D76375" w:rsidRDefault="00D76375" w:rsidP="004A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1EE" w:rsidRPr="004A11EE" w:rsidRDefault="004A11EE" w:rsidP="004A11EE">
    <w:pPr>
      <w:pStyle w:val="Header"/>
    </w:pPr>
    <w:r>
      <w:rPr>
        <w:noProof/>
      </w:rPr>
      <w:drawing>
        <wp:inline distT="0" distB="0" distL="0" distR="0">
          <wp:extent cx="191452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re_logo_2color.jpg"/>
                  <pic:cNvPicPr/>
                </pic:nvPicPr>
                <pic:blipFill>
                  <a:blip r:embed="rId1">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E0E13"/>
    <w:multiLevelType w:val="hybridMultilevel"/>
    <w:tmpl w:val="4ECC6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B556B"/>
    <w:multiLevelType w:val="hybridMultilevel"/>
    <w:tmpl w:val="5798C6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12"/>
    <w:rsid w:val="004A11EE"/>
    <w:rsid w:val="005F76A6"/>
    <w:rsid w:val="006C227C"/>
    <w:rsid w:val="009F661C"/>
    <w:rsid w:val="00A35812"/>
    <w:rsid w:val="00C925BF"/>
    <w:rsid w:val="00D76375"/>
    <w:rsid w:val="00E0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34919"/>
  <w15:chartTrackingRefBased/>
  <w15:docId w15:val="{3D124936-DF37-4F06-A683-72154D52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81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1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unhideWhenUsed/>
    <w:rsid w:val="00A3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1EE"/>
    <w:pPr>
      <w:tabs>
        <w:tab w:val="center" w:pos="4680"/>
        <w:tab w:val="right" w:pos="9360"/>
      </w:tabs>
    </w:pPr>
  </w:style>
  <w:style w:type="character" w:customStyle="1" w:styleId="HeaderChar">
    <w:name w:val="Header Char"/>
    <w:basedOn w:val="DefaultParagraphFont"/>
    <w:link w:val="Header"/>
    <w:uiPriority w:val="99"/>
    <w:rsid w:val="004A11EE"/>
    <w:rPr>
      <w:rFonts w:ascii="Times" w:eastAsia="Times" w:hAnsi="Times" w:cs="Times New Roman"/>
      <w:sz w:val="24"/>
      <w:szCs w:val="20"/>
    </w:rPr>
  </w:style>
  <w:style w:type="paragraph" w:styleId="Footer">
    <w:name w:val="footer"/>
    <w:basedOn w:val="Normal"/>
    <w:link w:val="FooterChar"/>
    <w:uiPriority w:val="99"/>
    <w:unhideWhenUsed/>
    <w:rsid w:val="004A11EE"/>
    <w:pPr>
      <w:tabs>
        <w:tab w:val="center" w:pos="4680"/>
        <w:tab w:val="right" w:pos="9360"/>
      </w:tabs>
    </w:pPr>
  </w:style>
  <w:style w:type="character" w:customStyle="1" w:styleId="FooterChar">
    <w:name w:val="Footer Char"/>
    <w:basedOn w:val="DefaultParagraphFont"/>
    <w:link w:val="Footer"/>
    <w:uiPriority w:val="99"/>
    <w:rsid w:val="004A11EE"/>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Nordquist</dc:creator>
  <cp:keywords/>
  <dc:description/>
  <cp:lastModifiedBy>Melissa Nordquist</cp:lastModifiedBy>
  <cp:revision>2</cp:revision>
  <dcterms:created xsi:type="dcterms:W3CDTF">2017-11-28T00:45:00Z</dcterms:created>
  <dcterms:modified xsi:type="dcterms:W3CDTF">2017-11-28T01:25:00Z</dcterms:modified>
</cp:coreProperties>
</file>