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32A" w:rsidRPr="002F1BA2" w:rsidRDefault="00C721C9" w:rsidP="002F1BA2">
      <w:pPr>
        <w:bidi w:val="0"/>
        <w:spacing w:after="0" w:line="360" w:lineRule="auto"/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</w:pPr>
      <w:r w:rsidRPr="002F1BA2">
        <w:rPr>
          <w:rFonts w:asciiTheme="majorBidi" w:hAnsiTheme="majorBidi" w:cstheme="majorBidi"/>
          <w:sz w:val="24"/>
          <w:szCs w:val="24"/>
        </w:rPr>
        <w:t xml:space="preserve">The Center for Food Allergy at the </w:t>
      </w:r>
      <w:proofErr w:type="spellStart"/>
      <w:r w:rsidRPr="002F1BA2">
        <w:rPr>
          <w:rFonts w:asciiTheme="majorBidi" w:hAnsiTheme="majorBidi" w:cstheme="majorBidi"/>
          <w:sz w:val="24"/>
          <w:szCs w:val="24"/>
        </w:rPr>
        <w:t>Assaf</w:t>
      </w:r>
      <w:proofErr w:type="spellEnd"/>
      <w:r w:rsidRPr="002F1B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F1BA2">
        <w:rPr>
          <w:rFonts w:asciiTheme="majorBidi" w:hAnsiTheme="majorBidi" w:cstheme="majorBidi"/>
          <w:sz w:val="24"/>
          <w:szCs w:val="24"/>
        </w:rPr>
        <w:t>HaRofeh</w:t>
      </w:r>
      <w:proofErr w:type="spellEnd"/>
      <w:r w:rsidRPr="002F1BA2">
        <w:rPr>
          <w:rFonts w:asciiTheme="majorBidi" w:hAnsiTheme="majorBidi" w:cstheme="majorBidi"/>
          <w:sz w:val="24"/>
          <w:szCs w:val="24"/>
        </w:rPr>
        <w:t xml:space="preserve"> Medical Center is home to one of the world's largest oral immunotherapy (OIT) programs</w:t>
      </w:r>
      <w:r w:rsidR="00B7598A" w:rsidRPr="002F1BA2">
        <w:rPr>
          <w:rFonts w:asciiTheme="majorBidi" w:hAnsiTheme="majorBidi" w:cstheme="majorBidi"/>
          <w:sz w:val="24"/>
          <w:szCs w:val="24"/>
        </w:rPr>
        <w:t xml:space="preserve">, with </w:t>
      </w:r>
      <w:r w:rsidR="00B1747B" w:rsidRPr="002F1BA2">
        <w:rPr>
          <w:rFonts w:asciiTheme="majorBidi" w:hAnsiTheme="majorBidi" w:cstheme="majorBidi"/>
          <w:sz w:val="24"/>
          <w:szCs w:val="24"/>
        </w:rPr>
        <w:t>a staff of six full-time physicians, two nurses, and three dieticians</w:t>
      </w:r>
      <w:r w:rsidR="00B25A1D" w:rsidRPr="002F1BA2">
        <w:rPr>
          <w:rFonts w:asciiTheme="majorBidi" w:hAnsiTheme="majorBidi" w:cstheme="majorBidi"/>
          <w:sz w:val="24"/>
          <w:szCs w:val="24"/>
        </w:rPr>
        <w:t xml:space="preserve">. </w:t>
      </w:r>
      <w:r w:rsidR="00B1747B" w:rsidRPr="002F1BA2">
        <w:rPr>
          <w:rFonts w:asciiTheme="majorBidi" w:hAnsiTheme="majorBidi" w:cstheme="majorBidi"/>
          <w:sz w:val="24"/>
          <w:szCs w:val="24"/>
        </w:rPr>
        <w:t xml:space="preserve">OIT </w:t>
      </w:r>
      <w:r w:rsidR="00B7598A" w:rsidRPr="002F1BA2">
        <w:rPr>
          <w:rFonts w:asciiTheme="majorBidi" w:hAnsiTheme="majorBidi" w:cstheme="majorBidi"/>
          <w:sz w:val="24"/>
          <w:szCs w:val="24"/>
        </w:rPr>
        <w:t>is currently offered to patients suffering from milk, peanut, egg, or sesame allergies</w:t>
      </w:r>
      <w:r w:rsidR="0063032A" w:rsidRPr="002F1BA2">
        <w:rPr>
          <w:rFonts w:asciiTheme="majorBidi" w:hAnsiTheme="majorBidi" w:cstheme="majorBidi"/>
          <w:sz w:val="24"/>
          <w:szCs w:val="24"/>
        </w:rPr>
        <w:t>, with the hope of expanding treatment programs to other foods, such as tree nuts</w:t>
      </w:r>
      <w:r w:rsidR="00B7598A" w:rsidRPr="002F1BA2">
        <w:rPr>
          <w:rFonts w:asciiTheme="majorBidi" w:hAnsiTheme="majorBidi" w:cstheme="majorBidi"/>
          <w:sz w:val="24"/>
          <w:szCs w:val="24"/>
        </w:rPr>
        <w:t xml:space="preserve">. </w:t>
      </w:r>
      <w:r w:rsidR="00B25A1D" w:rsidRPr="002F1BA2">
        <w:rPr>
          <w:rFonts w:asciiTheme="majorBidi" w:hAnsiTheme="majorBidi" w:cstheme="majorBidi"/>
          <w:sz w:val="24"/>
          <w:szCs w:val="24"/>
        </w:rPr>
        <w:t xml:space="preserve">To date, there have been more than 850 patients </w:t>
      </w:r>
      <w:r w:rsidR="00B7598A" w:rsidRPr="002F1BA2">
        <w:rPr>
          <w:rFonts w:asciiTheme="majorBidi" w:hAnsiTheme="majorBidi" w:cstheme="majorBidi"/>
          <w:sz w:val="24"/>
          <w:szCs w:val="24"/>
        </w:rPr>
        <w:t>who have enrolled in the program. Of the 700 patients who have completed their treatment, greater than 65% achieved full or partial food desensiti</w:t>
      </w:r>
      <w:r w:rsidR="00B1747B" w:rsidRPr="002F1BA2">
        <w:rPr>
          <w:rFonts w:asciiTheme="majorBidi" w:hAnsiTheme="majorBidi" w:cstheme="majorBidi"/>
          <w:sz w:val="24"/>
          <w:szCs w:val="24"/>
        </w:rPr>
        <w:t xml:space="preserve">zation. </w:t>
      </w:r>
      <w:r w:rsidR="00B1747B" w:rsidRPr="002F1BA2">
        <w:rPr>
          <w:rFonts w:asciiTheme="majorBidi" w:hAnsiTheme="majorBidi" w:cstheme="majorBidi"/>
          <w:sz w:val="24"/>
          <w:szCs w:val="24"/>
          <w:shd w:val="clear" w:color="auto" w:fill="FFFFFF"/>
        </w:rPr>
        <w:t>The implications of desensitization range from the elimination of life-threatening reactions, to the increase in dietary options for patients. P</w:t>
      </w:r>
      <w:r w:rsidR="001A7AFA" w:rsidRPr="002F1BA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atients and their families are thus </w:t>
      </w:r>
      <w:r w:rsidR="00B1747B" w:rsidRPr="002F1BA2">
        <w:rPr>
          <w:rFonts w:asciiTheme="majorBidi" w:hAnsiTheme="majorBidi" w:cstheme="majorBidi"/>
          <w:sz w:val="24"/>
          <w:szCs w:val="24"/>
          <w:shd w:val="clear" w:color="auto" w:fill="FFFFFF"/>
        </w:rPr>
        <w:t>able to attain a lifestyle, free from the burdens associated with food allergy.</w:t>
      </w:r>
      <w:r w:rsidR="00B1747B" w:rsidRPr="002F1BA2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="0063032A" w:rsidRPr="002F1BA2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:rsidR="002F1BA2" w:rsidRDefault="002F1BA2" w:rsidP="002F1BA2">
      <w:pPr>
        <w:bidi w:val="0"/>
        <w:spacing w:after="0" w:line="360" w:lineRule="auto"/>
      </w:pPr>
    </w:p>
    <w:p w:rsidR="00DE3A65" w:rsidRPr="002F1BA2" w:rsidRDefault="00710C4D" w:rsidP="002F1BA2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2F1BA2">
        <w:rPr>
          <w:rFonts w:asciiTheme="majorBidi" w:hAnsiTheme="majorBidi" w:cstheme="majorBidi"/>
          <w:sz w:val="24"/>
          <w:szCs w:val="24"/>
        </w:rPr>
        <w:t>In parallel</w:t>
      </w:r>
      <w:r w:rsidR="001A7AFA" w:rsidRPr="002F1BA2">
        <w:rPr>
          <w:rFonts w:asciiTheme="majorBidi" w:hAnsiTheme="majorBidi" w:cstheme="majorBidi"/>
          <w:sz w:val="24"/>
          <w:szCs w:val="24"/>
        </w:rPr>
        <w:t xml:space="preserve"> with patient treatment, the program</w:t>
      </w:r>
      <w:r w:rsidRPr="002F1BA2">
        <w:rPr>
          <w:rFonts w:asciiTheme="majorBidi" w:hAnsiTheme="majorBidi" w:cstheme="majorBidi"/>
          <w:sz w:val="24"/>
          <w:szCs w:val="24"/>
        </w:rPr>
        <w:t xml:space="preserve">'s research component has aimed </w:t>
      </w:r>
      <w:r w:rsidR="001A7AFA" w:rsidRPr="002F1BA2">
        <w:rPr>
          <w:rFonts w:asciiTheme="majorBidi" w:hAnsiTheme="majorBidi" w:cstheme="majorBidi"/>
          <w:sz w:val="24"/>
          <w:szCs w:val="24"/>
        </w:rPr>
        <w:t xml:space="preserve">to develop </w:t>
      </w:r>
      <w:r w:rsidRPr="002F1BA2">
        <w:rPr>
          <w:rFonts w:asciiTheme="majorBidi" w:hAnsiTheme="majorBidi" w:cstheme="majorBidi"/>
          <w:sz w:val="24"/>
          <w:szCs w:val="24"/>
        </w:rPr>
        <w:t xml:space="preserve">and improve methodologies such as the </w:t>
      </w:r>
      <w:proofErr w:type="spellStart"/>
      <w:r w:rsidRPr="002F1BA2">
        <w:rPr>
          <w:rFonts w:asciiTheme="majorBidi" w:hAnsiTheme="majorBidi" w:cstheme="majorBidi"/>
          <w:sz w:val="24"/>
          <w:szCs w:val="24"/>
        </w:rPr>
        <w:t>basophil</w:t>
      </w:r>
      <w:proofErr w:type="spellEnd"/>
      <w:r w:rsidRPr="002F1BA2">
        <w:rPr>
          <w:rFonts w:asciiTheme="majorBidi" w:hAnsiTheme="majorBidi" w:cstheme="majorBidi"/>
          <w:sz w:val="24"/>
          <w:szCs w:val="24"/>
        </w:rPr>
        <w:t xml:space="preserve"> activation test (BAT) for accurate diagnosis of food allergy, and for monitoring of patient progress through OIT.</w:t>
      </w:r>
      <w:r w:rsidR="0040730A" w:rsidRPr="002F1BA2">
        <w:rPr>
          <w:rFonts w:asciiTheme="majorBidi" w:hAnsiTheme="majorBidi" w:cstheme="majorBidi"/>
          <w:sz w:val="24"/>
          <w:szCs w:val="24"/>
        </w:rPr>
        <w:t xml:space="preserve"> </w:t>
      </w:r>
      <w:hyperlink r:id="rId4" w:history="1">
        <w:r w:rsidR="0040730A" w:rsidRPr="002F1BA2">
          <w:rPr>
            <w:rStyle w:val="Hyperlink"/>
            <w:rFonts w:asciiTheme="majorBidi" w:hAnsiTheme="majorBidi" w:cstheme="majorBidi"/>
            <w:sz w:val="24"/>
            <w:szCs w:val="24"/>
          </w:rPr>
          <w:t>A recent article published by researchers at the Center</w:t>
        </w:r>
      </w:hyperlink>
      <w:proofErr w:type="gramStart"/>
      <w:r w:rsidR="0063032A" w:rsidRPr="002F1BA2"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2F1BA2">
        <w:rPr>
          <w:rFonts w:asciiTheme="majorBidi" w:hAnsiTheme="majorBidi" w:cstheme="majorBidi"/>
          <w:sz w:val="24"/>
          <w:szCs w:val="24"/>
        </w:rPr>
        <w:t xml:space="preserve"> </w:t>
      </w:r>
      <w:r w:rsidR="005C6528" w:rsidRPr="002F1BA2">
        <w:rPr>
          <w:rFonts w:asciiTheme="majorBidi" w:hAnsiTheme="majorBidi" w:cstheme="majorBidi"/>
          <w:sz w:val="24"/>
          <w:szCs w:val="24"/>
        </w:rPr>
        <w:t>highlighted</w:t>
      </w:r>
      <w:r w:rsidR="0063032A" w:rsidRPr="002F1BA2">
        <w:rPr>
          <w:rFonts w:asciiTheme="majorBidi" w:hAnsiTheme="majorBidi" w:cstheme="majorBidi"/>
          <w:sz w:val="24"/>
          <w:szCs w:val="24"/>
        </w:rPr>
        <w:t xml:space="preserve"> the potential of using BAT as a prognostic marker for success in OIT.</w:t>
      </w:r>
    </w:p>
    <w:p w:rsidR="002F1BA2" w:rsidRDefault="002F1BA2" w:rsidP="002F1BA2">
      <w:pPr>
        <w:bidi w:val="0"/>
        <w:spacing w:after="0" w:line="360" w:lineRule="auto"/>
        <w:rPr>
          <w:rFonts w:cs="Helvetica"/>
          <w:shd w:val="clear" w:color="auto" w:fill="FFFFFF"/>
        </w:rPr>
      </w:pPr>
    </w:p>
    <w:p w:rsidR="00C1121D" w:rsidRPr="002F1BA2" w:rsidRDefault="0063032A" w:rsidP="002F1BA2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2F1BA2">
        <w:rPr>
          <w:rFonts w:asciiTheme="majorBidi" w:hAnsiTheme="majorBidi" w:cstheme="majorBidi"/>
          <w:sz w:val="24"/>
          <w:szCs w:val="24"/>
          <w:shd w:val="clear" w:color="auto" w:fill="FFFFFF"/>
        </w:rPr>
        <w:t>While the direct costs of treatment for OIT are largely defrayed by patient payments</w:t>
      </w:r>
      <w:r w:rsidR="0040730A" w:rsidRPr="002F1BA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other ancillary services that aim to improve the patient experience in OIT (such as the </w:t>
      </w:r>
      <w:r w:rsidR="002F1BA2" w:rsidRPr="002F1BA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medical clowns </w:t>
      </w:r>
      <w:r w:rsidR="002F1BA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or </w:t>
      </w:r>
      <w:r w:rsidR="0040730A" w:rsidRPr="002F1BA2">
        <w:rPr>
          <w:rFonts w:asciiTheme="majorBidi" w:hAnsiTheme="majorBidi" w:cstheme="majorBidi"/>
          <w:sz w:val="24"/>
          <w:szCs w:val="24"/>
          <w:shd w:val="clear" w:color="auto" w:fill="FFFFFF"/>
        </w:rPr>
        <w:t>online repo</w:t>
      </w:r>
      <w:r w:rsidR="002F1BA2">
        <w:rPr>
          <w:rFonts w:asciiTheme="majorBidi" w:hAnsiTheme="majorBidi" w:cstheme="majorBidi"/>
          <w:sz w:val="24"/>
          <w:szCs w:val="24"/>
          <w:shd w:val="clear" w:color="auto" w:fill="FFFFFF"/>
        </w:rPr>
        <w:t>rting system</w:t>
      </w:r>
      <w:r w:rsidR="0040730A" w:rsidRPr="002F1BA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) are not </w:t>
      </w:r>
      <w:r w:rsidR="002F1BA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completely </w:t>
      </w:r>
      <w:r w:rsidR="0040730A" w:rsidRPr="002F1BA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covered. The anticipated expansion of the OIT program to other foods will also require increased funding, for the </w:t>
      </w:r>
      <w:r w:rsidR="005C6528" w:rsidRPr="002F1BA2">
        <w:rPr>
          <w:rFonts w:asciiTheme="majorBidi" w:hAnsiTheme="majorBidi" w:cstheme="majorBidi"/>
          <w:sz w:val="24"/>
          <w:szCs w:val="24"/>
          <w:shd w:val="clear" w:color="auto" w:fill="FFFFFF"/>
        </w:rPr>
        <w:t>determination of optimal treatment protocols. Finally, funding is sought for further research into the development of improved and streamlined methodologies for patient diagnosis and monitoring.</w:t>
      </w:r>
    </w:p>
    <w:p w:rsidR="002F1BA2" w:rsidRDefault="002F1BA2">
      <w:pPr>
        <w:bidi w:val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</w:p>
    <w:p w:rsidR="008C19C9" w:rsidRDefault="008C19C9" w:rsidP="005C6528">
      <w:pPr>
        <w:bidi w:val="0"/>
        <w:jc w:val="center"/>
        <w:rPr>
          <w:b/>
          <w:bCs/>
          <w:sz w:val="32"/>
          <w:szCs w:val="32"/>
          <w:u w:val="single"/>
        </w:rPr>
      </w:pPr>
      <w:r w:rsidRPr="008C19C9">
        <w:rPr>
          <w:b/>
          <w:bCs/>
          <w:sz w:val="32"/>
          <w:szCs w:val="32"/>
          <w:u w:val="single"/>
        </w:rPr>
        <w:lastRenderedPageBreak/>
        <w:t>Anticipated Budget Itemization</w:t>
      </w:r>
    </w:p>
    <w:p w:rsidR="00C73D46" w:rsidRDefault="00C73D46" w:rsidP="00C73D46">
      <w:pPr>
        <w:bidi w:val="0"/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/>
      </w:tblPr>
      <w:tblGrid>
        <w:gridCol w:w="5778"/>
        <w:gridCol w:w="2744"/>
      </w:tblGrid>
      <w:tr w:rsidR="00C73D46" w:rsidTr="00C73D46">
        <w:tc>
          <w:tcPr>
            <w:tcW w:w="5778" w:type="dxa"/>
          </w:tcPr>
          <w:p w:rsidR="00C73D46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 EXPENSES</w:t>
            </w:r>
          </w:p>
        </w:tc>
        <w:tc>
          <w:tcPr>
            <w:tcW w:w="2744" w:type="dxa"/>
          </w:tcPr>
          <w:p w:rsidR="00C73D46" w:rsidRPr="002F1BA2" w:rsidRDefault="00C73D46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1BA2" w:rsidTr="00C73D46">
        <w:tc>
          <w:tcPr>
            <w:tcW w:w="5778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sz w:val="24"/>
                <w:szCs w:val="24"/>
              </w:rPr>
              <w:t>Partial salary support for researcher</w:t>
            </w:r>
          </w:p>
        </w:tc>
        <w:tc>
          <w:tcPr>
            <w:tcW w:w="2744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sz w:val="24"/>
                <w:szCs w:val="24"/>
              </w:rPr>
              <w:t>$18,700</w:t>
            </w:r>
          </w:p>
        </w:tc>
      </w:tr>
      <w:tr w:rsidR="002F1BA2" w:rsidTr="00C73D46">
        <w:tc>
          <w:tcPr>
            <w:tcW w:w="5778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sz w:val="24"/>
                <w:szCs w:val="24"/>
              </w:rPr>
              <w:t>Reagents, equipment, service for BAT</w:t>
            </w:r>
          </w:p>
        </w:tc>
        <w:tc>
          <w:tcPr>
            <w:tcW w:w="2744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sz w:val="24"/>
                <w:szCs w:val="24"/>
              </w:rPr>
              <w:t>$5,600</w:t>
            </w:r>
          </w:p>
        </w:tc>
      </w:tr>
      <w:tr w:rsidR="002F1BA2" w:rsidTr="00C73D46">
        <w:tc>
          <w:tcPr>
            <w:tcW w:w="5778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sz w:val="24"/>
                <w:szCs w:val="24"/>
              </w:rPr>
              <w:t>Instrument for serum testing</w:t>
            </w:r>
          </w:p>
        </w:tc>
        <w:tc>
          <w:tcPr>
            <w:tcW w:w="2744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sz w:val="24"/>
                <w:szCs w:val="24"/>
              </w:rPr>
              <w:t>$2,500</w:t>
            </w:r>
          </w:p>
        </w:tc>
      </w:tr>
      <w:tr w:rsidR="002F1BA2" w:rsidTr="00C73D46">
        <w:tc>
          <w:tcPr>
            <w:tcW w:w="5778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sz w:val="24"/>
                <w:szCs w:val="24"/>
              </w:rPr>
              <w:t>Expendable laboratory supplies</w:t>
            </w:r>
          </w:p>
        </w:tc>
        <w:tc>
          <w:tcPr>
            <w:tcW w:w="2744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sz w:val="24"/>
                <w:szCs w:val="24"/>
              </w:rPr>
              <w:t>$1,300</w:t>
            </w:r>
          </w:p>
        </w:tc>
      </w:tr>
      <w:tr w:rsidR="002F1BA2" w:rsidTr="00C73D46">
        <w:tc>
          <w:tcPr>
            <w:tcW w:w="5778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sz w:val="24"/>
                <w:szCs w:val="24"/>
              </w:rPr>
              <w:t>Small laboratory equipment</w:t>
            </w:r>
          </w:p>
        </w:tc>
        <w:tc>
          <w:tcPr>
            <w:tcW w:w="2744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sz w:val="24"/>
                <w:szCs w:val="24"/>
              </w:rPr>
              <w:t>$1,200</w:t>
            </w:r>
          </w:p>
        </w:tc>
      </w:tr>
      <w:tr w:rsidR="002F1BA2" w:rsidTr="00C73D46">
        <w:tc>
          <w:tcPr>
            <w:tcW w:w="5778" w:type="dxa"/>
          </w:tcPr>
          <w:p w:rsidR="002F1BA2" w:rsidRPr="002F1BA2" w:rsidRDefault="002F1BA2" w:rsidP="002F1BA2">
            <w:pPr>
              <w:tabs>
                <w:tab w:val="left" w:pos="1178"/>
                <w:tab w:val="center" w:pos="2781"/>
              </w:tabs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research expenses</w:t>
            </w:r>
          </w:p>
        </w:tc>
        <w:tc>
          <w:tcPr>
            <w:tcW w:w="2744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$29,300</w:t>
            </w:r>
          </w:p>
        </w:tc>
      </w:tr>
      <w:tr w:rsidR="002F1BA2" w:rsidTr="00C73D46">
        <w:tc>
          <w:tcPr>
            <w:tcW w:w="5778" w:type="dxa"/>
          </w:tcPr>
          <w:p w:rsidR="002F1BA2" w:rsidRPr="002F1BA2" w:rsidRDefault="002F1BA2" w:rsidP="002F1BA2">
            <w:pPr>
              <w:tabs>
                <w:tab w:val="left" w:pos="1178"/>
                <w:tab w:val="center" w:pos="2781"/>
              </w:tabs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44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1BA2" w:rsidTr="00C73D46">
        <w:tc>
          <w:tcPr>
            <w:tcW w:w="5778" w:type="dxa"/>
          </w:tcPr>
          <w:p w:rsidR="002F1BA2" w:rsidRPr="002F1BA2" w:rsidRDefault="002F1BA2" w:rsidP="002F1BA2">
            <w:pPr>
              <w:tabs>
                <w:tab w:val="left" w:pos="1178"/>
                <w:tab w:val="center" w:pos="2781"/>
              </w:tabs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CLINICAL EXPENSES</w:t>
            </w:r>
          </w:p>
        </w:tc>
        <w:tc>
          <w:tcPr>
            <w:tcW w:w="2744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1BA2" w:rsidTr="00C73D46">
        <w:tc>
          <w:tcPr>
            <w:tcW w:w="5778" w:type="dxa"/>
          </w:tcPr>
          <w:p w:rsidR="002F1BA2" w:rsidRPr="002F1BA2" w:rsidRDefault="002F1BA2" w:rsidP="002F1BA2">
            <w:pPr>
              <w:tabs>
                <w:tab w:val="left" w:pos="1178"/>
                <w:tab w:val="center" w:pos="2781"/>
              </w:tabs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2F1BA2">
              <w:rPr>
                <w:rFonts w:asciiTheme="majorBidi" w:hAnsiTheme="majorBidi" w:cstheme="majorBidi"/>
                <w:sz w:val="24"/>
                <w:szCs w:val="24"/>
              </w:rPr>
              <w:tab/>
              <w:t>Oral food challenge support</w:t>
            </w:r>
          </w:p>
        </w:tc>
        <w:tc>
          <w:tcPr>
            <w:tcW w:w="2744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sz w:val="24"/>
                <w:szCs w:val="24"/>
              </w:rPr>
              <w:t>$5,000</w:t>
            </w:r>
          </w:p>
        </w:tc>
      </w:tr>
      <w:tr w:rsidR="002F1BA2" w:rsidTr="00C73D46">
        <w:tc>
          <w:tcPr>
            <w:tcW w:w="5778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sz w:val="24"/>
                <w:szCs w:val="24"/>
              </w:rPr>
              <w:t>Maintenance of online reaction reporting system</w:t>
            </w:r>
          </w:p>
        </w:tc>
        <w:tc>
          <w:tcPr>
            <w:tcW w:w="2744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sz w:val="24"/>
                <w:szCs w:val="24"/>
              </w:rPr>
              <w:t>$4,000</w:t>
            </w:r>
          </w:p>
        </w:tc>
      </w:tr>
      <w:tr w:rsidR="002F1BA2" w:rsidTr="00C73D46">
        <w:tc>
          <w:tcPr>
            <w:tcW w:w="5778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sz w:val="24"/>
                <w:szCs w:val="24"/>
              </w:rPr>
              <w:t>Patient support during visits (</w:t>
            </w:r>
            <w:proofErr w:type="spellStart"/>
            <w:r w:rsidRPr="002F1BA2">
              <w:rPr>
                <w:rFonts w:asciiTheme="majorBidi" w:hAnsiTheme="majorBidi" w:cstheme="majorBidi"/>
                <w:sz w:val="24"/>
                <w:szCs w:val="24"/>
              </w:rPr>
              <w:t>eg</w:t>
            </w:r>
            <w:proofErr w:type="spellEnd"/>
            <w:r w:rsidRPr="002F1BA2">
              <w:rPr>
                <w:rFonts w:asciiTheme="majorBidi" w:hAnsiTheme="majorBidi" w:cstheme="majorBidi"/>
                <w:sz w:val="24"/>
                <w:szCs w:val="24"/>
              </w:rPr>
              <w:t xml:space="preserve"> clown therapy)</w:t>
            </w:r>
          </w:p>
        </w:tc>
        <w:tc>
          <w:tcPr>
            <w:tcW w:w="2744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sz w:val="24"/>
                <w:szCs w:val="24"/>
              </w:rPr>
              <w:t>$3,000</w:t>
            </w:r>
          </w:p>
        </w:tc>
      </w:tr>
      <w:tr w:rsidR="002F1BA2" w:rsidTr="00C73D46">
        <w:tc>
          <w:tcPr>
            <w:tcW w:w="5778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clinical expenses</w:t>
            </w:r>
          </w:p>
        </w:tc>
        <w:tc>
          <w:tcPr>
            <w:tcW w:w="2744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$12,000</w:t>
            </w:r>
          </w:p>
        </w:tc>
      </w:tr>
      <w:tr w:rsidR="002F1BA2" w:rsidTr="00C73D46">
        <w:tc>
          <w:tcPr>
            <w:tcW w:w="5778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44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1BA2" w:rsidTr="00C73D46">
        <w:tc>
          <w:tcPr>
            <w:tcW w:w="5778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sz w:val="24"/>
                <w:szCs w:val="24"/>
              </w:rPr>
              <w:t>Institutional overhead</w:t>
            </w:r>
          </w:p>
        </w:tc>
        <w:tc>
          <w:tcPr>
            <w:tcW w:w="2744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sz w:val="24"/>
                <w:szCs w:val="24"/>
              </w:rPr>
              <w:t>$6,700</w:t>
            </w:r>
          </w:p>
        </w:tc>
      </w:tr>
      <w:tr w:rsidR="002F1BA2" w:rsidTr="00C73D46">
        <w:trPr>
          <w:trHeight w:val="760"/>
        </w:trPr>
        <w:tc>
          <w:tcPr>
            <w:tcW w:w="5778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Project Total</w:t>
            </w:r>
          </w:p>
        </w:tc>
        <w:tc>
          <w:tcPr>
            <w:tcW w:w="2744" w:type="dxa"/>
          </w:tcPr>
          <w:p w:rsidR="002F1BA2" w:rsidRPr="002F1BA2" w:rsidRDefault="002F1BA2" w:rsidP="002F1BA2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1B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$48,000</w:t>
            </w:r>
          </w:p>
        </w:tc>
      </w:tr>
    </w:tbl>
    <w:p w:rsidR="008C19C9" w:rsidRPr="008C19C9" w:rsidRDefault="008C19C9" w:rsidP="005C6528">
      <w:pPr>
        <w:bidi w:val="0"/>
        <w:rPr>
          <w:sz w:val="24"/>
          <w:szCs w:val="24"/>
        </w:rPr>
      </w:pPr>
    </w:p>
    <w:sectPr w:rsidR="008C19C9" w:rsidRPr="008C19C9" w:rsidSect="00F5198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C19C9"/>
    <w:rsid w:val="00190CB7"/>
    <w:rsid w:val="001A7AFA"/>
    <w:rsid w:val="002F1BA2"/>
    <w:rsid w:val="0040730A"/>
    <w:rsid w:val="005C6528"/>
    <w:rsid w:val="0063032A"/>
    <w:rsid w:val="00710C4D"/>
    <w:rsid w:val="007F48D0"/>
    <w:rsid w:val="0084109E"/>
    <w:rsid w:val="008C19C9"/>
    <w:rsid w:val="00AF2F2D"/>
    <w:rsid w:val="00B1747B"/>
    <w:rsid w:val="00B25A1D"/>
    <w:rsid w:val="00B717DA"/>
    <w:rsid w:val="00B7598A"/>
    <w:rsid w:val="00C1121D"/>
    <w:rsid w:val="00C721C9"/>
    <w:rsid w:val="00C73D46"/>
    <w:rsid w:val="00DE3A65"/>
    <w:rsid w:val="00F5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A6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1747B"/>
  </w:style>
  <w:style w:type="character" w:styleId="Hyperlink">
    <w:name w:val="Hyperlink"/>
    <w:basedOn w:val="DefaultParagraphFont"/>
    <w:uiPriority w:val="99"/>
    <w:unhideWhenUsed/>
    <w:rsid w:val="006303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iencedirect.com/science/article/pii/S0091674915007940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אסף הרופא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אימונולוגיה 3</dc:creator>
  <cp:keywords/>
  <dc:description/>
  <cp:lastModifiedBy>ולדימיר פרוכטמן</cp:lastModifiedBy>
  <cp:revision>2</cp:revision>
  <dcterms:created xsi:type="dcterms:W3CDTF">2016-01-11T10:36:00Z</dcterms:created>
  <dcterms:modified xsi:type="dcterms:W3CDTF">2016-01-11T10:36:00Z</dcterms:modified>
</cp:coreProperties>
</file>