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72" w:rsidRPr="00D941A5" w:rsidRDefault="00D44072" w:rsidP="00D44072">
      <w:pPr>
        <w:spacing w:after="0" w:line="240" w:lineRule="auto"/>
        <w:jc w:val="center"/>
        <w:rPr>
          <w:rFonts w:cs="Calibri"/>
          <w:sz w:val="24"/>
          <w:szCs w:val="24"/>
        </w:rPr>
      </w:pPr>
      <w:bookmarkStart w:id="0" w:name="_GoBack"/>
      <w:bookmarkEnd w:id="0"/>
      <w:r w:rsidRPr="00CA1283">
        <w:rPr>
          <w:rFonts w:cs="Calibri"/>
          <w:sz w:val="24"/>
          <w:szCs w:val="24"/>
        </w:rPr>
        <w:t xml:space="preserve">Tatua Kenya </w:t>
      </w:r>
      <w:r>
        <w:rPr>
          <w:rFonts w:cs="Calibri"/>
          <w:sz w:val="24"/>
          <w:szCs w:val="24"/>
        </w:rPr>
        <w:t>Fellow</w:t>
      </w:r>
      <w:r w:rsidRPr="00CA1283">
        <w:rPr>
          <w:rFonts w:cs="Calibri"/>
          <w:sz w:val="24"/>
          <w:szCs w:val="24"/>
        </w:rPr>
        <w:t>ship</w:t>
      </w:r>
    </w:p>
    <w:p w:rsidR="00D44072" w:rsidRPr="00717783" w:rsidRDefault="00D44072" w:rsidP="00D44072">
      <w:pPr>
        <w:spacing w:after="0" w:line="240" w:lineRule="auto"/>
        <w:jc w:val="both"/>
        <w:rPr>
          <w:rFonts w:cs="Calibri"/>
          <w:i/>
          <w:sz w:val="24"/>
          <w:szCs w:val="24"/>
          <w:u w:val="single"/>
        </w:rPr>
      </w:pPr>
    </w:p>
    <w:p w:rsidR="00D44072" w:rsidRPr="00D941A5" w:rsidRDefault="00D44072" w:rsidP="00D44072">
      <w:pPr>
        <w:spacing w:after="0" w:line="240" w:lineRule="auto"/>
        <w:jc w:val="center"/>
        <w:rPr>
          <w:rFonts w:cs="Calibri"/>
          <w:i/>
          <w:sz w:val="20"/>
          <w:szCs w:val="20"/>
        </w:rPr>
      </w:pPr>
      <w:r w:rsidRPr="00D941A5">
        <w:rPr>
          <w:rFonts w:cs="Calibri"/>
          <w:i/>
          <w:sz w:val="20"/>
          <w:szCs w:val="20"/>
        </w:rPr>
        <w:t>The Tatua Kenya Fellow</w:t>
      </w:r>
      <w:r>
        <w:rPr>
          <w:rFonts w:cs="Calibri"/>
          <w:i/>
          <w:sz w:val="20"/>
          <w:szCs w:val="20"/>
        </w:rPr>
        <w:t>ship is a 6 - month</w:t>
      </w:r>
      <w:r w:rsidRPr="00D941A5">
        <w:rPr>
          <w:rFonts w:cs="Calibri"/>
          <w:i/>
          <w:sz w:val="20"/>
          <w:szCs w:val="20"/>
        </w:rPr>
        <w:t xml:space="preserve"> program that trains local leaders to build and maintain Community Run Initiatives that address poverty through the skills of community organizing.</w:t>
      </w:r>
    </w:p>
    <w:p w:rsidR="00D44072" w:rsidRDefault="00D44072" w:rsidP="00D44072">
      <w:pPr>
        <w:spacing w:after="0" w:line="240" w:lineRule="auto"/>
        <w:jc w:val="both"/>
        <w:rPr>
          <w:rFonts w:cs="Calibri"/>
          <w:sz w:val="20"/>
          <w:szCs w:val="20"/>
        </w:rPr>
      </w:pPr>
    </w:p>
    <w:p w:rsidR="00D44072" w:rsidRDefault="00D44072" w:rsidP="00D44072">
      <w:pPr>
        <w:spacing w:after="0" w:line="240" w:lineRule="auto"/>
        <w:jc w:val="both"/>
        <w:rPr>
          <w:rFonts w:cs="Calibri"/>
          <w:sz w:val="20"/>
          <w:szCs w:val="20"/>
        </w:rPr>
      </w:pPr>
      <w:r>
        <w:rPr>
          <w:rFonts w:cs="Calibri"/>
          <w:sz w:val="20"/>
          <w:szCs w:val="20"/>
        </w:rPr>
        <w:t>For years, donors</w:t>
      </w:r>
      <w:r w:rsidRPr="0078707C">
        <w:rPr>
          <w:rFonts w:cs="Calibri"/>
          <w:sz w:val="20"/>
          <w:szCs w:val="20"/>
        </w:rPr>
        <w:t xml:space="preserve"> out of a desire to serve the </w:t>
      </w:r>
      <w:r>
        <w:rPr>
          <w:rFonts w:cs="Calibri"/>
          <w:sz w:val="20"/>
          <w:szCs w:val="20"/>
        </w:rPr>
        <w:t xml:space="preserve">“poor” have entered “struggling” communities with solutions to what </w:t>
      </w:r>
      <w:r w:rsidRPr="00D503C6">
        <w:rPr>
          <w:rFonts w:cs="Calibri"/>
          <w:i/>
          <w:sz w:val="20"/>
          <w:szCs w:val="20"/>
        </w:rPr>
        <w:t>they</w:t>
      </w:r>
      <w:r>
        <w:rPr>
          <w:rFonts w:cs="Calibri"/>
          <w:sz w:val="20"/>
          <w:szCs w:val="20"/>
        </w:rPr>
        <w:t xml:space="preserve"> see as the community’s challenges. Donors become frustrated when the community displays a lack of </w:t>
      </w:r>
      <w:r w:rsidRPr="0078707C">
        <w:rPr>
          <w:rFonts w:cs="Calibri"/>
          <w:sz w:val="20"/>
          <w:szCs w:val="20"/>
        </w:rPr>
        <w:t xml:space="preserve">support </w:t>
      </w:r>
      <w:r>
        <w:rPr>
          <w:rFonts w:cs="Calibri"/>
          <w:sz w:val="20"/>
          <w:szCs w:val="20"/>
        </w:rPr>
        <w:t>or involvement, unaware that it was their very actions that led to the community being</w:t>
      </w:r>
      <w:r w:rsidRPr="0078707C">
        <w:rPr>
          <w:rFonts w:cs="Calibri"/>
          <w:sz w:val="20"/>
          <w:szCs w:val="20"/>
        </w:rPr>
        <w:t xml:space="preserve"> dependent on </w:t>
      </w:r>
      <w:r>
        <w:rPr>
          <w:rFonts w:cs="Calibri"/>
          <w:sz w:val="20"/>
          <w:szCs w:val="20"/>
        </w:rPr>
        <w:t>donors</w:t>
      </w:r>
      <w:r w:rsidRPr="0078707C">
        <w:rPr>
          <w:rFonts w:cs="Calibri"/>
          <w:sz w:val="20"/>
          <w:szCs w:val="20"/>
        </w:rPr>
        <w:t xml:space="preserve"> for their wellbeing</w:t>
      </w:r>
      <w:r>
        <w:rPr>
          <w:rFonts w:cs="Calibri"/>
          <w:sz w:val="20"/>
          <w:szCs w:val="20"/>
        </w:rPr>
        <w:t>. Community members are tired of being directed by outsiders but are often afraid to say anything for fear of losing “support.” While some</w:t>
      </w:r>
      <w:r w:rsidRPr="00E52D63">
        <w:rPr>
          <w:rFonts w:cs="Calibri"/>
          <w:sz w:val="20"/>
          <w:szCs w:val="20"/>
        </w:rPr>
        <w:t xml:space="preserve"> initiatives have resolved to develop sustainable solutions </w:t>
      </w:r>
      <w:r>
        <w:rPr>
          <w:rFonts w:cs="Calibri"/>
          <w:sz w:val="20"/>
          <w:szCs w:val="20"/>
        </w:rPr>
        <w:t>to</w:t>
      </w:r>
      <w:r w:rsidRPr="00E52D63">
        <w:rPr>
          <w:rFonts w:cs="Calibri"/>
          <w:sz w:val="20"/>
          <w:szCs w:val="20"/>
        </w:rPr>
        <w:t xml:space="preserve"> reducing poverty levels</w:t>
      </w:r>
      <w:r>
        <w:rPr>
          <w:rFonts w:cs="Calibri"/>
          <w:sz w:val="20"/>
          <w:szCs w:val="20"/>
        </w:rPr>
        <w:t xml:space="preserve"> in the community through micro-loans</w:t>
      </w:r>
      <w:r w:rsidRPr="00E52D63">
        <w:rPr>
          <w:rFonts w:cs="Calibri"/>
          <w:sz w:val="20"/>
          <w:szCs w:val="20"/>
        </w:rPr>
        <w:t xml:space="preserve"> and social entrepreneurship programs</w:t>
      </w:r>
      <w:r>
        <w:rPr>
          <w:rFonts w:cs="Calibri"/>
          <w:sz w:val="20"/>
          <w:szCs w:val="20"/>
        </w:rPr>
        <w:t xml:space="preserve"> the success of these programs rarely extends past an individual. If we want to see long-term solutions to poverty we must stop offering “fixes” from the outside and instead employ the resources of the local community to develop local leadership, local capacity and local structures that can achieve real </w:t>
      </w:r>
      <w:r w:rsidR="0048798F">
        <w:rPr>
          <w:rFonts w:cs="Calibri"/>
          <w:sz w:val="20"/>
          <w:szCs w:val="20"/>
        </w:rPr>
        <w:t>“</w:t>
      </w:r>
      <w:r>
        <w:rPr>
          <w:rFonts w:cs="Calibri"/>
          <w:sz w:val="20"/>
          <w:szCs w:val="20"/>
        </w:rPr>
        <w:t>power shift</w:t>
      </w:r>
      <w:r w:rsidR="0048798F">
        <w:rPr>
          <w:rFonts w:cs="Calibri"/>
          <w:sz w:val="20"/>
          <w:szCs w:val="20"/>
        </w:rPr>
        <w:t>”</w:t>
      </w:r>
      <w:r>
        <w:rPr>
          <w:rFonts w:cs="Calibri"/>
          <w:sz w:val="20"/>
          <w:szCs w:val="20"/>
        </w:rPr>
        <w:t xml:space="preserve"> change.  </w:t>
      </w:r>
    </w:p>
    <w:p w:rsidR="00D44072" w:rsidRDefault="00D44072" w:rsidP="00D44072">
      <w:pPr>
        <w:spacing w:after="0" w:line="240" w:lineRule="auto"/>
        <w:jc w:val="both"/>
        <w:rPr>
          <w:rFonts w:cs="Calibri"/>
          <w:sz w:val="20"/>
          <w:szCs w:val="20"/>
        </w:rPr>
      </w:pPr>
    </w:p>
    <w:p w:rsidR="00D44072" w:rsidRDefault="00D44072" w:rsidP="00D44072">
      <w:pPr>
        <w:spacing w:after="0" w:line="240" w:lineRule="auto"/>
        <w:jc w:val="both"/>
        <w:rPr>
          <w:rFonts w:cs="Calibri"/>
          <w:sz w:val="20"/>
          <w:szCs w:val="20"/>
        </w:rPr>
      </w:pPr>
      <w:r w:rsidRPr="0078707C">
        <w:rPr>
          <w:rFonts w:cs="Calibri"/>
          <w:sz w:val="20"/>
          <w:szCs w:val="20"/>
        </w:rPr>
        <w:t xml:space="preserve">Tatua sees this challenge as an opportunity to encourage local leadership development and </w:t>
      </w:r>
      <w:r>
        <w:rPr>
          <w:rFonts w:cs="Calibri"/>
          <w:sz w:val="20"/>
          <w:szCs w:val="20"/>
        </w:rPr>
        <w:t xml:space="preserve">uplift the value of </w:t>
      </w:r>
      <w:r w:rsidRPr="0078707C">
        <w:rPr>
          <w:rFonts w:cs="Calibri"/>
          <w:sz w:val="20"/>
          <w:szCs w:val="20"/>
        </w:rPr>
        <w:t>community engagement in sust</w:t>
      </w:r>
      <w:r>
        <w:rPr>
          <w:rFonts w:cs="Calibri"/>
          <w:sz w:val="20"/>
          <w:szCs w:val="20"/>
        </w:rPr>
        <w:t>aining community development.  Tatua has developed a 6 monthFellow</w:t>
      </w:r>
      <w:r w:rsidRPr="0078707C">
        <w:rPr>
          <w:rFonts w:cs="Calibri"/>
          <w:sz w:val="20"/>
          <w:szCs w:val="20"/>
        </w:rPr>
        <w:t xml:space="preserve">ship that teaches </w:t>
      </w:r>
      <w:r>
        <w:rPr>
          <w:rFonts w:cs="Calibri"/>
          <w:sz w:val="20"/>
          <w:szCs w:val="20"/>
        </w:rPr>
        <w:t xml:space="preserve">howleadership, as practiced through community organizing, can revolutionize the way we approach development work. </w:t>
      </w:r>
      <w:r w:rsidRPr="0078707C">
        <w:rPr>
          <w:rFonts w:cs="Calibri"/>
          <w:sz w:val="20"/>
          <w:szCs w:val="20"/>
        </w:rPr>
        <w:t xml:space="preserve">The </w:t>
      </w:r>
      <w:r>
        <w:rPr>
          <w:rFonts w:cs="Calibri"/>
          <w:sz w:val="20"/>
          <w:szCs w:val="20"/>
        </w:rPr>
        <w:t>Fellow</w:t>
      </w:r>
      <w:r w:rsidRPr="0078707C">
        <w:rPr>
          <w:rFonts w:cs="Calibri"/>
          <w:sz w:val="20"/>
          <w:szCs w:val="20"/>
        </w:rPr>
        <w:t xml:space="preserve">ship is ideal for persons running existing initiatives in Kenya who understand the vital need for the community to become engaged in their programs. </w:t>
      </w:r>
      <w:r>
        <w:rPr>
          <w:rFonts w:cs="Calibri"/>
          <w:sz w:val="20"/>
          <w:szCs w:val="20"/>
        </w:rPr>
        <w:t xml:space="preserve">In 2015, Tatua has accepted 15 fellows who will be working with us on a range of issues: health, education, safety in neighborhoods, </w:t>
      </w:r>
      <w:r w:rsidR="003C02E8">
        <w:rPr>
          <w:rFonts w:cs="Calibri"/>
          <w:sz w:val="20"/>
          <w:szCs w:val="20"/>
        </w:rPr>
        <w:t xml:space="preserve">childhood poverty, </w:t>
      </w:r>
      <w:r w:rsidR="002A5640">
        <w:rPr>
          <w:rFonts w:cs="Calibri"/>
          <w:sz w:val="20"/>
          <w:szCs w:val="20"/>
        </w:rPr>
        <w:t>and environmental</w:t>
      </w:r>
      <w:r w:rsidR="003C02E8">
        <w:rPr>
          <w:rFonts w:cs="Calibri"/>
          <w:sz w:val="20"/>
          <w:szCs w:val="20"/>
        </w:rPr>
        <w:t xml:space="preserve"> preservation</w:t>
      </w:r>
      <w:r w:rsidR="002A5640">
        <w:rPr>
          <w:rFonts w:cs="Calibri"/>
          <w:sz w:val="20"/>
          <w:szCs w:val="20"/>
        </w:rPr>
        <w:t>.</w:t>
      </w:r>
      <w:r w:rsidR="00684DA9">
        <w:rPr>
          <w:rFonts w:cs="Calibri"/>
          <w:sz w:val="20"/>
          <w:szCs w:val="20"/>
        </w:rPr>
        <w:t xml:space="preserve"> Our aim is to build</w:t>
      </w:r>
      <w:r w:rsidRPr="00717783">
        <w:rPr>
          <w:rFonts w:cs="Calibri"/>
          <w:sz w:val="20"/>
          <w:szCs w:val="20"/>
        </w:rPr>
        <w:t xml:space="preserve"> leaders that build a strong and united community of individuals working together to achieve a sustainable impact. </w:t>
      </w:r>
      <w:r>
        <w:rPr>
          <w:rFonts w:cs="Calibri"/>
          <w:sz w:val="20"/>
          <w:szCs w:val="20"/>
        </w:rPr>
        <w:t>Fellow</w:t>
      </w:r>
      <w:r w:rsidRPr="00717783">
        <w:rPr>
          <w:rFonts w:cs="Calibri"/>
          <w:sz w:val="20"/>
          <w:szCs w:val="20"/>
        </w:rPr>
        <w:t xml:space="preserve">s develop a base of community members committed to addressing </w:t>
      </w:r>
      <w:r>
        <w:rPr>
          <w:rFonts w:cs="Calibri"/>
          <w:sz w:val="20"/>
          <w:szCs w:val="20"/>
        </w:rPr>
        <w:t>a specific challenge, related to their target issue</w:t>
      </w:r>
      <w:r w:rsidRPr="00717783">
        <w:rPr>
          <w:rFonts w:cs="Calibri"/>
          <w:sz w:val="20"/>
          <w:szCs w:val="20"/>
        </w:rPr>
        <w:t>. Through building relationships and taking action together they begin to earn the trust, respect and commitment of their c</w:t>
      </w:r>
      <w:r>
        <w:rPr>
          <w:rFonts w:cs="Calibri"/>
          <w:sz w:val="20"/>
          <w:szCs w:val="20"/>
        </w:rPr>
        <w:t xml:space="preserve">ommunity. In </w:t>
      </w:r>
      <w:r w:rsidRPr="00717783">
        <w:rPr>
          <w:rFonts w:cs="Calibri"/>
          <w:sz w:val="20"/>
          <w:szCs w:val="20"/>
        </w:rPr>
        <w:t>the</w:t>
      </w:r>
      <w:r>
        <w:rPr>
          <w:rFonts w:cs="Calibri"/>
          <w:sz w:val="20"/>
          <w:szCs w:val="20"/>
        </w:rPr>
        <w:t xml:space="preserve"> end, the</w:t>
      </w:r>
      <w:r w:rsidRPr="00717783">
        <w:rPr>
          <w:rFonts w:cs="Calibri"/>
          <w:sz w:val="20"/>
          <w:szCs w:val="20"/>
        </w:rPr>
        <w:t xml:space="preserve"> community has launched a Community Run Initiative that addresses </w:t>
      </w:r>
      <w:r>
        <w:rPr>
          <w:rFonts w:cs="Calibri"/>
          <w:sz w:val="20"/>
          <w:szCs w:val="20"/>
        </w:rPr>
        <w:t xml:space="preserve">a specific challenge related to their target issue. </w:t>
      </w:r>
    </w:p>
    <w:p w:rsidR="0048798F" w:rsidRDefault="0048798F" w:rsidP="00684DA9">
      <w:pPr>
        <w:pStyle w:val="Normal1"/>
        <w:contextualSpacing/>
        <w:rPr>
          <w:rFonts w:ascii="Calibri" w:eastAsia="Calibri" w:hAnsi="Calibri" w:cs="Calibri"/>
          <w:color w:val="auto"/>
          <w:sz w:val="20"/>
        </w:rPr>
      </w:pPr>
    </w:p>
    <w:p w:rsidR="00684DA9" w:rsidRPr="001E7589" w:rsidRDefault="00684DA9" w:rsidP="00684DA9">
      <w:pPr>
        <w:pStyle w:val="Normal1"/>
        <w:contextualSpacing/>
        <w:rPr>
          <w:rFonts w:asciiTheme="minorHAnsi" w:eastAsia="Arial Unicode MS" w:hAnsiTheme="minorHAnsi" w:cs="Arial Unicode MS"/>
          <w:sz w:val="20"/>
        </w:rPr>
      </w:pPr>
      <w:r>
        <w:rPr>
          <w:rFonts w:asciiTheme="minorHAnsi" w:eastAsia="Arial Unicode MS" w:hAnsiTheme="minorHAnsi" w:cs="Arial Unicode MS"/>
          <w:sz w:val="20"/>
        </w:rPr>
        <w:t xml:space="preserve">Leaders </w:t>
      </w:r>
      <w:r w:rsidRPr="001E7589">
        <w:rPr>
          <w:rFonts w:asciiTheme="minorHAnsi" w:eastAsia="Arial Unicode MS" w:hAnsiTheme="minorHAnsi" w:cs="Arial Unicode MS"/>
          <w:sz w:val="20"/>
        </w:rPr>
        <w:t xml:space="preserve">(Fellows) </w:t>
      </w:r>
      <w:r>
        <w:rPr>
          <w:rFonts w:asciiTheme="minorHAnsi" w:eastAsia="Arial Unicode MS" w:hAnsiTheme="minorHAnsi" w:cs="Arial Unicode MS"/>
          <w:sz w:val="20"/>
        </w:rPr>
        <w:t xml:space="preserve"> joining the s</w:t>
      </w:r>
      <w:r w:rsidRPr="001E7589">
        <w:rPr>
          <w:rFonts w:asciiTheme="minorHAnsi" w:eastAsia="Arial Unicode MS" w:hAnsiTheme="minorHAnsi" w:cs="Arial Unicode MS"/>
          <w:sz w:val="20"/>
        </w:rPr>
        <w:t>ix</w:t>
      </w:r>
      <w:r>
        <w:rPr>
          <w:rFonts w:asciiTheme="minorHAnsi" w:eastAsia="Arial Unicode MS" w:hAnsiTheme="minorHAnsi" w:cs="Arial Unicode MS"/>
          <w:sz w:val="20"/>
        </w:rPr>
        <w:t xml:space="preserve">-month course </w:t>
      </w:r>
      <w:r w:rsidRPr="001E7589">
        <w:rPr>
          <w:rFonts w:asciiTheme="minorHAnsi" w:eastAsia="Arial Unicode MS" w:hAnsiTheme="minorHAnsi" w:cs="Arial Unicode MS"/>
          <w:sz w:val="20"/>
        </w:rPr>
        <w:t>learn, adapt and apply</w:t>
      </w:r>
      <w:r>
        <w:rPr>
          <w:rFonts w:asciiTheme="minorHAnsi" w:eastAsia="Arial Unicode MS" w:hAnsiTheme="minorHAnsi" w:cs="Arial Unicode MS"/>
          <w:sz w:val="20"/>
        </w:rPr>
        <w:t xml:space="preserve"> an</w:t>
      </w:r>
      <w:r w:rsidRPr="001E7589">
        <w:rPr>
          <w:rFonts w:asciiTheme="minorHAnsi" w:eastAsia="Arial Unicode MS" w:hAnsiTheme="minorHAnsi" w:cs="Arial Unicode MS"/>
          <w:sz w:val="20"/>
        </w:rPr>
        <w:t xml:space="preserve"> Effective Community Engagement Methodology developed by a Network o</w:t>
      </w:r>
      <w:r>
        <w:rPr>
          <w:rFonts w:asciiTheme="minorHAnsi" w:eastAsia="Arial Unicode MS" w:hAnsiTheme="minorHAnsi" w:cs="Arial Unicode MS"/>
          <w:sz w:val="20"/>
        </w:rPr>
        <w:t>f r</w:t>
      </w:r>
      <w:r w:rsidRPr="001E7589">
        <w:rPr>
          <w:rFonts w:asciiTheme="minorHAnsi" w:eastAsia="Arial Unicode MS" w:hAnsiTheme="minorHAnsi" w:cs="Arial Unicode MS"/>
          <w:sz w:val="20"/>
        </w:rPr>
        <w:t xml:space="preserve">esources including Marshall Ganz of Kennedy School Of Government at Harvard University, The Greensboro School of Servant Leadership, The New Organizing Institute, </w:t>
      </w:r>
      <w:r>
        <w:rPr>
          <w:rFonts w:asciiTheme="minorHAnsi" w:eastAsia="Arial Unicode MS" w:hAnsiTheme="minorHAnsi" w:cs="Arial Unicode MS"/>
          <w:sz w:val="20"/>
        </w:rPr>
        <w:t xml:space="preserve">and the </w:t>
      </w:r>
      <w:r w:rsidRPr="001E7589">
        <w:rPr>
          <w:rFonts w:asciiTheme="minorHAnsi" w:eastAsia="Arial Unicode MS" w:hAnsiTheme="minorHAnsi" w:cs="Arial Unicode MS"/>
          <w:sz w:val="20"/>
        </w:rPr>
        <w:t>Episcopal Service Corp</w:t>
      </w:r>
      <w:r>
        <w:rPr>
          <w:rFonts w:asciiTheme="minorHAnsi" w:eastAsia="Arial Unicode MS" w:hAnsiTheme="minorHAnsi" w:cs="Arial Unicode MS"/>
          <w:sz w:val="20"/>
        </w:rPr>
        <w:t>s, among others. The competencies include and not limited to:</w:t>
      </w:r>
    </w:p>
    <w:p w:rsidR="00684DA9" w:rsidRDefault="00684DA9" w:rsidP="00684DA9">
      <w:pPr>
        <w:pStyle w:val="Normal1"/>
        <w:widowControl w:val="0"/>
        <w:spacing w:line="259" w:lineRule="auto"/>
        <w:contextualSpacing/>
        <w:rPr>
          <w:rFonts w:asciiTheme="minorHAnsi" w:eastAsia="Arial Unicode MS" w:hAnsiTheme="minorHAnsi" w:cs="Arial Unicode MS"/>
          <w:b/>
          <w:sz w:val="20"/>
        </w:rPr>
      </w:pPr>
    </w:p>
    <w:p w:rsidR="00684DA9" w:rsidRDefault="00684DA9" w:rsidP="00684DA9">
      <w:pPr>
        <w:pStyle w:val="Normal1"/>
        <w:widowControl w:val="0"/>
        <w:spacing w:line="259" w:lineRule="auto"/>
        <w:contextualSpacing/>
        <w:rPr>
          <w:rFonts w:asciiTheme="minorHAnsi" w:eastAsia="Arial Unicode MS" w:hAnsiTheme="minorHAnsi" w:cs="Arial Unicode MS"/>
          <w:b/>
          <w:sz w:val="20"/>
        </w:rPr>
      </w:pPr>
      <w:r w:rsidRPr="008B0C70">
        <w:rPr>
          <w:rFonts w:asciiTheme="minorHAnsi" w:eastAsia="Arial Unicode MS" w:hAnsiTheme="minorHAnsi" w:cs="Arial Unicode MS"/>
          <w:b/>
          <w:sz w:val="20"/>
        </w:rPr>
        <w:t>Community Organizing Skills (Leadership Practices)</w:t>
      </w:r>
    </w:p>
    <w:p w:rsidR="00684DA9" w:rsidRPr="008B0C70" w:rsidRDefault="00684DA9" w:rsidP="00684DA9">
      <w:pPr>
        <w:pStyle w:val="NormalWeb"/>
        <w:widowControl w:val="0"/>
        <w:numPr>
          <w:ilvl w:val="1"/>
          <w:numId w:val="4"/>
        </w:numPr>
        <w:spacing w:before="0" w:beforeAutospacing="0" w:after="200" w:afterAutospacing="0" w:line="259" w:lineRule="auto"/>
        <w:contextualSpacing/>
        <w:rPr>
          <w:rFonts w:asciiTheme="minorHAnsi" w:eastAsia="Arial Unicode MS" w:hAnsiTheme="minorHAnsi" w:cs="Arial Unicode MS"/>
          <w:b/>
          <w:sz w:val="20"/>
        </w:rPr>
      </w:pPr>
      <w:r w:rsidRPr="008B0C70">
        <w:rPr>
          <w:rFonts w:asciiTheme="minorHAnsi" w:eastAsia="Arial Unicode MS" w:hAnsiTheme="minorHAnsi" w:cs="Arial Unicode MS"/>
          <w:b/>
          <w:i/>
          <w:iCs/>
          <w:color w:val="000000"/>
          <w:sz w:val="20"/>
          <w:szCs w:val="20"/>
        </w:rPr>
        <w:t>Intro to Organizing</w:t>
      </w:r>
      <w:r w:rsidRPr="008B0C70">
        <w:rPr>
          <w:rFonts w:asciiTheme="minorHAnsi" w:eastAsia="Arial Unicode MS" w:hAnsiTheme="minorHAnsi" w:cs="Arial Unicode MS"/>
          <w:i/>
          <w:iCs/>
          <w:color w:val="000000"/>
          <w:sz w:val="20"/>
          <w:szCs w:val="20"/>
        </w:rPr>
        <w:t xml:space="preserve">: Why community organizing works and how to start implementing the basic elements of effective community organizing. </w:t>
      </w:r>
    </w:p>
    <w:p w:rsidR="00684DA9" w:rsidRPr="008B0C70" w:rsidRDefault="00684DA9" w:rsidP="00684DA9">
      <w:pPr>
        <w:pStyle w:val="NormalWeb"/>
        <w:widowControl w:val="0"/>
        <w:numPr>
          <w:ilvl w:val="1"/>
          <w:numId w:val="4"/>
        </w:numPr>
        <w:spacing w:before="0" w:beforeAutospacing="0" w:after="200" w:afterAutospacing="0" w:line="259" w:lineRule="auto"/>
        <w:contextualSpacing/>
        <w:rPr>
          <w:rFonts w:asciiTheme="minorHAnsi" w:eastAsia="Arial Unicode MS" w:hAnsiTheme="minorHAnsi" w:cs="Arial Unicode MS"/>
          <w:b/>
          <w:sz w:val="20"/>
        </w:rPr>
      </w:pPr>
      <w:r w:rsidRPr="008B0C70">
        <w:rPr>
          <w:rFonts w:asciiTheme="minorHAnsi" w:eastAsia="Arial Unicode MS" w:hAnsiTheme="minorHAnsi" w:cs="Arial Unicode MS"/>
          <w:b/>
          <w:i/>
          <w:iCs/>
          <w:color w:val="000000"/>
          <w:sz w:val="20"/>
          <w:szCs w:val="20"/>
        </w:rPr>
        <w:t>Public Narrative</w:t>
      </w:r>
      <w:r w:rsidRPr="008B0C70">
        <w:rPr>
          <w:rFonts w:asciiTheme="minorHAnsi" w:eastAsia="Arial Unicode MS" w:hAnsiTheme="minorHAnsi" w:cs="Arial Unicode MS"/>
          <w:i/>
          <w:iCs/>
          <w:color w:val="000000"/>
          <w:sz w:val="20"/>
          <w:szCs w:val="20"/>
        </w:rPr>
        <w:t>: How to share your story in a way that engages and moves a community to action.</w:t>
      </w:r>
    </w:p>
    <w:p w:rsidR="00684DA9" w:rsidRPr="008B0C70" w:rsidRDefault="00684DA9" w:rsidP="00684DA9">
      <w:pPr>
        <w:pStyle w:val="NormalWeb"/>
        <w:widowControl w:val="0"/>
        <w:numPr>
          <w:ilvl w:val="1"/>
          <w:numId w:val="4"/>
        </w:numPr>
        <w:spacing w:before="0" w:beforeAutospacing="0" w:after="200" w:afterAutospacing="0" w:line="259" w:lineRule="auto"/>
        <w:contextualSpacing/>
        <w:rPr>
          <w:rFonts w:asciiTheme="minorHAnsi" w:eastAsia="Arial Unicode MS" w:hAnsiTheme="minorHAnsi" w:cs="Arial Unicode MS"/>
          <w:b/>
          <w:sz w:val="20"/>
        </w:rPr>
      </w:pPr>
      <w:r w:rsidRPr="008B0C70">
        <w:rPr>
          <w:rFonts w:asciiTheme="minorHAnsi" w:eastAsia="Arial Unicode MS" w:hAnsiTheme="minorHAnsi" w:cs="Arial Unicode MS"/>
          <w:b/>
          <w:i/>
          <w:iCs/>
          <w:color w:val="000000"/>
          <w:sz w:val="20"/>
          <w:szCs w:val="20"/>
        </w:rPr>
        <w:t>Building Relationships and Building Teams</w:t>
      </w:r>
      <w:r w:rsidRPr="008B0C70">
        <w:rPr>
          <w:rFonts w:asciiTheme="minorHAnsi" w:eastAsia="Arial Unicode MS" w:hAnsiTheme="minorHAnsi" w:cs="Arial Unicode MS"/>
          <w:i/>
          <w:iCs/>
          <w:color w:val="000000"/>
          <w:sz w:val="20"/>
          <w:szCs w:val="20"/>
        </w:rPr>
        <w:t>: How to create effective networks for change within your community.</w:t>
      </w:r>
    </w:p>
    <w:p w:rsidR="00684DA9" w:rsidRPr="008B0C70" w:rsidRDefault="00684DA9" w:rsidP="00684DA9">
      <w:pPr>
        <w:pStyle w:val="NormalWeb"/>
        <w:widowControl w:val="0"/>
        <w:numPr>
          <w:ilvl w:val="1"/>
          <w:numId w:val="4"/>
        </w:numPr>
        <w:spacing w:before="0" w:beforeAutospacing="0" w:after="200" w:afterAutospacing="0" w:line="259" w:lineRule="auto"/>
        <w:contextualSpacing/>
        <w:rPr>
          <w:rFonts w:asciiTheme="minorHAnsi" w:eastAsia="Arial Unicode MS" w:hAnsiTheme="minorHAnsi" w:cs="Arial Unicode MS"/>
          <w:b/>
          <w:sz w:val="20"/>
        </w:rPr>
      </w:pPr>
      <w:r w:rsidRPr="005A2551">
        <w:rPr>
          <w:rFonts w:asciiTheme="minorHAnsi" w:eastAsia="Arial Unicode MS" w:hAnsiTheme="minorHAnsi" w:cs="Arial Unicode MS"/>
          <w:b/>
          <w:i/>
          <w:iCs/>
          <w:color w:val="000000"/>
          <w:sz w:val="20"/>
          <w:szCs w:val="20"/>
        </w:rPr>
        <w:t>Strategy</w:t>
      </w:r>
      <w:r w:rsidRPr="001E7589">
        <w:rPr>
          <w:rFonts w:asciiTheme="minorHAnsi" w:eastAsia="Arial Unicode MS" w:hAnsiTheme="minorHAnsi" w:cs="Arial Unicode MS"/>
          <w:i/>
          <w:iCs/>
          <w:color w:val="000000"/>
          <w:sz w:val="20"/>
          <w:szCs w:val="20"/>
        </w:rPr>
        <w:t>: How to leverage the resources you have to achieve the change you want to see. (People mapping, problem mapping, Power Mapping, Theory of Change, Campaign Planning, Action Plans)</w:t>
      </w:r>
    </w:p>
    <w:p w:rsidR="00684DA9" w:rsidRPr="008B0C70" w:rsidRDefault="00684DA9" w:rsidP="00684DA9">
      <w:pPr>
        <w:pStyle w:val="NormalWeb"/>
        <w:widowControl w:val="0"/>
        <w:numPr>
          <w:ilvl w:val="1"/>
          <w:numId w:val="4"/>
        </w:numPr>
        <w:spacing w:before="0" w:beforeAutospacing="0" w:after="200" w:afterAutospacing="0" w:line="259" w:lineRule="auto"/>
        <w:contextualSpacing/>
        <w:rPr>
          <w:rFonts w:asciiTheme="minorHAnsi" w:eastAsia="Arial Unicode MS" w:hAnsiTheme="minorHAnsi" w:cs="Arial Unicode MS"/>
          <w:b/>
          <w:sz w:val="20"/>
        </w:rPr>
      </w:pPr>
      <w:r w:rsidRPr="005A2551">
        <w:rPr>
          <w:rFonts w:asciiTheme="minorHAnsi" w:eastAsia="Arial Unicode MS" w:hAnsiTheme="minorHAnsi" w:cs="Arial Unicode MS"/>
          <w:b/>
          <w:i/>
          <w:iCs/>
          <w:color w:val="000000"/>
          <w:sz w:val="20"/>
          <w:szCs w:val="20"/>
        </w:rPr>
        <w:t>Listening project</w:t>
      </w:r>
      <w:r>
        <w:rPr>
          <w:rFonts w:asciiTheme="minorHAnsi" w:eastAsia="Arial Unicode MS" w:hAnsiTheme="minorHAnsi" w:cs="Arial Unicode MS"/>
          <w:i/>
          <w:iCs/>
          <w:color w:val="000000"/>
          <w:sz w:val="20"/>
          <w:szCs w:val="20"/>
        </w:rPr>
        <w:t>s</w:t>
      </w:r>
      <w:r w:rsidRPr="001E7589">
        <w:rPr>
          <w:rFonts w:asciiTheme="minorHAnsi" w:eastAsia="Arial Unicode MS" w:hAnsiTheme="minorHAnsi" w:cs="Arial Unicode MS"/>
          <w:i/>
          <w:iCs/>
          <w:color w:val="000000"/>
          <w:sz w:val="20"/>
          <w:szCs w:val="20"/>
        </w:rPr>
        <w:t xml:space="preserve">: How to hear the heartbeat of your community and use that information to design </w:t>
      </w:r>
      <w:r w:rsidRPr="005A2551">
        <w:rPr>
          <w:rFonts w:asciiTheme="minorHAnsi" w:eastAsia="Arial Unicode MS" w:hAnsiTheme="minorHAnsi" w:cs="Arial Unicode MS"/>
          <w:i/>
          <w:iCs/>
          <w:color w:val="000000"/>
          <w:sz w:val="20"/>
          <w:szCs w:val="20"/>
        </w:rPr>
        <w:t>a course for change that resonates with their needs.</w:t>
      </w:r>
    </w:p>
    <w:p w:rsidR="00684DA9" w:rsidRPr="008B0C70" w:rsidRDefault="00684DA9" w:rsidP="00684DA9">
      <w:pPr>
        <w:pStyle w:val="NormalWeb"/>
        <w:widowControl w:val="0"/>
        <w:numPr>
          <w:ilvl w:val="1"/>
          <w:numId w:val="4"/>
        </w:numPr>
        <w:spacing w:before="0" w:beforeAutospacing="0" w:after="200" w:afterAutospacing="0" w:line="259" w:lineRule="auto"/>
        <w:contextualSpacing/>
        <w:rPr>
          <w:rFonts w:asciiTheme="minorHAnsi" w:eastAsia="Arial Unicode MS" w:hAnsiTheme="minorHAnsi" w:cs="Arial Unicode MS"/>
          <w:b/>
          <w:sz w:val="20"/>
        </w:rPr>
      </w:pPr>
      <w:r w:rsidRPr="00D03780">
        <w:rPr>
          <w:rFonts w:asciiTheme="minorHAnsi" w:eastAsia="Arial Unicode MS" w:hAnsiTheme="minorHAnsi" w:cs="Arial Unicode MS"/>
          <w:b/>
          <w:i/>
          <w:sz w:val="20"/>
          <w:szCs w:val="20"/>
        </w:rPr>
        <w:t>Leadership Development</w:t>
      </w:r>
      <w:r w:rsidR="0048798F">
        <w:rPr>
          <w:rFonts w:asciiTheme="minorHAnsi" w:eastAsia="Arial Unicode MS" w:hAnsiTheme="minorHAnsi" w:cs="Arial Unicode MS"/>
          <w:b/>
          <w:i/>
          <w:sz w:val="20"/>
          <w:szCs w:val="20"/>
        </w:rPr>
        <w:t xml:space="preserve"> through Servant Leadership: </w:t>
      </w:r>
      <w:r w:rsidRPr="008B0C70">
        <w:rPr>
          <w:rFonts w:asciiTheme="minorHAnsi" w:eastAsia="Arial Unicode MS" w:hAnsiTheme="minorHAnsi" w:cs="Arial Unicode MS"/>
          <w:i/>
          <w:iCs/>
          <w:color w:val="000000"/>
          <w:sz w:val="20"/>
          <w:szCs w:val="20"/>
        </w:rPr>
        <w:t xml:space="preserve">Practices of leadership that focuses on </w:t>
      </w:r>
      <w:r w:rsidRPr="008B0C70">
        <w:rPr>
          <w:rFonts w:asciiTheme="minorHAnsi" w:eastAsia="Arial Unicode MS" w:hAnsiTheme="minorHAnsi" w:cs="Arial Unicode MS"/>
          <w:i/>
          <w:iCs/>
          <w:color w:val="000000"/>
          <w:sz w:val="20"/>
          <w:szCs w:val="20"/>
        </w:rPr>
        <w:lastRenderedPageBreak/>
        <w:t>building the capacity of people to achieve long lasting change.</w:t>
      </w:r>
    </w:p>
    <w:p w:rsidR="00684DA9" w:rsidRDefault="00684DA9" w:rsidP="00684DA9">
      <w:pPr>
        <w:pStyle w:val="NormalWeb"/>
        <w:numPr>
          <w:ilvl w:val="1"/>
          <w:numId w:val="4"/>
        </w:numPr>
        <w:spacing w:before="0" w:beforeAutospacing="0" w:after="200" w:afterAutospacing="0"/>
        <w:rPr>
          <w:rFonts w:asciiTheme="minorHAnsi" w:eastAsia="Arial Unicode MS" w:hAnsiTheme="minorHAnsi" w:cs="Arial Unicode MS"/>
          <w:i/>
          <w:iCs/>
          <w:color w:val="000000"/>
          <w:sz w:val="20"/>
          <w:szCs w:val="20"/>
        </w:rPr>
      </w:pPr>
      <w:r w:rsidRPr="005A2551">
        <w:rPr>
          <w:rFonts w:asciiTheme="minorHAnsi" w:eastAsia="Arial Unicode MS" w:hAnsiTheme="minorHAnsi" w:cs="Arial Unicode MS"/>
          <w:b/>
          <w:i/>
          <w:iCs/>
          <w:color w:val="000000"/>
          <w:sz w:val="20"/>
          <w:szCs w:val="20"/>
        </w:rPr>
        <w:t>Coaching</w:t>
      </w:r>
      <w:r w:rsidRPr="001E7589">
        <w:rPr>
          <w:rFonts w:asciiTheme="minorHAnsi" w:eastAsia="Arial Unicode MS" w:hAnsiTheme="minorHAnsi" w:cs="Arial Unicode MS"/>
          <w:i/>
          <w:iCs/>
          <w:color w:val="000000"/>
          <w:sz w:val="20"/>
          <w:szCs w:val="20"/>
        </w:rPr>
        <w:t xml:space="preserve">- How </w:t>
      </w:r>
      <w:r>
        <w:rPr>
          <w:rFonts w:asciiTheme="minorHAnsi" w:eastAsia="Arial Unicode MS" w:hAnsiTheme="minorHAnsi" w:cs="Arial Unicode MS"/>
          <w:i/>
          <w:iCs/>
          <w:color w:val="000000"/>
          <w:sz w:val="20"/>
          <w:szCs w:val="20"/>
        </w:rPr>
        <w:t>to e</w:t>
      </w:r>
      <w:r w:rsidRPr="001E7589">
        <w:rPr>
          <w:rFonts w:asciiTheme="minorHAnsi" w:eastAsia="Arial Unicode MS" w:hAnsiTheme="minorHAnsi" w:cs="Arial Unicode MS"/>
          <w:i/>
          <w:iCs/>
          <w:color w:val="000000"/>
          <w:sz w:val="20"/>
          <w:szCs w:val="20"/>
        </w:rPr>
        <w:t>nable leaders in</w:t>
      </w:r>
      <w:r>
        <w:rPr>
          <w:rFonts w:asciiTheme="minorHAnsi" w:eastAsia="Arial Unicode MS" w:hAnsiTheme="minorHAnsi" w:cs="Arial Unicode MS"/>
          <w:i/>
          <w:iCs/>
          <w:color w:val="000000"/>
          <w:sz w:val="20"/>
          <w:szCs w:val="20"/>
        </w:rPr>
        <w:t xml:space="preserve"> our network to achieve purpose.</w:t>
      </w:r>
    </w:p>
    <w:p w:rsidR="003E076E" w:rsidRDefault="00D054C2"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sidRPr="00D054C2">
        <w:rPr>
          <w:rFonts w:asciiTheme="minorHAnsi" w:eastAsia="Arial Unicode MS" w:hAnsiTheme="minorHAnsi" w:cs="Arial Unicode MS"/>
          <w:b/>
          <w:i/>
          <w:iCs/>
          <w:color w:val="000000"/>
          <w:sz w:val="20"/>
          <w:szCs w:val="20"/>
        </w:rPr>
        <w:t>Program</w:t>
      </w:r>
      <w:r w:rsidR="003E076E">
        <w:rPr>
          <w:rFonts w:asciiTheme="minorHAnsi" w:eastAsia="Arial Unicode MS" w:hAnsiTheme="minorHAnsi" w:cs="Arial Unicode MS"/>
          <w:b/>
          <w:i/>
          <w:iCs/>
          <w:color w:val="000000"/>
          <w:sz w:val="20"/>
          <w:szCs w:val="20"/>
        </w:rPr>
        <w:t>Outlined Budget:</w:t>
      </w:r>
      <w:r w:rsidR="003D561D">
        <w:rPr>
          <w:rFonts w:asciiTheme="minorHAnsi" w:eastAsia="Arial Unicode MS" w:hAnsiTheme="minorHAnsi" w:cs="Arial Unicode MS"/>
          <w:b/>
          <w:i/>
          <w:iCs/>
          <w:color w:val="000000"/>
          <w:sz w:val="20"/>
          <w:szCs w:val="20"/>
        </w:rPr>
        <w:t>(Breakdown for USD 30700)</w:t>
      </w:r>
    </w:p>
    <w:tbl>
      <w:tblPr>
        <w:tblStyle w:val="TableGrid"/>
        <w:tblW w:w="0" w:type="auto"/>
        <w:tblLook w:val="04A0"/>
      </w:tblPr>
      <w:tblGrid>
        <w:gridCol w:w="2556"/>
        <w:gridCol w:w="2422"/>
        <w:gridCol w:w="2422"/>
        <w:gridCol w:w="2176"/>
      </w:tblGrid>
      <w:tr w:rsidR="0066347F" w:rsidTr="0066347F">
        <w:tc>
          <w:tcPr>
            <w:tcW w:w="2556" w:type="dxa"/>
          </w:tcPr>
          <w:p w:rsidR="0066347F" w:rsidRDefault="0066347F"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Unit</w:t>
            </w:r>
          </w:p>
        </w:tc>
        <w:tc>
          <w:tcPr>
            <w:tcW w:w="2422" w:type="dxa"/>
          </w:tcPr>
          <w:p w:rsidR="0066347F"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Needs</w:t>
            </w:r>
          </w:p>
        </w:tc>
        <w:tc>
          <w:tcPr>
            <w:tcW w:w="2422" w:type="dxa"/>
          </w:tcPr>
          <w:p w:rsidR="0066347F" w:rsidRDefault="0066347F"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Input</w:t>
            </w:r>
          </w:p>
        </w:tc>
        <w:tc>
          <w:tcPr>
            <w:tcW w:w="2176" w:type="dxa"/>
          </w:tcPr>
          <w:p w:rsidR="0066347F" w:rsidRDefault="005A5FCD"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Expected Costs (USD)</w:t>
            </w:r>
          </w:p>
        </w:tc>
      </w:tr>
      <w:tr w:rsidR="0066347F" w:rsidTr="0066347F">
        <w:tc>
          <w:tcPr>
            <w:tcW w:w="2556" w:type="dxa"/>
            <w:vMerge w:val="restart"/>
          </w:tcPr>
          <w:p w:rsidR="0066347F" w:rsidRDefault="0066347F"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p w:rsidR="0066347F" w:rsidRDefault="0066347F"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6 month fellowship hosting 15 community leaders.</w:t>
            </w:r>
          </w:p>
          <w:p w:rsidR="00431CAD" w:rsidRDefault="00431CAD"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p w:rsidR="00431CAD" w:rsidRDefault="00431CAD"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By the end of November 2015, the prog</w:t>
            </w:r>
            <w:r w:rsidR="00E23FDF">
              <w:rPr>
                <w:rFonts w:asciiTheme="minorHAnsi" w:eastAsia="Arial Unicode MS" w:hAnsiTheme="minorHAnsi" w:cs="Arial Unicode MS"/>
                <w:b/>
                <w:i/>
                <w:iCs/>
                <w:color w:val="000000"/>
                <w:sz w:val="20"/>
                <w:szCs w:val="20"/>
              </w:rPr>
              <w:t>ram will have directly impacted 240 fellows on one:one trainings with the Tatua training team.</w:t>
            </w:r>
          </w:p>
          <w:p w:rsidR="00E23FDF" w:rsidRDefault="00E23FDF"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 xml:space="preserve">(15 senior fellows, </w:t>
            </w:r>
            <w:r w:rsidR="00485D54">
              <w:rPr>
                <w:rFonts w:asciiTheme="minorHAnsi" w:eastAsia="Arial Unicode MS" w:hAnsiTheme="minorHAnsi" w:cs="Arial Unicode MS"/>
                <w:b/>
                <w:i/>
                <w:iCs/>
                <w:color w:val="000000"/>
                <w:sz w:val="20"/>
                <w:szCs w:val="20"/>
              </w:rPr>
              <w:t>75 T1 fellows, 75 T2 fellows and 75 project team members)</w:t>
            </w:r>
          </w:p>
          <w:p w:rsidR="00E23FDF" w:rsidRDefault="005A69C2"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In addition we estimate about 4</w:t>
            </w:r>
            <w:r w:rsidR="00E23FDF">
              <w:rPr>
                <w:rFonts w:asciiTheme="minorHAnsi" w:eastAsia="Arial Unicode MS" w:hAnsiTheme="minorHAnsi" w:cs="Arial Unicode MS"/>
                <w:b/>
                <w:i/>
                <w:iCs/>
                <w:color w:val="000000"/>
                <w:sz w:val="20"/>
                <w:szCs w:val="20"/>
              </w:rPr>
              <w:t>000 people engaged in the campaigns from decision making to the campaign action events.</w:t>
            </w:r>
          </w:p>
        </w:tc>
        <w:tc>
          <w:tcPr>
            <w:tcW w:w="2422" w:type="dxa"/>
          </w:tcPr>
          <w:p w:rsidR="0066347F" w:rsidRDefault="008D3148" w:rsidP="008D3148">
            <w:pPr>
              <w:pStyle w:val="NormalWeb"/>
              <w:numPr>
                <w:ilvl w:val="0"/>
                <w:numId w:val="7"/>
              </w:numPr>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Training Costs</w:t>
            </w:r>
          </w:p>
        </w:tc>
        <w:tc>
          <w:tcPr>
            <w:tcW w:w="2422" w:type="dxa"/>
          </w:tcPr>
          <w:p w:rsidR="0066347F" w:rsidRDefault="00B96F52"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 xml:space="preserve">Materials, </w:t>
            </w:r>
            <w:r w:rsidR="005A5FCD">
              <w:rPr>
                <w:rFonts w:asciiTheme="minorHAnsi" w:eastAsia="Arial Unicode MS" w:hAnsiTheme="minorHAnsi" w:cs="Arial Unicode MS"/>
                <w:b/>
                <w:i/>
                <w:iCs/>
                <w:color w:val="000000"/>
                <w:sz w:val="20"/>
                <w:szCs w:val="20"/>
              </w:rPr>
              <w:t>training spaces</w:t>
            </w:r>
            <w:r>
              <w:rPr>
                <w:rFonts w:asciiTheme="minorHAnsi" w:eastAsia="Arial Unicode MS" w:hAnsiTheme="minorHAnsi" w:cs="Arial Unicode MS"/>
                <w:b/>
                <w:i/>
                <w:iCs/>
                <w:color w:val="000000"/>
                <w:sz w:val="20"/>
                <w:szCs w:val="20"/>
              </w:rPr>
              <w:t xml:space="preserve"> and excursions</w:t>
            </w:r>
          </w:p>
        </w:tc>
        <w:tc>
          <w:tcPr>
            <w:tcW w:w="2176" w:type="dxa"/>
          </w:tcPr>
          <w:p w:rsidR="00B96F52" w:rsidRPr="00B96F52" w:rsidRDefault="00B96F52" w:rsidP="00D054C2">
            <w:pPr>
              <w:pStyle w:val="NormalWeb"/>
              <w:spacing w:before="0" w:beforeAutospacing="0" w:after="200" w:afterAutospacing="0"/>
              <w:rPr>
                <w:rFonts w:asciiTheme="minorHAnsi" w:eastAsia="Arial Unicode MS" w:hAnsiTheme="minorHAnsi" w:cs="Arial Unicode MS"/>
                <w:b/>
                <w:i/>
                <w:iCs/>
                <w:sz w:val="20"/>
                <w:szCs w:val="20"/>
              </w:rPr>
            </w:pPr>
            <w:r w:rsidRPr="00B96F52">
              <w:rPr>
                <w:rFonts w:asciiTheme="minorHAnsi" w:eastAsia="Arial Unicode MS" w:hAnsiTheme="minorHAnsi" w:cs="Arial Unicode MS"/>
                <w:b/>
                <w:i/>
                <w:iCs/>
                <w:sz w:val="20"/>
                <w:szCs w:val="20"/>
              </w:rPr>
              <w:t>11500</w:t>
            </w:r>
          </w:p>
          <w:p w:rsidR="00B96F52" w:rsidRDefault="00B96F52"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tc>
      </w:tr>
      <w:tr w:rsidR="008D3148" w:rsidTr="0066347F">
        <w:tc>
          <w:tcPr>
            <w:tcW w:w="2556" w:type="dxa"/>
            <w:vMerge/>
          </w:tcPr>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tc>
        <w:tc>
          <w:tcPr>
            <w:tcW w:w="2422" w:type="dxa"/>
          </w:tcPr>
          <w:p w:rsidR="008D3148" w:rsidRDefault="008D3148" w:rsidP="008D3148">
            <w:pPr>
              <w:pStyle w:val="NormalWeb"/>
              <w:numPr>
                <w:ilvl w:val="0"/>
                <w:numId w:val="7"/>
              </w:numPr>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Building the fellowship coaching framework</w:t>
            </w:r>
          </w:p>
        </w:tc>
        <w:tc>
          <w:tcPr>
            <w:tcW w:w="2422" w:type="dxa"/>
          </w:tcPr>
          <w:p w:rsidR="008D3148" w:rsidRDefault="008D3148" w:rsidP="00176FAB">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Staff hours (accounted for in program salaries)</w:t>
            </w:r>
          </w:p>
          <w:p w:rsidR="008D3148" w:rsidRDefault="008D3148" w:rsidP="00176FAB">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Logistical costs (Transportation and communication expenses)</w:t>
            </w:r>
          </w:p>
        </w:tc>
        <w:tc>
          <w:tcPr>
            <w:tcW w:w="2176" w:type="dxa"/>
          </w:tcPr>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tc>
      </w:tr>
      <w:tr w:rsidR="008D3148" w:rsidTr="00B96F52">
        <w:trPr>
          <w:trHeight w:val="3653"/>
        </w:trPr>
        <w:tc>
          <w:tcPr>
            <w:tcW w:w="2556" w:type="dxa"/>
            <w:vMerge/>
          </w:tcPr>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tc>
        <w:tc>
          <w:tcPr>
            <w:tcW w:w="2422" w:type="dxa"/>
          </w:tcPr>
          <w:p w:rsidR="008D3148" w:rsidRDefault="008D3148" w:rsidP="008D3148">
            <w:pPr>
              <w:pStyle w:val="NormalWeb"/>
              <w:numPr>
                <w:ilvl w:val="0"/>
                <w:numId w:val="6"/>
              </w:numPr>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Program development, management and maintenance.</w:t>
            </w:r>
          </w:p>
          <w:p w:rsidR="008D3148" w:rsidRDefault="008D3148" w:rsidP="008D3148">
            <w:pPr>
              <w:pStyle w:val="NormalWeb"/>
              <w:numPr>
                <w:ilvl w:val="0"/>
                <w:numId w:val="6"/>
              </w:numPr>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Running training spaces</w:t>
            </w:r>
          </w:p>
          <w:p w:rsidR="008D3148" w:rsidRDefault="008D3148" w:rsidP="008D3148">
            <w:pPr>
              <w:pStyle w:val="NormalWeb"/>
              <w:numPr>
                <w:ilvl w:val="0"/>
                <w:numId w:val="6"/>
              </w:numPr>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Building program partnerships and collaborations</w:t>
            </w:r>
          </w:p>
        </w:tc>
        <w:tc>
          <w:tcPr>
            <w:tcW w:w="2422" w:type="dxa"/>
          </w:tcPr>
          <w:p w:rsidR="008D3148" w:rsidRDefault="008D3148" w:rsidP="008D3148">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Program salaries</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5 program full time staff:</w:t>
            </w:r>
          </w:p>
          <w:p w:rsidR="0048798F" w:rsidRDefault="0048798F"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Tatua Kenya team lead</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Fellowship manager</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Community manager</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Learning/content manager</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Program operations and legal manager</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tc>
        <w:tc>
          <w:tcPr>
            <w:tcW w:w="2176" w:type="dxa"/>
          </w:tcPr>
          <w:p w:rsidR="008D3148" w:rsidRDefault="005A5FCD"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17700</w:t>
            </w:r>
          </w:p>
        </w:tc>
      </w:tr>
      <w:tr w:rsidR="008D3148" w:rsidTr="00B96F52">
        <w:trPr>
          <w:trHeight w:val="2213"/>
        </w:trPr>
        <w:tc>
          <w:tcPr>
            <w:tcW w:w="2556" w:type="dxa"/>
            <w:vMerge/>
          </w:tcPr>
          <w:p w:rsidR="008D3148" w:rsidRDefault="008D3148" w:rsidP="0066347F">
            <w:pPr>
              <w:pStyle w:val="NormalWeb"/>
              <w:spacing w:before="0" w:beforeAutospacing="0" w:after="200" w:afterAutospacing="0"/>
              <w:rPr>
                <w:rFonts w:asciiTheme="minorHAnsi" w:eastAsia="Arial Unicode MS" w:hAnsiTheme="minorHAnsi" w:cs="Arial Unicode MS"/>
                <w:b/>
                <w:i/>
                <w:iCs/>
                <w:color w:val="000000"/>
                <w:sz w:val="20"/>
                <w:szCs w:val="20"/>
              </w:rPr>
            </w:pPr>
          </w:p>
        </w:tc>
        <w:tc>
          <w:tcPr>
            <w:tcW w:w="2422" w:type="dxa"/>
          </w:tcPr>
          <w:p w:rsidR="008D3148" w:rsidRDefault="008D3148" w:rsidP="0066347F">
            <w:pPr>
              <w:pStyle w:val="NormalWeb"/>
              <w:numPr>
                <w:ilvl w:val="0"/>
                <w:numId w:val="5"/>
              </w:numPr>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Program structural/ operational support</w:t>
            </w:r>
          </w:p>
        </w:tc>
        <w:tc>
          <w:tcPr>
            <w:tcW w:w="2422" w:type="dxa"/>
          </w:tcPr>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Organizational review support</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Research, measurement and evaluation framework</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Legal payments</w:t>
            </w:r>
          </w:p>
          <w:p w:rsidR="008D3148" w:rsidRDefault="008D3148" w:rsidP="00D054C2">
            <w:pPr>
              <w:pStyle w:val="NormalWeb"/>
              <w:spacing w:before="0" w:beforeAutospacing="0" w:after="200" w:afterAutospacing="0"/>
              <w:rPr>
                <w:rFonts w:asciiTheme="minorHAnsi" w:eastAsia="Arial Unicode MS" w:hAnsiTheme="minorHAnsi" w:cs="Arial Unicode MS"/>
                <w:b/>
                <w:i/>
                <w:iCs/>
                <w:color w:val="000000"/>
                <w:sz w:val="20"/>
                <w:szCs w:val="20"/>
              </w:rPr>
            </w:pPr>
          </w:p>
        </w:tc>
        <w:tc>
          <w:tcPr>
            <w:tcW w:w="2176" w:type="dxa"/>
          </w:tcPr>
          <w:p w:rsidR="008D3148" w:rsidRDefault="00B96F52" w:rsidP="00D054C2">
            <w:pPr>
              <w:pStyle w:val="NormalWeb"/>
              <w:spacing w:before="0" w:beforeAutospacing="0" w:after="200" w:afterAutospacing="0"/>
              <w:rPr>
                <w:rFonts w:asciiTheme="minorHAnsi" w:eastAsia="Arial Unicode MS" w:hAnsiTheme="minorHAnsi" w:cs="Arial Unicode MS"/>
                <w:b/>
                <w:i/>
                <w:iCs/>
                <w:color w:val="000000"/>
                <w:sz w:val="20"/>
                <w:szCs w:val="20"/>
              </w:rPr>
            </w:pPr>
            <w:r>
              <w:rPr>
                <w:rFonts w:asciiTheme="minorHAnsi" w:eastAsia="Arial Unicode MS" w:hAnsiTheme="minorHAnsi" w:cs="Arial Unicode MS"/>
                <w:b/>
                <w:i/>
                <w:iCs/>
                <w:color w:val="000000"/>
                <w:sz w:val="20"/>
                <w:szCs w:val="20"/>
              </w:rPr>
              <w:t>8</w:t>
            </w:r>
            <w:r w:rsidR="005A5FCD">
              <w:rPr>
                <w:rFonts w:asciiTheme="minorHAnsi" w:eastAsia="Arial Unicode MS" w:hAnsiTheme="minorHAnsi" w:cs="Arial Unicode MS"/>
                <w:b/>
                <w:i/>
                <w:iCs/>
                <w:color w:val="000000"/>
                <w:sz w:val="20"/>
                <w:szCs w:val="20"/>
              </w:rPr>
              <w:t>000</w:t>
            </w:r>
          </w:p>
        </w:tc>
      </w:tr>
    </w:tbl>
    <w:p w:rsidR="00991D9F" w:rsidRPr="00991D9F" w:rsidRDefault="00991D9F" w:rsidP="0048798F"/>
    <w:sectPr w:rsidR="00991D9F" w:rsidRPr="00991D9F" w:rsidSect="00B96F52">
      <w:headerReference w:type="default" r:id="rId8"/>
      <w:footerReference w:type="default" r:id="rId9"/>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901" w:rsidRDefault="00D13901" w:rsidP="00F17BFE">
      <w:pPr>
        <w:spacing w:after="0" w:line="240" w:lineRule="auto"/>
      </w:pPr>
      <w:r>
        <w:separator/>
      </w:r>
    </w:p>
  </w:endnote>
  <w:endnote w:type="continuationSeparator" w:id="1">
    <w:p w:rsidR="00D13901" w:rsidRDefault="00D13901" w:rsidP="00F1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A9" w:rsidRDefault="00684DA9">
    <w:pPr>
      <w:pStyle w:val="Footer"/>
    </w:pPr>
  </w:p>
  <w:p w:rsidR="00684DA9" w:rsidRDefault="00684DA9">
    <w:pPr>
      <w:pStyle w:val="Footer"/>
    </w:pPr>
    <w:r>
      <w:t>P.O Box 79927 – 00200 Nairobi          Arwings Kodhek Road, 558                +254 716 873103/770 357700</w:t>
    </w:r>
  </w:p>
  <w:p w:rsidR="00684DA9" w:rsidRDefault="00684DA9">
    <w:pPr>
      <w:pStyle w:val="Footer"/>
    </w:pPr>
  </w:p>
  <w:p w:rsidR="00684DA9" w:rsidRDefault="00684DA9">
    <w:pPr>
      <w:pStyle w:val="Footer"/>
    </w:pPr>
    <w:r>
      <w:t xml:space="preserve">                                                                     info@tatuakenya.org                                        </w:t>
    </w:r>
  </w:p>
  <w:p w:rsidR="00684DA9" w:rsidRDefault="0016590C">
    <w:pPr>
      <w:pStyle w:val="Footer"/>
    </w:pPr>
    <w:hyperlink r:id="rId1" w:history="1">
      <w:r w:rsidR="00684DA9" w:rsidRPr="004C5002">
        <w:rPr>
          <w:rStyle w:val="Hyperlink"/>
        </w:rPr>
        <w:t xml:space="preserve">  www.tatuakenya.wordpress.com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901" w:rsidRDefault="00D13901" w:rsidP="00F17BFE">
      <w:pPr>
        <w:spacing w:after="0" w:line="240" w:lineRule="auto"/>
      </w:pPr>
      <w:r>
        <w:separator/>
      </w:r>
    </w:p>
  </w:footnote>
  <w:footnote w:type="continuationSeparator" w:id="1">
    <w:p w:rsidR="00D13901" w:rsidRDefault="00D13901" w:rsidP="00F1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A9" w:rsidRDefault="00684DA9">
    <w:pPr>
      <w:pStyle w:val="Header"/>
    </w:pPr>
    <w:r>
      <w:rPr>
        <w:noProof/>
        <w:lang w:val="en-GB" w:eastAsia="en-GB"/>
      </w:rPr>
      <w:drawing>
        <wp:inline distT="0" distB="0" distL="0" distR="0">
          <wp:extent cx="240030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in.Groundu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5126" cy="687119"/>
                  </a:xfrm>
                  <a:prstGeom prst="rect">
                    <a:avLst/>
                  </a:prstGeom>
                </pic:spPr>
              </pic:pic>
            </a:graphicData>
          </a:graphic>
        </wp:inline>
      </w:drawing>
    </w:r>
  </w:p>
  <w:p w:rsidR="00684DA9" w:rsidRDefault="00684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C2B"/>
    <w:multiLevelType w:val="hybridMultilevel"/>
    <w:tmpl w:val="8918E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15F40"/>
    <w:multiLevelType w:val="hybridMultilevel"/>
    <w:tmpl w:val="EB12A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56DA7"/>
    <w:multiLevelType w:val="hybridMultilevel"/>
    <w:tmpl w:val="696E2A4C"/>
    <w:lvl w:ilvl="0" w:tplc="3EE2CE3C">
      <w:start w:val="6"/>
      <w:numFmt w:val="bullet"/>
      <w:lvlText w:val="-"/>
      <w:lvlJc w:val="left"/>
      <w:pPr>
        <w:ind w:left="405" w:hanging="360"/>
      </w:pPr>
      <w:rPr>
        <w:rFonts w:ascii="Calibri" w:eastAsia="Arial Unicode MS" w:hAnsi="Calibri" w:cs="Arial Unicode M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1AE0FAB"/>
    <w:multiLevelType w:val="hybridMultilevel"/>
    <w:tmpl w:val="93128792"/>
    <w:lvl w:ilvl="0" w:tplc="6C768136">
      <w:numFmt w:val="bullet"/>
      <w:lvlText w:val="-"/>
      <w:lvlJc w:val="left"/>
      <w:pPr>
        <w:ind w:left="405" w:hanging="360"/>
      </w:pPr>
      <w:rPr>
        <w:rFonts w:ascii="Calibri" w:eastAsia="Arial Unicode MS" w:hAnsi="Calibri" w:cs="Arial Unicode M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7C766F1"/>
    <w:multiLevelType w:val="hybridMultilevel"/>
    <w:tmpl w:val="1E3E8660"/>
    <w:lvl w:ilvl="0" w:tplc="25BC0D00">
      <w:start w:val="6"/>
      <w:numFmt w:val="bullet"/>
      <w:lvlText w:val="-"/>
      <w:lvlJc w:val="left"/>
      <w:pPr>
        <w:ind w:left="405" w:hanging="360"/>
      </w:pPr>
      <w:rPr>
        <w:rFonts w:ascii="Calibri" w:eastAsia="Arial Unicode MS" w:hAnsi="Calibri" w:cs="Arial Unicode M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7B0F3474"/>
    <w:multiLevelType w:val="hybridMultilevel"/>
    <w:tmpl w:val="8ABAA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044FC"/>
    <w:multiLevelType w:val="hybridMultilevel"/>
    <w:tmpl w:val="0EBA4AD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44840"/>
    <w:rsid w:val="0016590C"/>
    <w:rsid w:val="001E180C"/>
    <w:rsid w:val="00207EEC"/>
    <w:rsid w:val="002A5640"/>
    <w:rsid w:val="002F4E7B"/>
    <w:rsid w:val="003644DA"/>
    <w:rsid w:val="003C02E8"/>
    <w:rsid w:val="003D561D"/>
    <w:rsid w:val="003E076E"/>
    <w:rsid w:val="00431CAD"/>
    <w:rsid w:val="00445960"/>
    <w:rsid w:val="00485D54"/>
    <w:rsid w:val="0048798F"/>
    <w:rsid w:val="004C5002"/>
    <w:rsid w:val="005A5FCD"/>
    <w:rsid w:val="005A69C2"/>
    <w:rsid w:val="005C4476"/>
    <w:rsid w:val="0066347F"/>
    <w:rsid w:val="00684DA9"/>
    <w:rsid w:val="006D3B46"/>
    <w:rsid w:val="00744840"/>
    <w:rsid w:val="007D67ED"/>
    <w:rsid w:val="008D3148"/>
    <w:rsid w:val="00991D9F"/>
    <w:rsid w:val="00A600D8"/>
    <w:rsid w:val="00B96F52"/>
    <w:rsid w:val="00BB679E"/>
    <w:rsid w:val="00D054C2"/>
    <w:rsid w:val="00D12A61"/>
    <w:rsid w:val="00D13901"/>
    <w:rsid w:val="00D44072"/>
    <w:rsid w:val="00D7465C"/>
    <w:rsid w:val="00D86BBC"/>
    <w:rsid w:val="00E23FDF"/>
    <w:rsid w:val="00E56E9E"/>
    <w:rsid w:val="00ED7667"/>
    <w:rsid w:val="00F016E8"/>
    <w:rsid w:val="00F02525"/>
    <w:rsid w:val="00F17B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ED"/>
    <w:pPr>
      <w:ind w:left="720"/>
      <w:contextualSpacing/>
    </w:pPr>
  </w:style>
  <w:style w:type="paragraph" w:styleId="BalloonText">
    <w:name w:val="Balloon Text"/>
    <w:basedOn w:val="Normal"/>
    <w:link w:val="BalloonTextChar"/>
    <w:uiPriority w:val="99"/>
    <w:semiHidden/>
    <w:unhideWhenUsed/>
    <w:rsid w:val="00F1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FE"/>
    <w:rPr>
      <w:rFonts w:ascii="Tahoma" w:hAnsi="Tahoma" w:cs="Tahoma"/>
      <w:sz w:val="16"/>
      <w:szCs w:val="16"/>
    </w:rPr>
  </w:style>
  <w:style w:type="paragraph" w:styleId="Header">
    <w:name w:val="header"/>
    <w:basedOn w:val="Normal"/>
    <w:link w:val="HeaderChar"/>
    <w:uiPriority w:val="99"/>
    <w:unhideWhenUsed/>
    <w:rsid w:val="00F1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BFE"/>
  </w:style>
  <w:style w:type="paragraph" w:styleId="Footer">
    <w:name w:val="footer"/>
    <w:basedOn w:val="Normal"/>
    <w:link w:val="FooterChar"/>
    <w:uiPriority w:val="99"/>
    <w:unhideWhenUsed/>
    <w:rsid w:val="00F1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BFE"/>
  </w:style>
  <w:style w:type="character" w:styleId="Hyperlink">
    <w:name w:val="Hyperlink"/>
    <w:basedOn w:val="DefaultParagraphFont"/>
    <w:uiPriority w:val="99"/>
    <w:unhideWhenUsed/>
    <w:rsid w:val="004C5002"/>
    <w:rPr>
      <w:color w:val="0000FF" w:themeColor="hyperlink"/>
      <w:u w:val="single"/>
    </w:rPr>
  </w:style>
  <w:style w:type="character" w:styleId="FollowedHyperlink">
    <w:name w:val="FollowedHyperlink"/>
    <w:basedOn w:val="DefaultParagraphFont"/>
    <w:uiPriority w:val="99"/>
    <w:semiHidden/>
    <w:unhideWhenUsed/>
    <w:rsid w:val="004C5002"/>
    <w:rPr>
      <w:color w:val="800080" w:themeColor="followedHyperlink"/>
      <w:u w:val="single"/>
    </w:rPr>
  </w:style>
  <w:style w:type="paragraph" w:customStyle="1" w:styleId="Normal1">
    <w:name w:val="Normal1"/>
    <w:rsid w:val="00684DA9"/>
    <w:pPr>
      <w:spacing w:after="0"/>
    </w:pPr>
    <w:rPr>
      <w:rFonts w:ascii="Arial" w:eastAsia="Arial" w:hAnsi="Arial" w:cs="Arial"/>
      <w:color w:val="000000"/>
      <w:szCs w:val="20"/>
    </w:rPr>
  </w:style>
  <w:style w:type="paragraph" w:styleId="NormalWeb">
    <w:name w:val="Normal (Web)"/>
    <w:basedOn w:val="Normal"/>
    <w:uiPriority w:val="99"/>
    <w:unhideWhenUsed/>
    <w:rsid w:val="00684DA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E0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ED"/>
    <w:pPr>
      <w:ind w:left="720"/>
      <w:contextualSpacing/>
    </w:pPr>
  </w:style>
  <w:style w:type="paragraph" w:styleId="BalloonText">
    <w:name w:val="Balloon Text"/>
    <w:basedOn w:val="Normal"/>
    <w:link w:val="BalloonTextChar"/>
    <w:uiPriority w:val="99"/>
    <w:semiHidden/>
    <w:unhideWhenUsed/>
    <w:rsid w:val="00F1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FE"/>
    <w:rPr>
      <w:rFonts w:ascii="Tahoma" w:hAnsi="Tahoma" w:cs="Tahoma"/>
      <w:sz w:val="16"/>
      <w:szCs w:val="16"/>
    </w:rPr>
  </w:style>
  <w:style w:type="paragraph" w:styleId="Header">
    <w:name w:val="header"/>
    <w:basedOn w:val="Normal"/>
    <w:link w:val="HeaderChar"/>
    <w:uiPriority w:val="99"/>
    <w:unhideWhenUsed/>
    <w:rsid w:val="00F1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BFE"/>
  </w:style>
  <w:style w:type="paragraph" w:styleId="Footer">
    <w:name w:val="footer"/>
    <w:basedOn w:val="Normal"/>
    <w:link w:val="FooterChar"/>
    <w:uiPriority w:val="99"/>
    <w:unhideWhenUsed/>
    <w:rsid w:val="00F1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BFE"/>
  </w:style>
  <w:style w:type="character" w:styleId="Hyperlink">
    <w:name w:val="Hyperlink"/>
    <w:basedOn w:val="DefaultParagraphFont"/>
    <w:uiPriority w:val="99"/>
    <w:unhideWhenUsed/>
    <w:rsid w:val="004C5002"/>
    <w:rPr>
      <w:color w:val="0000FF" w:themeColor="hyperlink"/>
      <w:u w:val="single"/>
    </w:rPr>
  </w:style>
  <w:style w:type="character" w:styleId="FollowedHyperlink">
    <w:name w:val="FollowedHyperlink"/>
    <w:basedOn w:val="DefaultParagraphFont"/>
    <w:uiPriority w:val="99"/>
    <w:semiHidden/>
    <w:unhideWhenUsed/>
    <w:rsid w:val="004C5002"/>
    <w:rPr>
      <w:color w:val="800080" w:themeColor="followedHyperlink"/>
      <w:u w:val="single"/>
    </w:rPr>
  </w:style>
  <w:style w:type="paragraph" w:customStyle="1" w:styleId="Normal1">
    <w:name w:val="Normal1"/>
    <w:rsid w:val="00684DA9"/>
    <w:pPr>
      <w:spacing w:after="0"/>
    </w:pPr>
    <w:rPr>
      <w:rFonts w:ascii="Arial" w:eastAsia="Arial" w:hAnsi="Arial" w:cs="Arial"/>
      <w:color w:val="000000"/>
      <w:szCs w:val="20"/>
    </w:rPr>
  </w:style>
  <w:style w:type="paragraph" w:styleId="NormalWeb">
    <w:name w:val="Normal (Web)"/>
    <w:basedOn w:val="Normal"/>
    <w:uiPriority w:val="99"/>
    <w:unhideWhenUsed/>
    <w:rsid w:val="00684DA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E0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atuakenya.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11A5-E766-448F-BFE9-67AB3D94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Chomba Njue</dc:creator>
  <cp:lastModifiedBy>tboz</cp:lastModifiedBy>
  <cp:revision>8</cp:revision>
  <cp:lastPrinted>2015-04-27T15:55:00Z</cp:lastPrinted>
  <dcterms:created xsi:type="dcterms:W3CDTF">2015-04-23T06:25:00Z</dcterms:created>
  <dcterms:modified xsi:type="dcterms:W3CDTF">2015-06-22T10:16:00Z</dcterms:modified>
</cp:coreProperties>
</file>