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F9" w:rsidRDefault="001A63F9">
      <w:pPr>
        <w:rPr>
          <w:lang w:val="en-US"/>
        </w:rPr>
      </w:pPr>
    </w:p>
    <w:p w:rsidR="001A63F9" w:rsidRDefault="001A63F9">
      <w:pPr>
        <w:rPr>
          <w:lang w:val="en-US"/>
        </w:rPr>
      </w:pPr>
    </w:p>
    <w:p w:rsidR="001A63F9" w:rsidRDefault="007A263F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4562ED53" wp14:editId="7F3768FB">
            <wp:extent cx="1920240" cy="1319596"/>
            <wp:effectExtent l="0" t="0" r="381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ta 2014-09-15 alle 15.06.32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86" t="7399" r="6804" b="25549"/>
                    <a:stretch/>
                  </pic:blipFill>
                  <pic:spPr bwMode="auto">
                    <a:xfrm>
                      <a:off x="0" y="0"/>
                      <a:ext cx="1922686" cy="13212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A63F9" w:rsidRDefault="001A63F9">
      <w:pPr>
        <w:rPr>
          <w:lang w:val="en-US"/>
        </w:rPr>
      </w:pPr>
    </w:p>
    <w:p w:rsidR="001A63F9" w:rsidRDefault="001A63F9">
      <w:pPr>
        <w:rPr>
          <w:lang w:val="en-US"/>
        </w:rPr>
      </w:pPr>
    </w:p>
    <w:p w:rsidR="001A63F9" w:rsidRDefault="001A63F9">
      <w:pPr>
        <w:rPr>
          <w:lang w:val="en-US"/>
        </w:rPr>
      </w:pPr>
    </w:p>
    <w:p w:rsidR="00E64CB8" w:rsidRPr="003D6B75" w:rsidRDefault="00844CCD">
      <w:pPr>
        <w:rPr>
          <w:lang w:val="en-US"/>
        </w:rPr>
      </w:pPr>
      <w:r>
        <w:rPr>
          <w:lang w:val="en-US"/>
        </w:rPr>
        <w:t xml:space="preserve">1. </w:t>
      </w:r>
      <w:r w:rsidR="003D6B75" w:rsidRPr="003D6B75">
        <w:rPr>
          <w:lang w:val="en-US"/>
        </w:rPr>
        <w:t>TITLE</w:t>
      </w:r>
    </w:p>
    <w:p w:rsidR="00F61866" w:rsidRPr="00844CCD" w:rsidRDefault="006B1B1A">
      <w:pPr>
        <w:rPr>
          <w:b/>
          <w:lang w:val="en-US"/>
        </w:rPr>
      </w:pPr>
      <w:r>
        <w:rPr>
          <w:b/>
          <w:lang w:val="en-US"/>
        </w:rPr>
        <w:t xml:space="preserve">HOSPITALITY PROJECT: </w:t>
      </w:r>
      <w:r w:rsidR="00024006">
        <w:rPr>
          <w:b/>
          <w:lang w:val="en-US"/>
        </w:rPr>
        <w:t>A WAY TO START</w:t>
      </w:r>
      <w:r w:rsidR="002D23E7">
        <w:rPr>
          <w:b/>
          <w:lang w:val="en-US"/>
        </w:rPr>
        <w:t xml:space="preserve"> A NEW LIFE FREE FROM VIOLENCE</w:t>
      </w:r>
    </w:p>
    <w:p w:rsidR="00F61866" w:rsidRDefault="00844CCD">
      <w:pPr>
        <w:rPr>
          <w:lang w:val="en-US"/>
        </w:rPr>
      </w:pPr>
      <w:r>
        <w:rPr>
          <w:lang w:val="en-US"/>
        </w:rPr>
        <w:t xml:space="preserve">2. </w:t>
      </w:r>
      <w:r w:rsidR="00F61866">
        <w:rPr>
          <w:lang w:val="en-US"/>
        </w:rPr>
        <w:t>ABSTRACT</w:t>
      </w:r>
    </w:p>
    <w:p w:rsidR="003A3C3C" w:rsidRDefault="00E64296">
      <w:pPr>
        <w:rPr>
          <w:lang w:val="en-US"/>
        </w:rPr>
      </w:pPr>
      <w:r>
        <w:rPr>
          <w:lang w:val="en-US"/>
        </w:rPr>
        <w:t>For a woma</w:t>
      </w:r>
      <w:r w:rsidR="00D155E7">
        <w:rPr>
          <w:lang w:val="en-US"/>
        </w:rPr>
        <w:t>n who has escaped from home abuse starting a new life means learning</w:t>
      </w:r>
      <w:r w:rsidR="00FB6263">
        <w:rPr>
          <w:lang w:val="en-US"/>
        </w:rPr>
        <w:t xml:space="preserve"> to be independent,</w:t>
      </w:r>
      <w:r w:rsidR="00057A16">
        <w:rPr>
          <w:lang w:val="en-US"/>
        </w:rPr>
        <w:t xml:space="preserve"> both psychologically and </w:t>
      </w:r>
      <w:r w:rsidR="00D155E7">
        <w:rPr>
          <w:lang w:val="en-US"/>
        </w:rPr>
        <w:t>economically.</w:t>
      </w:r>
    </w:p>
    <w:p w:rsidR="00E840D1" w:rsidRDefault="00844CCD">
      <w:pPr>
        <w:rPr>
          <w:lang w:val="en-US"/>
        </w:rPr>
      </w:pPr>
      <w:r>
        <w:rPr>
          <w:lang w:val="en-US"/>
        </w:rPr>
        <w:t xml:space="preserve">3. </w:t>
      </w:r>
      <w:r w:rsidR="003A3C3C">
        <w:rPr>
          <w:lang w:val="en-US"/>
        </w:rPr>
        <w:t>WHY WE CARE</w:t>
      </w:r>
      <w:r w:rsidR="00E840D1">
        <w:rPr>
          <w:lang w:val="en-US"/>
        </w:rPr>
        <w:t xml:space="preserve"> </w:t>
      </w:r>
    </w:p>
    <w:p w:rsidR="00E64296" w:rsidRDefault="00E64296">
      <w:pPr>
        <w:rPr>
          <w:lang w:val="en-US"/>
        </w:rPr>
      </w:pPr>
      <w:r>
        <w:rPr>
          <w:lang w:val="en-US"/>
        </w:rPr>
        <w:t xml:space="preserve">We want </w:t>
      </w:r>
      <w:r w:rsidR="006B1B1A">
        <w:rPr>
          <w:lang w:val="en-US"/>
        </w:rPr>
        <w:t xml:space="preserve">abused </w:t>
      </w:r>
      <w:r>
        <w:rPr>
          <w:lang w:val="en-US"/>
        </w:rPr>
        <w:t>women to take the helm of their life. They are alone, often with no money and no job: w</w:t>
      </w:r>
      <w:r w:rsidR="00FB6263">
        <w:rPr>
          <w:lang w:val="en-US"/>
        </w:rPr>
        <w:t>e help</w:t>
      </w:r>
      <w:r w:rsidR="00057A16">
        <w:rPr>
          <w:lang w:val="en-US"/>
        </w:rPr>
        <w:t xml:space="preserve"> </w:t>
      </w:r>
      <w:r>
        <w:rPr>
          <w:lang w:val="en-US"/>
        </w:rPr>
        <w:t>them</w:t>
      </w:r>
      <w:r w:rsidR="00057A16">
        <w:rPr>
          <w:lang w:val="en-US"/>
        </w:rPr>
        <w:t xml:space="preserve"> </w:t>
      </w:r>
      <w:r w:rsidR="00FB6263">
        <w:rPr>
          <w:lang w:val="en-US"/>
        </w:rPr>
        <w:t xml:space="preserve">regain </w:t>
      </w:r>
      <w:r w:rsidR="00057A16">
        <w:rPr>
          <w:lang w:val="en-US"/>
        </w:rPr>
        <w:t xml:space="preserve">their </w:t>
      </w:r>
      <w:r w:rsidR="00FB6263">
        <w:rPr>
          <w:lang w:val="en-US"/>
        </w:rPr>
        <w:t>dignity</w:t>
      </w:r>
      <w:r w:rsidR="00057A16">
        <w:rPr>
          <w:lang w:val="en-US"/>
        </w:rPr>
        <w:t xml:space="preserve"> and freedom</w:t>
      </w:r>
      <w:r>
        <w:rPr>
          <w:lang w:val="en-US"/>
        </w:rPr>
        <w:t xml:space="preserve"> </w:t>
      </w:r>
      <w:r w:rsidR="00024006">
        <w:rPr>
          <w:lang w:val="en-US"/>
        </w:rPr>
        <w:t>with practical support</w:t>
      </w:r>
      <w:r>
        <w:rPr>
          <w:lang w:val="en-US"/>
        </w:rPr>
        <w:t>.</w:t>
      </w:r>
      <w:r w:rsidR="00057A16">
        <w:rPr>
          <w:lang w:val="en-US"/>
        </w:rPr>
        <w:t xml:space="preserve"> </w:t>
      </w:r>
    </w:p>
    <w:p w:rsidR="00CD58B9" w:rsidRDefault="00844CCD">
      <w:pPr>
        <w:rPr>
          <w:lang w:val="en-US"/>
        </w:rPr>
      </w:pPr>
      <w:r>
        <w:rPr>
          <w:lang w:val="en-US"/>
        </w:rPr>
        <w:t xml:space="preserve">4. </w:t>
      </w:r>
      <w:r w:rsidR="00CD58B9">
        <w:rPr>
          <w:lang w:val="en-US"/>
        </w:rPr>
        <w:t>HOW WE’RE SOLVING THIS</w:t>
      </w:r>
    </w:p>
    <w:p w:rsidR="00F50606" w:rsidRPr="00F50606" w:rsidRDefault="006B1B1A">
      <w:pPr>
        <w:rPr>
          <w:lang w:val="en-US"/>
        </w:rPr>
      </w:pPr>
      <w:r>
        <w:rPr>
          <w:lang w:val="en-US"/>
        </w:rPr>
        <w:t xml:space="preserve">We </w:t>
      </w:r>
      <w:r w:rsidR="00024006">
        <w:rPr>
          <w:lang w:val="en-US"/>
        </w:rPr>
        <w:t>support abused women</w:t>
      </w:r>
      <w:r>
        <w:rPr>
          <w:lang w:val="en-US"/>
        </w:rPr>
        <w:t xml:space="preserve"> </w:t>
      </w:r>
      <w:r w:rsidR="00024006">
        <w:rPr>
          <w:lang w:val="en-US"/>
        </w:rPr>
        <w:t xml:space="preserve">offering them </w:t>
      </w:r>
      <w:r w:rsidR="00E64296">
        <w:rPr>
          <w:lang w:val="en-US"/>
        </w:rPr>
        <w:t>house</w:t>
      </w:r>
      <w:r>
        <w:rPr>
          <w:lang w:val="en-US"/>
        </w:rPr>
        <w:t>s with secret address. If they are unemployed, we cover the house costs and give them the money necessary to make a living.</w:t>
      </w:r>
    </w:p>
    <w:p w:rsidR="00F61866" w:rsidRDefault="00844CCD">
      <w:pPr>
        <w:rPr>
          <w:lang w:val="en-US"/>
        </w:rPr>
      </w:pPr>
      <w:r>
        <w:rPr>
          <w:lang w:val="en-US"/>
        </w:rPr>
        <w:t xml:space="preserve">5. </w:t>
      </w:r>
      <w:r w:rsidR="00CD58B9">
        <w:rPr>
          <w:lang w:val="en-US"/>
        </w:rPr>
        <w:t>THE PROBLEM AND THE COMMUNITY IT AFFECTS</w:t>
      </w:r>
    </w:p>
    <w:p w:rsidR="00CD58B9" w:rsidRPr="00A4045D" w:rsidRDefault="00024006">
      <w:pPr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lang w:val="en-US"/>
        </w:rPr>
        <w:t>Since 1986 CADMI has</w:t>
      </w:r>
      <w:r w:rsidR="006B1B1A">
        <w:rPr>
          <w:lang w:val="en-US"/>
        </w:rPr>
        <w:t xml:space="preserve"> taken care of more than 26,000 abused women and managed more than 600 hospitality project</w:t>
      </w:r>
      <w:r>
        <w:rPr>
          <w:lang w:val="en-US"/>
        </w:rPr>
        <w:t>s in secret houses. An average hospitality project has usually a duration</w:t>
      </w:r>
      <w:r w:rsidR="001D61F2">
        <w:rPr>
          <w:lang w:val="en-US"/>
        </w:rPr>
        <w:t xml:space="preserve"> of six to 12 months. </w:t>
      </w:r>
      <w:r w:rsidR="008C1930">
        <w:rPr>
          <w:lang w:val="en-US"/>
        </w:rPr>
        <w:t xml:space="preserve"> </w:t>
      </w:r>
      <w:r w:rsidR="001D61F2">
        <w:rPr>
          <w:lang w:val="en-US"/>
        </w:rPr>
        <w:t>Bu</w:t>
      </w:r>
      <w:r w:rsidR="008C1930">
        <w:rPr>
          <w:lang w:val="en-US"/>
        </w:rPr>
        <w:t>t the economic crisis</w:t>
      </w:r>
      <w:r w:rsidR="008A14E4">
        <w:rPr>
          <w:lang w:val="en-US"/>
        </w:rPr>
        <w:t xml:space="preserve"> has dramatically reduced employment</w:t>
      </w:r>
      <w:r w:rsidR="001D61F2">
        <w:rPr>
          <w:lang w:val="en-US"/>
        </w:rPr>
        <w:t xml:space="preserve"> opportunities, particularly in Italy where men employment rate is 64,3% and women 46,5%; t</w:t>
      </w:r>
      <w:r w:rsidR="008A14E4">
        <w:rPr>
          <w:lang w:val="en-US"/>
        </w:rPr>
        <w:t>herefore stay</w:t>
      </w:r>
      <w:r w:rsidR="001D61F2">
        <w:rPr>
          <w:lang w:val="en-US"/>
        </w:rPr>
        <w:t>s</w:t>
      </w:r>
      <w:r w:rsidR="008A14E4">
        <w:rPr>
          <w:lang w:val="en-US"/>
        </w:rPr>
        <w:t xml:space="preserve"> ha</w:t>
      </w:r>
      <w:r w:rsidR="001D61F2">
        <w:rPr>
          <w:lang w:val="en-US"/>
        </w:rPr>
        <w:t>ve</w:t>
      </w:r>
      <w:r w:rsidR="008A14E4">
        <w:rPr>
          <w:lang w:val="en-US"/>
        </w:rPr>
        <w:t xml:space="preserve"> become</w:t>
      </w:r>
      <w:r w:rsidR="001D61F2">
        <w:rPr>
          <w:lang w:val="en-US"/>
        </w:rPr>
        <w:t xml:space="preserve"> on average</w:t>
      </w:r>
      <w:r w:rsidR="008A14E4">
        <w:rPr>
          <w:lang w:val="en-US"/>
        </w:rPr>
        <w:t xml:space="preserve"> longer.</w:t>
      </w:r>
    </w:p>
    <w:p w:rsidR="00844CCD" w:rsidRDefault="00844CCD">
      <w:pPr>
        <w:rPr>
          <w:lang w:val="en-US"/>
        </w:rPr>
      </w:pPr>
      <w:r>
        <w:rPr>
          <w:lang w:val="en-US"/>
        </w:rPr>
        <w:t>6. PROJECT GOALS</w:t>
      </w:r>
    </w:p>
    <w:p w:rsidR="00844CCD" w:rsidRDefault="001D61F2">
      <w:pPr>
        <w:rPr>
          <w:lang w:val="en-US"/>
        </w:rPr>
      </w:pPr>
      <w:r>
        <w:rPr>
          <w:lang w:val="en-US"/>
        </w:rPr>
        <w:t>Funding one full year of stay in a secret address house for one abused woman</w:t>
      </w:r>
    </w:p>
    <w:p w:rsidR="00E840D1" w:rsidRDefault="00844CCD">
      <w:pPr>
        <w:rPr>
          <w:lang w:val="en-US"/>
        </w:rPr>
      </w:pPr>
      <w:r>
        <w:rPr>
          <w:lang w:val="en-US"/>
        </w:rPr>
        <w:t>7. WHAT IT ‘LL TAKE TO GET THERE</w:t>
      </w:r>
    </w:p>
    <w:p w:rsidR="003F2DCA" w:rsidRDefault="003F2DCA">
      <w:pPr>
        <w:rPr>
          <w:lang w:val="en-US"/>
        </w:rPr>
      </w:pPr>
      <w:r>
        <w:rPr>
          <w:lang w:val="en-US"/>
        </w:rPr>
        <w:t xml:space="preserve">We need to raise attention </w:t>
      </w:r>
    </w:p>
    <w:p w:rsidR="001D61F2" w:rsidRDefault="001D61F2">
      <w:pPr>
        <w:rPr>
          <w:lang w:val="en-US"/>
        </w:rPr>
      </w:pPr>
    </w:p>
    <w:p w:rsidR="0067115E" w:rsidRDefault="0067115E">
      <w:pPr>
        <w:rPr>
          <w:lang w:val="en-US"/>
        </w:rPr>
      </w:pPr>
      <w:r>
        <w:rPr>
          <w:lang w:val="en-US"/>
        </w:rPr>
        <w:t>8. THE CHANGES WE EXPECT TO ACHIEVE</w:t>
      </w:r>
    </w:p>
    <w:p w:rsidR="0067115E" w:rsidRDefault="0067115E">
      <w:pPr>
        <w:rPr>
          <w:lang w:val="en-US"/>
        </w:rPr>
      </w:pPr>
      <w:r>
        <w:rPr>
          <w:lang w:val="en-US"/>
        </w:rPr>
        <w:t>Having a new apartment available has a simple and direct impact on our commitment: another woman who has</w:t>
      </w:r>
      <w:r w:rsidR="003730E7">
        <w:rPr>
          <w:lang w:val="en-US"/>
        </w:rPr>
        <w:t xml:space="preserve"> come to us looking for help and support will get the opportunity to definitely cut with her past life, get </w:t>
      </w:r>
      <w:r w:rsidR="003730E7">
        <w:rPr>
          <w:lang w:val="en-US"/>
        </w:rPr>
        <w:lastRenderedPageBreak/>
        <w:t>away from a risky relationship, have time to reason out about herself and her history</w:t>
      </w:r>
      <w:r w:rsidR="00A02232">
        <w:rPr>
          <w:lang w:val="en-US"/>
        </w:rPr>
        <w:t xml:space="preserve"> on her own and with our professionals</w:t>
      </w:r>
      <w:r w:rsidR="003730E7">
        <w:rPr>
          <w:lang w:val="en-US"/>
        </w:rPr>
        <w:t xml:space="preserve">, work on her </w:t>
      </w:r>
      <w:proofErr w:type="spellStart"/>
      <w:r w:rsidR="003730E7">
        <w:rPr>
          <w:lang w:val="en-US"/>
        </w:rPr>
        <w:t>self esteem</w:t>
      </w:r>
      <w:proofErr w:type="spellEnd"/>
      <w:r w:rsidR="003730E7">
        <w:rPr>
          <w:lang w:val="en-US"/>
        </w:rPr>
        <w:t xml:space="preserve">, understand what her real wishes are and </w:t>
      </w:r>
      <w:r w:rsidR="00A02232">
        <w:rPr>
          <w:lang w:val="en-US"/>
        </w:rPr>
        <w:t>how strong she is to struggle for them.</w:t>
      </w:r>
    </w:p>
    <w:p w:rsidR="00A02232" w:rsidRDefault="00A02232">
      <w:pPr>
        <w:rPr>
          <w:lang w:val="en-US"/>
        </w:rPr>
      </w:pPr>
      <w:r>
        <w:rPr>
          <w:lang w:val="en-US"/>
        </w:rPr>
        <w:t>9. RISKS AND CHALLENGES</w:t>
      </w:r>
    </w:p>
    <w:p w:rsidR="00A02232" w:rsidRDefault="00A02232">
      <w:pPr>
        <w:rPr>
          <w:lang w:val="en-US"/>
        </w:rPr>
      </w:pPr>
      <w:r>
        <w:rPr>
          <w:lang w:val="en-US"/>
        </w:rPr>
        <w:t xml:space="preserve">We have two different types of challenge: the most important one is to have a real positive impact on the life of the woman we are supporting, enabling her to start a new life. The second one is to let as many women as possible that there is an opportunity for them to back out of violence. But </w:t>
      </w:r>
      <w:r w:rsidR="00A4045D">
        <w:rPr>
          <w:lang w:val="en-US"/>
        </w:rPr>
        <w:t>it’s up to them</w:t>
      </w:r>
      <w:r>
        <w:rPr>
          <w:lang w:val="en-US"/>
        </w:rPr>
        <w:t xml:space="preserve"> to decide that they will not put up with it anymore.</w:t>
      </w:r>
    </w:p>
    <w:p w:rsidR="00844CCD" w:rsidRDefault="00844CCD">
      <w:pPr>
        <w:rPr>
          <w:lang w:val="en-US"/>
        </w:rPr>
      </w:pPr>
    </w:p>
    <w:p w:rsidR="00844CCD" w:rsidRDefault="00844CCD">
      <w:pPr>
        <w:rPr>
          <w:lang w:val="en-US"/>
        </w:rPr>
      </w:pPr>
    </w:p>
    <w:tbl>
      <w:tblPr>
        <w:tblW w:w="7635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9"/>
        <w:gridCol w:w="2126"/>
      </w:tblGrid>
      <w:tr w:rsidR="007A263F" w:rsidRPr="00596873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263F" w:rsidRPr="007A263F" w:rsidRDefault="007A263F" w:rsidP="00540F46">
            <w:pPr>
              <w:spacing w:after="0" w:line="240" w:lineRule="auto"/>
              <w:rPr>
                <w:b/>
                <w:lang w:val="en-US"/>
              </w:rPr>
            </w:pPr>
            <w:r w:rsidRPr="007A263F">
              <w:rPr>
                <w:b/>
                <w:lang w:val="en-US"/>
              </w:rPr>
              <w:t>ITEM</w:t>
            </w:r>
          </w:p>
        </w:tc>
        <w:tc>
          <w:tcPr>
            <w:tcW w:w="2126" w:type="dxa"/>
          </w:tcPr>
          <w:p w:rsidR="007A263F" w:rsidRPr="00C43EAA" w:rsidRDefault="007A263F" w:rsidP="00540F46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7A263F" w:rsidRPr="00596873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63F" w:rsidRPr="00C43EAA" w:rsidRDefault="007A263F" w:rsidP="00540F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Hospitality operator and psychologist for one year</w:t>
            </w:r>
          </w:p>
        </w:tc>
        <w:tc>
          <w:tcPr>
            <w:tcW w:w="2126" w:type="dxa"/>
          </w:tcPr>
          <w:p w:rsidR="007A263F" w:rsidRPr="00C43EAA" w:rsidRDefault="007A263F" w:rsidP="007A263F">
            <w:pPr>
              <w:spacing w:after="0" w:line="240" w:lineRule="auto"/>
              <w:jc w:val="right"/>
              <w:rPr>
                <w:lang w:val="en-US"/>
              </w:rPr>
            </w:pPr>
            <w:r w:rsidRPr="00C43EAA">
              <w:rPr>
                <w:lang w:val="en-US"/>
              </w:rPr>
              <w:t xml:space="preserve">$ </w:t>
            </w:r>
            <w:r>
              <w:rPr>
                <w:lang w:val="en-US"/>
              </w:rPr>
              <w:t>4,760</w:t>
            </w:r>
          </w:p>
        </w:tc>
      </w:tr>
      <w:tr w:rsidR="005A7D52" w:rsidRPr="00C43EAA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5A7D52" w:rsidRPr="005A7D52" w:rsidRDefault="005A7D52" w:rsidP="005A7D52">
            <w:pPr>
              <w:rPr>
                <w:lang w:val="en-US"/>
              </w:rPr>
            </w:pPr>
            <w:r w:rsidRPr="005A7D52">
              <w:rPr>
                <w:lang w:val="en-US"/>
              </w:rPr>
              <w:t>Rent and condominium costs (one year)</w:t>
            </w:r>
          </w:p>
        </w:tc>
        <w:tc>
          <w:tcPr>
            <w:tcW w:w="2126" w:type="dxa"/>
          </w:tcPr>
          <w:p w:rsidR="005A7D52" w:rsidRPr="00C43EAA" w:rsidRDefault="005A7D52" w:rsidP="005A7D5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 xml:space="preserve">$ </w:t>
            </w:r>
            <w:r>
              <w:rPr>
                <w:lang w:val="en-US"/>
              </w:rPr>
              <w:t>2,500</w:t>
            </w:r>
          </w:p>
        </w:tc>
      </w:tr>
      <w:tr w:rsidR="007A263F" w:rsidRPr="005A7D52" w:rsidTr="005A7D52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263F" w:rsidRPr="005A7D52" w:rsidRDefault="005A7D52" w:rsidP="00540F46">
            <w:pPr>
              <w:rPr>
                <w:lang w:val="en-US"/>
              </w:rPr>
            </w:pPr>
            <w:r w:rsidRPr="005A7D52">
              <w:rPr>
                <w:lang w:val="en-US"/>
              </w:rPr>
              <w:t>Power and gas (one year)</w:t>
            </w:r>
          </w:p>
        </w:tc>
        <w:tc>
          <w:tcPr>
            <w:tcW w:w="2126" w:type="dxa"/>
          </w:tcPr>
          <w:p w:rsidR="007A263F" w:rsidRPr="00C43EAA" w:rsidRDefault="005A7D52" w:rsidP="005A7D5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$ 800</w:t>
            </w:r>
          </w:p>
        </w:tc>
      </w:tr>
      <w:tr w:rsidR="007A263F" w:rsidRPr="005A7D52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63F" w:rsidRPr="00C43EAA" w:rsidRDefault="005A7D52" w:rsidP="00540F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House insurance (one year)</w:t>
            </w:r>
          </w:p>
        </w:tc>
        <w:tc>
          <w:tcPr>
            <w:tcW w:w="2126" w:type="dxa"/>
          </w:tcPr>
          <w:p w:rsidR="007A263F" w:rsidRPr="00C43EAA" w:rsidRDefault="005A7D52" w:rsidP="00540F46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$ 340</w:t>
            </w:r>
          </w:p>
        </w:tc>
      </w:tr>
      <w:tr w:rsidR="007A263F" w:rsidRPr="00C43EAA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7A263F" w:rsidRPr="007324F3" w:rsidRDefault="005A7D52" w:rsidP="00540F46">
            <w:pPr>
              <w:spacing w:after="0" w:line="240" w:lineRule="auto"/>
            </w:pPr>
            <w:r>
              <w:t xml:space="preserve">Pocket </w:t>
            </w:r>
            <w:proofErr w:type="spellStart"/>
            <w:r>
              <w:t>money</w:t>
            </w:r>
            <w:proofErr w:type="spellEnd"/>
            <w:r>
              <w:t xml:space="preserve"> (</w:t>
            </w:r>
            <w:proofErr w:type="spellStart"/>
            <w:r>
              <w:t>one</w:t>
            </w:r>
            <w:proofErr w:type="spellEnd"/>
            <w:r>
              <w:t xml:space="preserve"> </w:t>
            </w:r>
            <w:proofErr w:type="spellStart"/>
            <w:r>
              <w:t>year</w:t>
            </w:r>
            <w:proofErr w:type="spellEnd"/>
            <w:r>
              <w:t>)</w:t>
            </w:r>
          </w:p>
        </w:tc>
        <w:tc>
          <w:tcPr>
            <w:tcW w:w="2126" w:type="dxa"/>
          </w:tcPr>
          <w:p w:rsidR="007A263F" w:rsidRPr="00C43EAA" w:rsidRDefault="005A7D52" w:rsidP="005A7D5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$ 4,100</w:t>
            </w:r>
          </w:p>
        </w:tc>
      </w:tr>
      <w:tr w:rsidR="007A263F" w:rsidRPr="00C43EAA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263F" w:rsidRDefault="007A263F" w:rsidP="00540F46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2126" w:type="dxa"/>
          </w:tcPr>
          <w:p w:rsidR="007A263F" w:rsidRDefault="007A263F" w:rsidP="00540F46">
            <w:pPr>
              <w:spacing w:after="0" w:line="240" w:lineRule="auto"/>
              <w:jc w:val="right"/>
              <w:rPr>
                <w:lang w:val="en-US"/>
              </w:rPr>
            </w:pPr>
          </w:p>
        </w:tc>
      </w:tr>
      <w:tr w:rsidR="007A263F" w:rsidRPr="00C43EAA" w:rsidTr="00540F46">
        <w:trPr>
          <w:trHeight w:val="300"/>
        </w:trPr>
        <w:tc>
          <w:tcPr>
            <w:tcW w:w="5509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A263F" w:rsidRDefault="007A263F" w:rsidP="00540F46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TOTAL</w:t>
            </w:r>
          </w:p>
        </w:tc>
        <w:tc>
          <w:tcPr>
            <w:tcW w:w="2126" w:type="dxa"/>
          </w:tcPr>
          <w:p w:rsidR="007A263F" w:rsidRDefault="007A263F" w:rsidP="005A7D52">
            <w:pPr>
              <w:spacing w:after="0" w:line="240" w:lineRule="auto"/>
              <w:jc w:val="right"/>
              <w:rPr>
                <w:lang w:val="en-US"/>
              </w:rPr>
            </w:pPr>
            <w:r>
              <w:rPr>
                <w:lang w:val="en-US"/>
              </w:rPr>
              <w:t>$</w:t>
            </w:r>
            <w:r w:rsidR="005A7D52">
              <w:rPr>
                <w:lang w:val="en-US"/>
              </w:rPr>
              <w:t xml:space="preserve"> 12,500</w:t>
            </w:r>
            <w:r>
              <w:rPr>
                <w:lang w:val="en-US"/>
              </w:rPr>
              <w:t xml:space="preserve"> </w:t>
            </w:r>
          </w:p>
        </w:tc>
      </w:tr>
    </w:tbl>
    <w:p w:rsidR="00F61866" w:rsidRPr="003D6B75" w:rsidRDefault="00F61866">
      <w:pPr>
        <w:rPr>
          <w:lang w:val="en-US"/>
        </w:rPr>
      </w:pPr>
      <w:bookmarkStart w:id="0" w:name="_GoBack"/>
      <w:bookmarkEnd w:id="0"/>
    </w:p>
    <w:sectPr w:rsidR="00F61866" w:rsidRPr="003D6B7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B75"/>
    <w:rsid w:val="00024006"/>
    <w:rsid w:val="00057A16"/>
    <w:rsid w:val="001A63F9"/>
    <w:rsid w:val="001D61F2"/>
    <w:rsid w:val="002D23E7"/>
    <w:rsid w:val="003730E7"/>
    <w:rsid w:val="003833F1"/>
    <w:rsid w:val="003A3C3C"/>
    <w:rsid w:val="003D6B75"/>
    <w:rsid w:val="003F2DCA"/>
    <w:rsid w:val="00590419"/>
    <w:rsid w:val="005A7D52"/>
    <w:rsid w:val="005E663A"/>
    <w:rsid w:val="0067115E"/>
    <w:rsid w:val="006B1B1A"/>
    <w:rsid w:val="007A263F"/>
    <w:rsid w:val="00844CCD"/>
    <w:rsid w:val="008A14E4"/>
    <w:rsid w:val="008C1930"/>
    <w:rsid w:val="008D303B"/>
    <w:rsid w:val="00A02232"/>
    <w:rsid w:val="00A4045D"/>
    <w:rsid w:val="00C92989"/>
    <w:rsid w:val="00CD58B9"/>
    <w:rsid w:val="00D155E7"/>
    <w:rsid w:val="00D20180"/>
    <w:rsid w:val="00D90347"/>
    <w:rsid w:val="00DD342C"/>
    <w:rsid w:val="00E47B7F"/>
    <w:rsid w:val="00E64296"/>
    <w:rsid w:val="00E840D1"/>
    <w:rsid w:val="00F50606"/>
    <w:rsid w:val="00F61866"/>
    <w:rsid w:val="00FB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B14B3-8A52-476D-88F4-C35C1DEDF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6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26060-0BAF-42C1-A63D-15F5CEA1D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Publicis Groupe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Zaco</dc:creator>
  <cp:keywords/>
  <dc:description/>
  <cp:lastModifiedBy>Elena Zaco</cp:lastModifiedBy>
  <cp:revision>5</cp:revision>
  <dcterms:created xsi:type="dcterms:W3CDTF">2014-09-17T10:41:00Z</dcterms:created>
  <dcterms:modified xsi:type="dcterms:W3CDTF">2015-02-24T15:49:00Z</dcterms:modified>
</cp:coreProperties>
</file>