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5A" w:rsidRPr="002C0C5A" w:rsidRDefault="002C0C5A" w:rsidP="002C0C5A">
      <w:pPr>
        <w:jc w:val="center"/>
        <w:rPr>
          <w:rFonts w:cs="Times New Roman"/>
          <w:color w:val="000000"/>
          <w:sz w:val="26"/>
          <w:szCs w:val="26"/>
          <w:lang w:bidi="ar-SA"/>
        </w:rPr>
      </w:pPr>
      <w:r w:rsidRPr="002C0C5A">
        <w:rPr>
          <w:rFonts w:ascii="Arial" w:hAnsi="Arial" w:cs="Arial"/>
          <w:b/>
          <w:bCs/>
          <w:color w:val="000000"/>
          <w:sz w:val="26"/>
          <w:szCs w:val="26"/>
          <w:lang w:bidi="ar-SA"/>
        </w:rPr>
        <w:t xml:space="preserve">Conversion of the </w:t>
      </w:r>
      <w:proofErr w:type="spellStart"/>
      <w:r w:rsidRPr="002C0C5A">
        <w:rPr>
          <w:rFonts w:ascii="Arial" w:hAnsi="Arial" w:cs="Arial"/>
          <w:b/>
          <w:bCs/>
          <w:color w:val="000000"/>
          <w:sz w:val="26"/>
          <w:szCs w:val="26"/>
          <w:lang w:bidi="ar-SA"/>
        </w:rPr>
        <w:t>day</w:t>
      </w:r>
      <w:proofErr w:type="spellEnd"/>
      <w:r w:rsidRPr="002C0C5A">
        <w:rPr>
          <w:rFonts w:ascii="Arial" w:hAnsi="Arial" w:cs="Arial"/>
          <w:b/>
          <w:bCs/>
          <w:color w:val="000000"/>
          <w:sz w:val="26"/>
          <w:szCs w:val="26"/>
          <w:lang w:bidi="ar-SA"/>
        </w:rPr>
        <w:t xml:space="preserve"> center in Metz (57)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 </w:t>
      </w:r>
    </w:p>
    <w:p w:rsidR="002C0C5A" w:rsidRPr="002C0C5A" w:rsidRDefault="00594E2B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Support for people o</w:t>
      </w:r>
      <w:r w:rsidR="002C0C5A"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n the </w:t>
      </w:r>
      <w:proofErr w:type="spellStart"/>
      <w:r w:rsidR="002C0C5A"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street</w:t>
      </w:r>
      <w:proofErr w:type="spellEnd"/>
      <w:r w:rsidR="002C0C5A"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 : </w:t>
      </w:r>
      <w:proofErr w:type="spellStart"/>
      <w:r w:rsidR="002C0C5A"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our</w:t>
      </w:r>
      <w:proofErr w:type="spellEnd"/>
      <w:r w:rsidR="002C0C5A"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mode of action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diversity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</w:t>
      </w:r>
      <w:r w:rsidR="00594E2B">
        <w:rPr>
          <w:rFonts w:ascii="Arial" w:hAnsi="Arial" w:cs="Arial"/>
          <w:color w:val="000000"/>
          <w:sz w:val="22"/>
          <w:szCs w:val="22"/>
          <w:lang w:bidi="ar-SA"/>
        </w:rPr>
        <w:t xml:space="preserve">ctions </w:t>
      </w:r>
      <w:proofErr w:type="spellStart"/>
      <w:r w:rsidR="00594E2B">
        <w:rPr>
          <w:rFonts w:ascii="Arial" w:hAnsi="Arial" w:cs="Arial"/>
          <w:color w:val="000000"/>
          <w:sz w:val="22"/>
          <w:szCs w:val="22"/>
          <w:lang w:bidi="ar-SA"/>
        </w:rPr>
        <w:t>carried</w:t>
      </w:r>
      <w:proofErr w:type="spellEnd"/>
      <w:r w:rsidR="00594E2B">
        <w:rPr>
          <w:rFonts w:ascii="Arial" w:hAnsi="Arial" w:cs="Arial"/>
          <w:color w:val="000000"/>
          <w:sz w:val="22"/>
          <w:szCs w:val="22"/>
          <w:lang w:bidi="ar-SA"/>
        </w:rPr>
        <w:t xml:space="preserve"> out </w:t>
      </w:r>
      <w:proofErr w:type="spellStart"/>
      <w:r w:rsidR="00594E2B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="00594E2B">
        <w:rPr>
          <w:rFonts w:ascii="Arial" w:hAnsi="Arial" w:cs="Arial"/>
          <w:color w:val="000000"/>
          <w:sz w:val="22"/>
          <w:szCs w:val="22"/>
          <w:lang w:bidi="ar-SA"/>
        </w:rPr>
        <w:t xml:space="preserve"> people o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responds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both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diversity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situations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encountered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what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possible to do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locally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actions are in addition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responses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provided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associative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or by the public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authorities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To best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respond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distress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very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excluded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teams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field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have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deployed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several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modes of action :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proofErr w:type="spellStart"/>
      <w:r w:rsidR="00594E2B">
        <w:rPr>
          <w:rFonts w:ascii="Arial" w:hAnsi="Arial" w:cs="Arial"/>
          <w:color w:val="000000"/>
          <w:sz w:val="22"/>
          <w:szCs w:val="22"/>
          <w:lang w:bidi="ar-SA"/>
        </w:rPr>
        <w:t>Work</w:t>
      </w:r>
      <w:proofErr w:type="spellEnd"/>
      <w:r w:rsidR="00594E2B">
        <w:rPr>
          <w:rFonts w:ascii="Arial" w:hAnsi="Arial" w:cs="Arial"/>
          <w:color w:val="000000"/>
          <w:sz w:val="22"/>
          <w:szCs w:val="22"/>
          <w:lang w:bidi="ar-SA"/>
        </w:rPr>
        <w:t xml:space="preserve"> i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 :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present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on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do not or no longer attend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usual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accommodation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facilities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,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Day care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centers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 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listening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, guidance and, as far as possible, long-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term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support,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Accommodation 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Since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1990, the management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large establishments has been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entruste</w:t>
      </w:r>
      <w:r w:rsidR="00AA2565">
        <w:rPr>
          <w:rFonts w:ascii="Arial" w:hAnsi="Arial" w:cs="Arial"/>
          <w:color w:val="000000"/>
          <w:sz w:val="22"/>
          <w:szCs w:val="22"/>
          <w:lang w:bidi="ar-SA"/>
        </w:rPr>
        <w:t>d</w:t>
      </w:r>
      <w:proofErr w:type="spellEnd"/>
      <w:r w:rsidR="00AA2565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="00AA2565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="00AA2565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="00AA2565">
        <w:rPr>
          <w:rFonts w:ascii="Arial" w:hAnsi="Arial" w:cs="Arial"/>
          <w:color w:val="000000"/>
          <w:sz w:val="22"/>
          <w:szCs w:val="22"/>
          <w:lang w:bidi="ar-SA"/>
        </w:rPr>
        <w:t>daughter</w:t>
      </w:r>
      <w:proofErr w:type="spellEnd"/>
      <w:r w:rsidR="00AA2565">
        <w:rPr>
          <w:rFonts w:ascii="Arial" w:hAnsi="Arial" w:cs="Arial"/>
          <w:color w:val="000000"/>
          <w:sz w:val="22"/>
          <w:szCs w:val="22"/>
          <w:lang w:bidi="ar-SA"/>
        </w:rPr>
        <w:t xml:space="preserve"> association, Cités Caritas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Since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Secours Catholique has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continued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manage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many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accommodation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facilities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lower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capacity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(on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average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10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).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Three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benchmarks guide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actions: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Go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towards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identify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present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alongside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do not or no longer attend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usual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systems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,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Adapt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interventions by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always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seeking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reciprocal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over time, if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necessary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;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Indeed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the exchanges and the sharing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experience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between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richness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which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should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allow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each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met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actor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change,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Cope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facilitate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expression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people's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potential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taking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account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real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needs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expressed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or not), no longer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looking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at people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dark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through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lacks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solidarity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expressed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teams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civic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corresponds to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desire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openness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others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particular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most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disadvantaged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aim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building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together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fraternal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just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society. Our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teams are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professionals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link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decline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range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modes: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personalized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friendly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collective setting, or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through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discussions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listening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gives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full place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informal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);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Participatory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activities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allow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collective expression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reinvigorate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each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;</w:t>
      </w:r>
    </w:p>
    <w:p w:rsidR="002C0C5A" w:rsidRPr="002C0C5A" w:rsidRDefault="002C0C5A" w:rsidP="002C0C5A">
      <w:pPr>
        <w:ind w:left="709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Individual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support, over time if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necessary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formal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objectives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shared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between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support and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supported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rights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but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also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individual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projects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involvement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necessary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accompanying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works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r w:rsidR="00594E2B">
        <w:rPr>
          <w:rFonts w:ascii="Arial" w:hAnsi="Arial" w:cs="Arial"/>
          <w:color w:val="000000"/>
          <w:sz w:val="22"/>
          <w:szCs w:val="22"/>
          <w:lang w:bidi="ar-SA"/>
        </w:rPr>
        <w:t>in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gram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</w:t>
      </w:r>
      <w:proofErr w:type="gram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team.</w:t>
      </w:r>
    </w:p>
    <w:p w:rsidR="002C0C5A" w:rsidRPr="002C0C5A" w:rsidRDefault="002C0C5A" w:rsidP="002C0C5A">
      <w:pPr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Focus on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care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centers</w:t>
      </w:r>
      <w:proofErr w:type="spellEnd"/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small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rural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communities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 in medium-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sized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towns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large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urban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areas, Secours Catholique has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created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places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first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support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various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requests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people on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order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facilitate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daily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lives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More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70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centers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 open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throughout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France. In Paris, Avignon, 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even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Marseille</w:t>
      </w:r>
      <w:r w:rsidR="00594E2B">
        <w:rPr>
          <w:rFonts w:ascii="Arial" w:hAnsi="Arial" w:cs="Arial"/>
          <w:color w:val="000000"/>
          <w:sz w:val="22"/>
          <w:szCs w:val="22"/>
          <w:lang w:bidi="ar-SA"/>
        </w:rPr>
        <w:t>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find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landmarks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friendly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It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begins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listening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guidance,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sometimes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extends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long-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term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support to help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rights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domiciliation,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search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accommodation,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procedures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benefit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social services ... At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lastRenderedPageBreak/>
        <w:t>same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time,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services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showers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dry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cleaning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),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various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cultural,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educational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sports workshops.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AA2565" w:rsidP="002C0C5A">
      <w:pPr>
        <w:jc w:val="center"/>
        <w:rPr>
          <w:rFonts w:cs="Times New Roman"/>
          <w:color w:val="000000"/>
          <w:sz w:val="22"/>
          <w:szCs w:val="22"/>
          <w:lang w:bidi="ar-SA"/>
        </w:rPr>
      </w:pPr>
      <w:r w:rsidRPr="005D7364">
        <w:rPr>
          <w:rFonts w:ascii="Arial" w:hAnsi="Arial"/>
          <w:bCs/>
          <w:noProof/>
          <w:sz w:val="22"/>
          <w:szCs w:val="22"/>
          <w:lang w:bidi="ar-SA"/>
        </w:rPr>
        <w:drawing>
          <wp:inline distT="0" distB="0" distL="0" distR="0" wp14:anchorId="6D9B5C19" wp14:editId="7C291AF2">
            <wp:extent cx="3543300" cy="2362200"/>
            <wp:effectExtent l="0" t="0" r="0" b="0"/>
            <wp:docPr id="5" name="Image 1" descr="fr_1628_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_1628_0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5A" w:rsidRPr="002C0C5A" w:rsidRDefault="002C0C5A" w:rsidP="002C0C5A">
      <w:pPr>
        <w:jc w:val="center"/>
        <w:rPr>
          <w:rFonts w:cs="Times New Roman"/>
          <w:color w:val="000000"/>
          <w:sz w:val="20"/>
          <w:szCs w:val="20"/>
          <w:lang w:bidi="ar-SA"/>
        </w:rPr>
      </w:pPr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 xml:space="preserve">Breakfast at the </w:t>
      </w:r>
      <w:proofErr w:type="spellStart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day</w:t>
      </w:r>
      <w:proofErr w:type="spellEnd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 xml:space="preserve"> center in Metz : “ </w:t>
      </w:r>
      <w:proofErr w:type="spellStart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Eating</w:t>
      </w:r>
      <w:proofErr w:type="spellEnd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with</w:t>
      </w:r>
      <w:proofErr w:type="spellEnd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others</w:t>
      </w:r>
      <w:proofErr w:type="spellEnd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is</w:t>
      </w:r>
      <w:proofErr w:type="spellEnd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already</w:t>
      </w:r>
      <w:proofErr w:type="spellEnd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progress</w:t>
      </w:r>
      <w:proofErr w:type="spellEnd"/>
      <w:r w:rsidRPr="002C0C5A">
        <w:rPr>
          <w:rFonts w:ascii="Arial" w:hAnsi="Arial" w:cs="Arial"/>
          <w:i/>
          <w:iCs/>
          <w:color w:val="000000"/>
          <w:sz w:val="20"/>
          <w:szCs w:val="20"/>
          <w:lang w:bidi="ar-SA"/>
        </w:rPr>
        <w:t> ! "   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often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landmark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people in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wandering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situation.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Even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event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temporary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break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loyalty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principle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facilitate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meetings,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trust. Day care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centers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 fertile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ground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considering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always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delicate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transition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informal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formal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one-off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scheduled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thought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through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over time. It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becomes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possible to set out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together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Jean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Rodhain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care center in Metz (57)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Located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heights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Metz, in the city center, the Jean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Rodhain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center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one of the 70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centers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Secours Catholique in France.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Created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1984,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three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poles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: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A catering center, 5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days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a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week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in addition to the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traditional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breakfast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offered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in the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other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centers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, a “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homemade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 xml:space="preserve">” </w:t>
      </w:r>
      <w:proofErr w:type="spellStart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meal</w:t>
      </w:r>
      <w:proofErr w:type="spellEnd"/>
      <w:r w:rsidR="00D72814" w:rsidRPr="00D72814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 support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rights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center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without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forgetting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hygiene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3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showers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).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 collective actions center for social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remobilization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expression workshops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games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football,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cinema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exhibitions) and cultural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leisure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workshops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speaking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painting,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writing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).</w:t>
      </w:r>
    </w:p>
    <w:p w:rsidR="00D72814" w:rsidRDefault="00D72814" w:rsidP="002C0C5A">
      <w:pPr>
        <w:jc w:val="both"/>
        <w:rPr>
          <w:rFonts w:ascii="Arial" w:hAnsi="Arial" w:cs="Arial"/>
          <w:color w:val="000000"/>
          <w:sz w:val="22"/>
          <w:szCs w:val="22"/>
          <w:lang w:bidi="ar-SA"/>
        </w:rPr>
      </w:pP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It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real </w:t>
      </w:r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living and sharing place 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where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you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many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nationalities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The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all have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common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difficult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precarious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even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marginal, living situation. For breakfasts,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many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show up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after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night in </w:t>
      </w:r>
      <w:proofErr w:type="gram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</w:t>
      </w:r>
      <w:proofErr w:type="gram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squat or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in a car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cellar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stairwell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or a garage.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Day care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activities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have been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heavily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impacted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the confinements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that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punctuated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2020 and 2021.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However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despite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context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exceptional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health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crisis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care has not, at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any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time,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ceased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actions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most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destitute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reinventing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methods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care.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In addition,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linked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health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crisis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noted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: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huge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decrease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number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arrivals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seeking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asylum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Moselle</w:t>
      </w:r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(55)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lastRenderedPageBreak/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closure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social restaurant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since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March 16, 2020,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establishment of a binding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health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protocol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limiting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number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people in the structure,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decrease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number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due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age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health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problems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/ or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wanted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withd</w:t>
      </w:r>
      <w:r w:rsidR="00D72814">
        <w:rPr>
          <w:rFonts w:ascii="Arial" w:hAnsi="Arial" w:cs="Arial"/>
          <w:color w:val="000000"/>
          <w:sz w:val="22"/>
          <w:szCs w:val="22"/>
          <w:lang w:bidi="ar-SA"/>
        </w:rPr>
        <w:t>raw</w:t>
      </w:r>
      <w:proofErr w:type="spellEnd"/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; the </w:t>
      </w:r>
      <w:proofErr w:type="spellStart"/>
      <w:r w:rsidR="00D72814">
        <w:rPr>
          <w:rFonts w:ascii="Arial" w:hAnsi="Arial" w:cs="Arial"/>
          <w:color w:val="000000"/>
          <w:sz w:val="22"/>
          <w:szCs w:val="22"/>
          <w:lang w:bidi="ar-SA"/>
        </w:rPr>
        <w:t>number</w:t>
      </w:r>
      <w:proofErr w:type="spellEnd"/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="00D72814">
        <w:rPr>
          <w:rFonts w:ascii="Arial" w:hAnsi="Arial" w:cs="Arial"/>
          <w:color w:val="000000"/>
          <w:sz w:val="22"/>
          <w:szCs w:val="22"/>
          <w:lang w:bidi="ar-SA"/>
        </w:rPr>
        <w:t>volunteers</w:t>
      </w:r>
      <w:proofErr w:type="spellEnd"/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="00D72814">
        <w:rPr>
          <w:rFonts w:ascii="Arial" w:hAnsi="Arial" w:cs="Arial"/>
          <w:color w:val="000000"/>
          <w:sz w:val="22"/>
          <w:szCs w:val="22"/>
          <w:lang w:bidi="ar-SA"/>
        </w:rPr>
        <w:t>de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creased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75 to 25.</w:t>
      </w:r>
    </w:p>
    <w:p w:rsidR="00D72814" w:rsidRDefault="00D72814" w:rsidP="002C0C5A">
      <w:pPr>
        <w:jc w:val="both"/>
        <w:rPr>
          <w:rFonts w:ascii="Arial" w:hAnsi="Arial" w:cs="Arial"/>
          <w:color w:val="000000"/>
          <w:sz w:val="22"/>
          <w:szCs w:val="22"/>
          <w:lang w:bidi="ar-SA"/>
        </w:rPr>
      </w:pP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collective workshops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largely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impacted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forced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shutdown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an interruption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several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months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To date,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collective workshops have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resumed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observation of a drop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attendance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but all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same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desire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continue to move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forward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together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recreate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links. The isolation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that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impacted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us all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proves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essential nature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living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spaces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places of speech.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202</w:t>
      </w:r>
      <w:r w:rsidR="00AA2565">
        <w:rPr>
          <w:rFonts w:ascii="Arial" w:hAnsi="Arial" w:cs="Arial"/>
          <w:color w:val="000000"/>
          <w:sz w:val="22"/>
          <w:szCs w:val="22"/>
          <w:lang w:bidi="ar-SA"/>
        </w:rPr>
        <w:t>0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886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at the Jean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Rodhain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The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emergence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of a new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where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people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are </w:t>
      </w:r>
      <w:proofErr w:type="spellStart"/>
      <w:r w:rsidRPr="002C0C5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actors</w:t>
      </w:r>
      <w:proofErr w:type="spellEnd"/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Since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1984, Secours Catholique has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rented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premises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which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carries out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work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at 9 rue de la Glacière in Metz.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premises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now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dilapidated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unsuitable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small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In addition,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owner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property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decided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care center must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therefore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leave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premises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before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June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30, 2022 at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latest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Secours Catholique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delegation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wishes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take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advantage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imposed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change of location,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new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where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all local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(associations, public,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private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)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make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skills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available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new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project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?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Our future place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the Maison des Solidarités,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on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isolated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people, men 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women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often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great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precariousness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migrants,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</w:t>
      </w:r>
      <w:r w:rsidR="00D72814">
        <w:rPr>
          <w:rFonts w:ascii="Arial" w:hAnsi="Arial" w:cs="Arial"/>
          <w:color w:val="000000"/>
          <w:sz w:val="22"/>
          <w:szCs w:val="22"/>
          <w:lang w:bidi="ar-SA"/>
        </w:rPr>
        <w:t>ewcomers</w:t>
      </w:r>
      <w:proofErr w:type="spellEnd"/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, people </w:t>
      </w:r>
      <w:proofErr w:type="spellStart"/>
      <w:r w:rsidR="00D72814">
        <w:rPr>
          <w:rFonts w:ascii="Arial" w:hAnsi="Arial" w:cs="Arial"/>
          <w:color w:val="000000"/>
          <w:sz w:val="22"/>
          <w:szCs w:val="22"/>
          <w:lang w:bidi="ar-SA"/>
        </w:rPr>
        <w:t>seeking</w:t>
      </w:r>
      <w:proofErr w:type="spellEnd"/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="00D72814">
        <w:rPr>
          <w:rFonts w:ascii="Arial" w:hAnsi="Arial" w:cs="Arial"/>
          <w:color w:val="000000"/>
          <w:sz w:val="22"/>
          <w:szCs w:val="22"/>
          <w:lang w:bidi="ar-SA"/>
        </w:rPr>
        <w:t>asylum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awaiting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regularization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breach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rights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following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accidents ...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place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intended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unconditional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benevolent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warm,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family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human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place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above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all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intended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have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suffered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breaks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lives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 in pain,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have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fallen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various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addictions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find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place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settle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down and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rebuild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A place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listening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, support, networking, guidance ...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Of course,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possible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find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basic services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such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showers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laundry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a catering service (breakfast and lunch) but the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also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benefit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personalized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support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participat</w:t>
      </w:r>
      <w:r w:rsidR="00D72814">
        <w:rPr>
          <w:rFonts w:ascii="Arial" w:hAnsi="Arial" w:cs="Arial"/>
          <w:color w:val="000000"/>
          <w:sz w:val="22"/>
          <w:szCs w:val="22"/>
          <w:lang w:bidi="ar-SA"/>
        </w:rPr>
        <w:t>e</w:t>
      </w:r>
      <w:proofErr w:type="spellEnd"/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="00D72814">
        <w:rPr>
          <w:rFonts w:ascii="Arial" w:hAnsi="Arial" w:cs="Arial"/>
          <w:color w:val="000000"/>
          <w:sz w:val="22"/>
          <w:szCs w:val="22"/>
          <w:lang w:bidi="ar-SA"/>
        </w:rPr>
        <w:t>remobilization</w:t>
      </w:r>
      <w:proofErr w:type="spellEnd"/>
      <w:r w:rsidR="00D72814">
        <w:rPr>
          <w:rFonts w:ascii="Arial" w:hAnsi="Arial" w:cs="Arial"/>
          <w:color w:val="000000"/>
          <w:sz w:val="22"/>
          <w:szCs w:val="22"/>
          <w:lang w:bidi="ar-SA"/>
        </w:rPr>
        <w:t xml:space="preserve"> workshops.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 This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involves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80 people per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average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ambition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able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actions on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atypical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schedules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also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at the end of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afternoon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evening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on weekends 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soon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 the teams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formed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It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considered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respond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a long-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identified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on Saturday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noon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or Sunday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noon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It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possible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groups made up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actors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different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associations,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different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neighborhoods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different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horizons)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ready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enter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Secours Catholique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organize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It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possible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allow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solidarity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engagement of new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actors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working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on time slots compatible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job.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Finally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by all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which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Secours Catholique has been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working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several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years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Metz : UDAF 57, CCAS, Médecins du Monde, AIEM, CMSEA, RESAM associations, etc. The objective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allow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associative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find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such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such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lastRenderedPageBreak/>
        <w:t>person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accompanied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either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consultation meetings,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assemblies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conferences-debates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It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also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planned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explore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CCAS of the City of Metz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possibility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imagining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strengthened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innovative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project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: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proofErr w:type="spellStart"/>
      <w:r w:rsidR="00D72814">
        <w:rPr>
          <w:rFonts w:ascii="Arial" w:hAnsi="Arial" w:cs="Arial"/>
          <w:color w:val="000000"/>
          <w:sz w:val="22"/>
          <w:szCs w:val="22"/>
          <w:lang w:bidi="ar-SA"/>
        </w:rPr>
        <w:t>Empowering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The new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daytime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Secours Catholique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based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mobilization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themselves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space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life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that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meets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basic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needs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people on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Shared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governance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The social life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council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Accueil de Jour,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steering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body of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area,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made up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equal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numbers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volunteers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15 social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remobilization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workshops</w:t>
      </w:r>
      <w:bookmarkStart w:id="0" w:name="_GoBack"/>
      <w:bookmarkEnd w:id="0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(catering,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cinema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French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lessons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writing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workshop,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speaking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workshop -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popular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university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painting,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games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bicycle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repair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computers, cooking,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walking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culture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museum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visits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football,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work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DIY)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those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regain self-confidence,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discover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their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talents,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accept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team life and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constraints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collective,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take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responsibilities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project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themselves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future.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These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workshops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evolve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over time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according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wishes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possibilities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make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up the groups.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open to dialogue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mediation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discuss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think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together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about future actions: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inhabitants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citizens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city of Metz but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also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traders; 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better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collaborate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police services on issues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security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presence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marginalized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groups on public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roads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; 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responsible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interlocutors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dialogue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elected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officials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City or Metz Métropole on all questions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people on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Social catering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that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favors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short circuits: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Work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conjunction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local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producers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imagine how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develop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healthy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local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food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while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controlling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costs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desire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decent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access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food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poorest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ind w:left="720" w:hanging="360"/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cs="Times New Roman"/>
          <w:b/>
          <w:bCs/>
          <w:color w:val="000000"/>
          <w:sz w:val="22"/>
          <w:szCs w:val="22"/>
          <w:lang w:bidi="ar-SA"/>
        </w:rPr>
        <w:t>-</w:t>
      </w:r>
      <w:r w:rsidRPr="002C0C5A">
        <w:rPr>
          <w:rFonts w:cs="Times New Roman"/>
          <w:color w:val="000000"/>
          <w:sz w:val="14"/>
          <w:szCs w:val="14"/>
          <w:lang w:bidi="ar-SA"/>
        </w:rPr>
        <w:t>        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A place for training,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reflection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action: This place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training, information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awareness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sessions (on addictions, violence,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risky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behavior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health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etc.)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conferences-debates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consultation meetings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heart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city. This place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aims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together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actors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do not know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each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other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make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them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want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cooperate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precariousness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: the business world, the world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research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university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the world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solidarity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elected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officials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major social protection institutions, the world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health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municipal and national police,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experience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poverty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who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can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become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primary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actors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area.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now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looking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premises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that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allow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us to set up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House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Solidarity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Metz. The location in the city center and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necessary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surface area are important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criteria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which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limit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possibilities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 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Moreover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beliefs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linked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action of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care center as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well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as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associated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nuisances for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neighborhood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make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research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all the more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difficult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very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nature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project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prompted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Metz team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think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about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experimenting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mediator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position to carry out the missions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our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reception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This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mediator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responsible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reaching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out to people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neighborhood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reassuring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residents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traders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lastRenderedPageBreak/>
        <w:t>residents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about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presence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public in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identifying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precariousness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provide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all assistance and all guidance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needed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 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will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ensure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logistics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bring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meals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packed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lunches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food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packages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any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person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reported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connection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network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partners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(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isolated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people,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sick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COVID 19 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others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without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support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capacity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).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For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unprecedented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experiment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and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given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challenges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linked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successful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implementation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new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care center,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delegation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wished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favor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applications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experience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life </w:t>
      </w:r>
      <w:r w:rsidR="00AA2565">
        <w:rPr>
          <w:rFonts w:ascii="Arial" w:hAnsi="Arial" w:cs="Arial"/>
          <w:color w:val="000000"/>
          <w:sz w:val="22"/>
          <w:szCs w:val="22"/>
          <w:lang w:bidi="ar-SA"/>
        </w:rPr>
        <w:t>i</w:t>
      </w: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n the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street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to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initiate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relationship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. </w:t>
      </w:r>
      <w:proofErr w:type="gram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on</w:t>
      </w:r>
      <w:proofErr w:type="gram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a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peer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-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to-peer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basis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with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the people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encountered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public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authorities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very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interested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in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experiment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, have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agreed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to finance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this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post of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mediator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for 12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months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from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2022.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2C0C5A" w:rsidRPr="002C0C5A" w:rsidRDefault="002C0C5A" w:rsidP="002C0C5A">
      <w:pPr>
        <w:jc w:val="both"/>
        <w:rPr>
          <w:rFonts w:cs="Times New Roman"/>
          <w:color w:val="000000"/>
          <w:sz w:val="22"/>
          <w:szCs w:val="22"/>
          <w:lang w:bidi="ar-SA"/>
        </w:rPr>
      </w:pPr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The operating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expenses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of the Jean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Rodhain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proofErr w:type="spellStart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>day</w:t>
      </w:r>
      <w:proofErr w:type="spellEnd"/>
      <w:r w:rsidRPr="002C0C5A">
        <w:rPr>
          <w:rFonts w:ascii="Arial" w:hAnsi="Arial" w:cs="Arial"/>
          <w:color w:val="000000"/>
          <w:sz w:val="22"/>
          <w:szCs w:val="22"/>
          <w:lang w:bidi="ar-SA"/>
        </w:rPr>
        <w:t xml:space="preserve"> care center : </w:t>
      </w:r>
    </w:p>
    <w:p w:rsidR="002C0C5A" w:rsidRPr="002C0C5A" w:rsidRDefault="002C0C5A" w:rsidP="002C0C5A">
      <w:pPr>
        <w:rPr>
          <w:rFonts w:cs="Times New Roman"/>
          <w:color w:val="000000"/>
          <w:lang w:bidi="ar-SA"/>
        </w:rPr>
      </w:pPr>
      <w:r w:rsidRPr="002C0C5A">
        <w:rPr>
          <w:rFonts w:cs="Times New Roman"/>
          <w:color w:val="000000"/>
          <w:lang w:bidi="ar-SA"/>
        </w:rPr>
        <w:t> </w:t>
      </w:r>
    </w:p>
    <w:tbl>
      <w:tblPr>
        <w:tblW w:w="60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2"/>
        <w:gridCol w:w="1884"/>
      </w:tblGrid>
      <w:tr w:rsidR="002C0C5A" w:rsidRPr="002C0C5A" w:rsidTr="002C0C5A">
        <w:trPr>
          <w:trHeight w:val="287"/>
          <w:jc w:val="center"/>
        </w:trPr>
        <w:tc>
          <w:tcPr>
            <w:tcW w:w="3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CC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center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C0C5A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Expenses</w:t>
            </w:r>
            <w:proofErr w:type="spellEnd"/>
          </w:p>
        </w:tc>
        <w:tc>
          <w:tcPr>
            <w:tcW w:w="17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CC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2020</w:t>
            </w:r>
          </w:p>
        </w:tc>
      </w:tr>
      <w:tr w:rsidR="002C0C5A" w:rsidRPr="002C0C5A" w:rsidTr="002C0C5A">
        <w:trPr>
          <w:trHeight w:val="287"/>
          <w:jc w:val="center"/>
        </w:trPr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Purchases</w:t>
            </w:r>
            <w:proofErr w:type="spellEnd"/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10 889</w:t>
            </w:r>
          </w:p>
        </w:tc>
      </w:tr>
      <w:tr w:rsidR="002C0C5A" w:rsidRPr="002C0C5A" w:rsidTr="002C0C5A">
        <w:trPr>
          <w:trHeight w:val="287"/>
          <w:jc w:val="center"/>
        </w:trPr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Rentals</w:t>
            </w:r>
            <w:proofErr w:type="spellEnd"/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26,459</w:t>
            </w:r>
          </w:p>
        </w:tc>
      </w:tr>
      <w:tr w:rsidR="002C0C5A" w:rsidRPr="002C0C5A" w:rsidTr="002C0C5A">
        <w:trPr>
          <w:trHeight w:val="287"/>
          <w:jc w:val="center"/>
        </w:trPr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Premises</w:t>
            </w:r>
            <w:proofErr w:type="spellEnd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costs</w:t>
            </w:r>
            <w:proofErr w:type="spellEnd"/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6,949</w:t>
            </w:r>
          </w:p>
        </w:tc>
      </w:tr>
      <w:tr w:rsidR="002C0C5A" w:rsidRPr="002C0C5A" w:rsidTr="002C0C5A">
        <w:trPr>
          <w:trHeight w:val="287"/>
          <w:jc w:val="center"/>
        </w:trPr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Care / maintenance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4,225</w:t>
            </w:r>
          </w:p>
        </w:tc>
      </w:tr>
      <w:tr w:rsidR="002C0C5A" w:rsidRPr="002C0C5A" w:rsidTr="002C0C5A">
        <w:trPr>
          <w:trHeight w:val="287"/>
          <w:jc w:val="center"/>
        </w:trPr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External</w:t>
            </w:r>
            <w:proofErr w:type="spellEnd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 xml:space="preserve"> services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448</w:t>
            </w:r>
          </w:p>
        </w:tc>
      </w:tr>
      <w:tr w:rsidR="002C0C5A" w:rsidRPr="002C0C5A" w:rsidTr="002C0C5A">
        <w:trPr>
          <w:trHeight w:val="287"/>
          <w:jc w:val="center"/>
        </w:trPr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Other</w:t>
            </w:r>
            <w:proofErr w:type="spellEnd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external</w:t>
            </w:r>
            <w:proofErr w:type="spellEnd"/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 xml:space="preserve"> services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sz w:val="22"/>
                <w:szCs w:val="22"/>
                <w:lang w:bidi="ar-SA"/>
              </w:rPr>
              <w:t>64,568</w:t>
            </w:r>
          </w:p>
        </w:tc>
      </w:tr>
      <w:tr w:rsidR="002C0C5A" w:rsidRPr="002C0C5A" w:rsidTr="002C0C5A">
        <w:trPr>
          <w:trHeight w:val="184"/>
          <w:jc w:val="center"/>
        </w:trPr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Total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:rsidR="002C0C5A" w:rsidRPr="002C0C5A" w:rsidRDefault="002C0C5A" w:rsidP="002C0C5A">
            <w:pPr>
              <w:jc w:val="right"/>
              <w:rPr>
                <w:rFonts w:cs="Times New Roman"/>
                <w:sz w:val="22"/>
                <w:szCs w:val="22"/>
                <w:lang w:bidi="ar-SA"/>
              </w:rPr>
            </w:pPr>
            <w:r w:rsidRPr="002C0C5A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113,540</w:t>
            </w:r>
          </w:p>
        </w:tc>
      </w:tr>
    </w:tbl>
    <w:p w:rsidR="00FE64D8" w:rsidRPr="002C0C5A" w:rsidRDefault="00FE64D8" w:rsidP="002C0C5A"/>
    <w:sectPr w:rsidR="00FE64D8" w:rsidRPr="002C0C5A" w:rsidSect="003227CA">
      <w:headerReference w:type="default" r:id="rId9"/>
      <w:footerReference w:type="default" r:id="rId10"/>
      <w:pgSz w:w="11906" w:h="16838" w:code="9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03" w:rsidRDefault="00931303">
      <w:r>
        <w:separator/>
      </w:r>
    </w:p>
  </w:endnote>
  <w:endnote w:type="continuationSeparator" w:id="0">
    <w:p w:rsidR="00931303" w:rsidRDefault="0093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panose1 w:val="00000000000000000000"/>
    <w:charset w:val="00"/>
    <w:family w:val="roman"/>
    <w:notTrueType/>
    <w:pitch w:val="default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03" w:rsidRPr="00854FA3" w:rsidRDefault="00931303" w:rsidP="00854FA3">
    <w:pPr>
      <w:spacing w:before="120" w:line="288" w:lineRule="auto"/>
      <w:ind w:left="2832" w:firstLine="708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posOffset>288290</wp:posOffset>
              </wp:positionH>
              <wp:positionV relativeFrom="page">
                <wp:posOffset>10062210</wp:posOffset>
              </wp:positionV>
              <wp:extent cx="5579745" cy="0"/>
              <wp:effectExtent l="31115" t="32385" r="27940" b="3429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2D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1B061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2.7pt,792.3pt" to="462.05pt,7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" strokecolor="#002d54" strokeweight="4pt">
              <w10:wrap anchorx="margin" anchory="page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10123805</wp:posOffset>
              </wp:positionV>
              <wp:extent cx="5579745" cy="273685"/>
              <wp:effectExtent l="0" t="0" r="254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303" w:rsidRPr="00193DC6" w:rsidRDefault="00931303" w:rsidP="00854FA3">
                          <w:pPr>
                            <w:spacing w:line="288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106 rue du Bac - 75341 PARIS CEDEX 07</w:t>
                          </w:r>
                        </w:p>
                        <w:p w:rsidR="00931303" w:rsidRPr="00E6377D" w:rsidRDefault="00931303" w:rsidP="00854FA3">
                          <w:pPr>
                            <w:spacing w:line="288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 w:rsidRPr="00193DC6">
                            <w:rPr>
                              <w:rFonts w:ascii="Arial" w:hAnsi="Arial"/>
                              <w:sz w:val="16"/>
                            </w:rPr>
                            <w:t xml:space="preserve">Tél. :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01 45 49 73 67</w:t>
                          </w:r>
                          <w:r w:rsidRPr="00193DC6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 w:rsidRPr="00193DC6">
                            <w:rPr>
                              <w:rFonts w:ascii="Arial" w:hAnsi="Arial"/>
                              <w:sz w:val="16"/>
                            </w:rPr>
                            <w:t xml:space="preserve"> Fax :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01 45 49 75 44</w:t>
                          </w:r>
                          <w:r w:rsidRPr="00193DC6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 w:rsidRPr="00193DC6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E6377D">
                            <w:rPr>
                              <w:rFonts w:ascii="Arial" w:hAnsi="Arial"/>
                              <w:sz w:val="16"/>
                            </w:rPr>
                            <w:t>dir.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generositephilathropie</w:t>
                          </w:r>
                          <w:r w:rsidRPr="00E6377D">
                            <w:rPr>
                              <w:rFonts w:ascii="Arial" w:hAnsi="Arial"/>
                              <w:sz w:val="16"/>
                            </w:rPr>
                            <w:t>@secours-catholique.org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0.45pt;margin-top:797.15pt;width:439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Wc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" filled="f" stroked="f">
              <v:textbox inset="0,0,0,0">
                <w:txbxContent>
                  <w:p w:rsidR="00931303" w:rsidRPr="00193DC6" w:rsidRDefault="00931303" w:rsidP="00854FA3">
                    <w:pPr>
                      <w:spacing w:line="288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106 rue du Bac - 75341 PARIS CEDEX 07</w:t>
                    </w:r>
                  </w:p>
                  <w:p w:rsidR="00931303" w:rsidRPr="00E6377D" w:rsidRDefault="00931303" w:rsidP="00854FA3">
                    <w:pPr>
                      <w:spacing w:line="288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 w:rsidRPr="00193DC6">
                      <w:rPr>
                        <w:rFonts w:ascii="Arial" w:hAnsi="Arial"/>
                        <w:sz w:val="16"/>
                      </w:rPr>
                      <w:t xml:space="preserve">Tél. : </w:t>
                    </w:r>
                    <w:r>
                      <w:rPr>
                        <w:rFonts w:ascii="Arial" w:hAnsi="Arial"/>
                        <w:sz w:val="16"/>
                      </w:rPr>
                      <w:t>01 45 49 73 67</w:t>
                    </w:r>
                    <w:r w:rsidRPr="00193DC6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 w:rsidRPr="00193DC6">
                      <w:rPr>
                        <w:rFonts w:ascii="Arial" w:hAnsi="Arial"/>
                        <w:sz w:val="16"/>
                      </w:rPr>
                      <w:t xml:space="preserve"> Fax : </w:t>
                    </w:r>
                    <w:r>
                      <w:rPr>
                        <w:rFonts w:ascii="Arial" w:hAnsi="Arial"/>
                        <w:sz w:val="16"/>
                      </w:rPr>
                      <w:t>01 45 49 75 44</w:t>
                    </w:r>
                    <w:r w:rsidRPr="00193DC6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 w:rsidRPr="00193DC6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E6377D">
                      <w:rPr>
                        <w:rFonts w:ascii="Arial" w:hAnsi="Arial"/>
                        <w:sz w:val="16"/>
                      </w:rPr>
                      <w:t>dir.</w:t>
                    </w:r>
                    <w:r>
                      <w:rPr>
                        <w:rFonts w:ascii="Arial" w:hAnsi="Arial"/>
                        <w:sz w:val="16"/>
                      </w:rPr>
                      <w:t>generositephilathropie</w:t>
                    </w:r>
                    <w:r w:rsidRPr="00E6377D">
                      <w:rPr>
                        <w:rFonts w:ascii="Arial" w:hAnsi="Arial"/>
                        <w:sz w:val="16"/>
                      </w:rPr>
                      <w:t>@secours-catholique.org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54FA3">
      <w:rPr>
        <w:rFonts w:ascii="Arial" w:hAnsi="Arial" w:cs="Arial"/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6704" behindDoc="1" locked="1" layoutInCell="1" allowOverlap="1">
              <wp:simplePos x="0" y="0"/>
              <wp:positionH relativeFrom="page">
                <wp:posOffset>892175</wp:posOffset>
              </wp:positionH>
              <wp:positionV relativeFrom="page">
                <wp:posOffset>10342880</wp:posOffset>
              </wp:positionV>
              <wp:extent cx="5579745" cy="142240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303" w:rsidRPr="00961DB6" w:rsidRDefault="00931303" w:rsidP="00D4131A">
                          <w:pPr>
                            <w:jc w:val="center"/>
                            <w:rPr>
                              <w:rFonts w:ascii="Arial" w:hAnsi="Arial"/>
                              <w:spacing w:val="5"/>
                              <w:sz w:val="16"/>
                            </w:rPr>
                          </w:pPr>
                          <w:r w:rsidRPr="00961DB6">
                            <w:rPr>
                              <w:rFonts w:ascii="Arial" w:hAnsi="Arial"/>
                              <w:b/>
                              <w:color w:val="002D54"/>
                              <w:spacing w:val="5"/>
                              <w:sz w:val="16"/>
                            </w:rPr>
                            <w:t xml:space="preserve">Secours </w:t>
                          </w:r>
                          <w:proofErr w:type="gramStart"/>
                          <w:r w:rsidRPr="00961DB6">
                            <w:rPr>
                              <w:rFonts w:ascii="Arial" w:hAnsi="Arial"/>
                              <w:b/>
                              <w:color w:val="002D54"/>
                              <w:spacing w:val="5"/>
                              <w:sz w:val="16"/>
                            </w:rPr>
                            <w:t xml:space="preserve">Catholique </w:t>
                          </w:r>
                          <w:r w:rsidRPr="00961DB6">
                            <w:rPr>
                              <w:rFonts w:ascii="Arial" w:hAnsi="Arial"/>
                              <w:spacing w:val="5"/>
                              <w:sz w:val="12"/>
                            </w:rPr>
                            <w:t xml:space="preserve"> Association</w:t>
                          </w:r>
                          <w:proofErr w:type="gramEnd"/>
                          <w:r w:rsidRPr="00961DB6">
                            <w:rPr>
                              <w:rFonts w:ascii="Arial" w:hAnsi="Arial"/>
                              <w:spacing w:val="5"/>
                              <w:sz w:val="12"/>
                            </w:rPr>
                            <w:t xml:space="preserve"> reconnue d’utilité publique – Membre de Caritas </w:t>
                          </w:r>
                          <w:proofErr w:type="spellStart"/>
                          <w:r w:rsidRPr="00961DB6">
                            <w:rPr>
                              <w:rFonts w:ascii="Arial" w:hAnsi="Arial"/>
                              <w:spacing w:val="5"/>
                              <w:sz w:val="12"/>
                            </w:rPr>
                            <w:t>Internationalis</w:t>
                          </w:r>
                          <w:proofErr w:type="spellEnd"/>
                          <w:r w:rsidRPr="00961DB6">
                            <w:rPr>
                              <w:rFonts w:ascii="Arial" w:hAnsi="Arial"/>
                              <w:spacing w:val="5"/>
                              <w:sz w:val="12"/>
                            </w:rPr>
                            <w:t xml:space="preserve">   </w:t>
                          </w:r>
                          <w:r w:rsidRPr="00961DB6">
                            <w:rPr>
                              <w:rFonts w:ascii="Arial" w:hAnsi="Arial"/>
                              <w:b/>
                              <w:color w:val="002D54"/>
                              <w:spacing w:val="5"/>
                              <w:sz w:val="16"/>
                            </w:rPr>
                            <w:t>www.secours-catholique.org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70.25pt;margin-top:814.4pt;width:439.35pt;height:11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0LsA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" filled="f" stroked="f">
              <v:textbox inset="0,0,0,0">
                <w:txbxContent>
                  <w:p w:rsidR="00931303" w:rsidRPr="00961DB6" w:rsidRDefault="00931303" w:rsidP="00D4131A">
                    <w:pPr>
                      <w:jc w:val="center"/>
                      <w:rPr>
                        <w:rFonts w:ascii="Arial" w:hAnsi="Arial"/>
                        <w:spacing w:val="5"/>
                        <w:sz w:val="16"/>
                      </w:rPr>
                    </w:pPr>
                    <w:r w:rsidRPr="00961DB6">
                      <w:rPr>
                        <w:rFonts w:ascii="Arial" w:hAnsi="Arial"/>
                        <w:b/>
                        <w:color w:val="002D54"/>
                        <w:spacing w:val="5"/>
                        <w:sz w:val="16"/>
                      </w:rPr>
                      <w:t xml:space="preserve">Secours </w:t>
                    </w:r>
                    <w:proofErr w:type="gramStart"/>
                    <w:r w:rsidRPr="00961DB6">
                      <w:rPr>
                        <w:rFonts w:ascii="Arial" w:hAnsi="Arial"/>
                        <w:b/>
                        <w:color w:val="002D54"/>
                        <w:spacing w:val="5"/>
                        <w:sz w:val="16"/>
                      </w:rPr>
                      <w:t xml:space="preserve">Catholique </w:t>
                    </w:r>
                    <w:r w:rsidRPr="00961DB6">
                      <w:rPr>
                        <w:rFonts w:ascii="Arial" w:hAnsi="Arial"/>
                        <w:spacing w:val="5"/>
                        <w:sz w:val="12"/>
                      </w:rPr>
                      <w:t xml:space="preserve"> Association</w:t>
                    </w:r>
                    <w:proofErr w:type="gramEnd"/>
                    <w:r w:rsidRPr="00961DB6">
                      <w:rPr>
                        <w:rFonts w:ascii="Arial" w:hAnsi="Arial"/>
                        <w:spacing w:val="5"/>
                        <w:sz w:val="12"/>
                      </w:rPr>
                      <w:t xml:space="preserve"> reconnue d’utilité publique – Membre de Caritas </w:t>
                    </w:r>
                    <w:proofErr w:type="spellStart"/>
                    <w:r w:rsidRPr="00961DB6">
                      <w:rPr>
                        <w:rFonts w:ascii="Arial" w:hAnsi="Arial"/>
                        <w:spacing w:val="5"/>
                        <w:sz w:val="12"/>
                      </w:rPr>
                      <w:t>Internationalis</w:t>
                    </w:r>
                    <w:proofErr w:type="spellEnd"/>
                    <w:r w:rsidRPr="00961DB6">
                      <w:rPr>
                        <w:rFonts w:ascii="Arial" w:hAnsi="Arial"/>
                        <w:spacing w:val="5"/>
                        <w:sz w:val="12"/>
                      </w:rPr>
                      <w:t xml:space="preserve">   </w:t>
                    </w:r>
                    <w:r w:rsidRPr="00961DB6">
                      <w:rPr>
                        <w:rFonts w:ascii="Arial" w:hAnsi="Arial"/>
                        <w:b/>
                        <w:color w:val="002D54"/>
                        <w:spacing w:val="5"/>
                        <w:sz w:val="16"/>
                      </w:rPr>
                      <w:t>www.secours-catholique.org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03" w:rsidRDefault="00931303">
      <w:r>
        <w:separator/>
      </w:r>
    </w:p>
  </w:footnote>
  <w:footnote w:type="continuationSeparator" w:id="0">
    <w:p w:rsidR="00931303" w:rsidRDefault="0093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03" w:rsidRDefault="00931303">
    <w:pPr>
      <w:pStyle w:val="En-tte"/>
    </w:pPr>
    <w:r>
      <w:rPr>
        <w:noProof/>
        <w:lang w:bidi="ar-SA"/>
      </w:rPr>
      <w:drawing>
        <wp:inline distT="0" distB="0" distL="0" distR="0">
          <wp:extent cx="787400" cy="806450"/>
          <wp:effectExtent l="0" t="0" r="0" b="0"/>
          <wp:docPr id="2" name="Image 2" descr="sc-logonewcarrervb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-logonewcarrervb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303" w:rsidRPr="00F81D8F" w:rsidRDefault="00931303" w:rsidP="00F81D8F">
    <w:pPr>
      <w:pStyle w:val="En-tte"/>
      <w:rPr>
        <w:rFonts w:ascii="Arial" w:hAnsi="Arial" w:cs="Arial"/>
        <w:b/>
        <w:color w:val="1543C5"/>
        <w:sz w:val="18"/>
        <w:szCs w:val="18"/>
      </w:rPr>
    </w:pPr>
    <w:r w:rsidRPr="00F81D8F">
      <w:rPr>
        <w:rFonts w:ascii="Arial" w:hAnsi="Arial" w:cs="Arial"/>
        <w:b/>
        <w:color w:val="1543C5"/>
        <w:sz w:val="18"/>
        <w:szCs w:val="18"/>
      </w:rPr>
      <w:t>Philanthropie</w:t>
    </w:r>
  </w:p>
  <w:p w:rsidR="00931303" w:rsidRPr="00F81D8F" w:rsidRDefault="00931303" w:rsidP="00F81D8F">
    <w:pPr>
      <w:pStyle w:val="En-tte"/>
      <w:rPr>
        <w:rFonts w:ascii="Arial" w:hAnsi="Arial" w:cs="Arial"/>
        <w:b/>
        <w:color w:val="1543C5"/>
        <w:sz w:val="18"/>
        <w:szCs w:val="18"/>
      </w:rPr>
    </w:pPr>
    <w:proofErr w:type="gramStart"/>
    <w:r w:rsidRPr="00F81D8F">
      <w:rPr>
        <w:rFonts w:ascii="Arial" w:hAnsi="Arial" w:cs="Arial"/>
        <w:b/>
        <w:color w:val="1543C5"/>
        <w:sz w:val="18"/>
        <w:szCs w:val="18"/>
      </w:rPr>
      <w:t>et</w:t>
    </w:r>
    <w:proofErr w:type="gramEnd"/>
    <w:r w:rsidRPr="00F81D8F">
      <w:rPr>
        <w:rFonts w:ascii="Arial" w:hAnsi="Arial" w:cs="Arial"/>
        <w:b/>
        <w:color w:val="1543C5"/>
        <w:sz w:val="18"/>
        <w:szCs w:val="18"/>
      </w:rPr>
      <w:t xml:space="preserve"> Mécénat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3B3"/>
    <w:multiLevelType w:val="hybridMultilevel"/>
    <w:tmpl w:val="723CF47A"/>
    <w:lvl w:ilvl="0" w:tplc="E0C0A05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196F"/>
    <w:multiLevelType w:val="hybridMultilevel"/>
    <w:tmpl w:val="3FF8673A"/>
    <w:lvl w:ilvl="0" w:tplc="439AE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673034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Vrinda" w:hint="default"/>
        <w:b/>
        <w:bCs/>
      </w:rPr>
    </w:lvl>
    <w:lvl w:ilvl="2" w:tplc="A94A2DB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55861"/>
    <w:multiLevelType w:val="hybridMultilevel"/>
    <w:tmpl w:val="037628F8"/>
    <w:lvl w:ilvl="0" w:tplc="BE4019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60F0"/>
    <w:multiLevelType w:val="hybridMultilevel"/>
    <w:tmpl w:val="458466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6EC0"/>
    <w:multiLevelType w:val="hybridMultilevel"/>
    <w:tmpl w:val="CFC8AFF4"/>
    <w:lvl w:ilvl="0" w:tplc="673034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Vrind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2777"/>
    <w:multiLevelType w:val="hybridMultilevel"/>
    <w:tmpl w:val="132E3E58"/>
    <w:lvl w:ilvl="0" w:tplc="85FA2C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8A18CA"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5E20"/>
    <w:multiLevelType w:val="multilevel"/>
    <w:tmpl w:val="9F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Vrinda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E52B0"/>
    <w:multiLevelType w:val="hybridMultilevel"/>
    <w:tmpl w:val="DB9ED9F4"/>
    <w:lvl w:ilvl="0" w:tplc="F2C63940">
      <w:numFmt w:val="bullet"/>
      <w:lvlText w:val="-"/>
      <w:lvlJc w:val="left"/>
      <w:pPr>
        <w:ind w:left="720" w:hanging="360"/>
      </w:pPr>
      <w:rPr>
        <w:rFonts w:ascii="Arial" w:eastAsia="WenQuanYi Zen He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9489E"/>
    <w:multiLevelType w:val="hybridMultilevel"/>
    <w:tmpl w:val="401A6FBA"/>
    <w:lvl w:ilvl="0" w:tplc="939E98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33473"/>
    <w:multiLevelType w:val="hybridMultilevel"/>
    <w:tmpl w:val="8FA2D50E"/>
    <w:lvl w:ilvl="0" w:tplc="FD040F9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4DAE"/>
    <w:multiLevelType w:val="hybridMultilevel"/>
    <w:tmpl w:val="26DAFD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861F0"/>
    <w:multiLevelType w:val="hybridMultilevel"/>
    <w:tmpl w:val="E5AC81C6"/>
    <w:lvl w:ilvl="0" w:tplc="67303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Vrind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A6A39"/>
    <w:multiLevelType w:val="hybridMultilevel"/>
    <w:tmpl w:val="8E68D028"/>
    <w:lvl w:ilvl="0" w:tplc="B57CD07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93A3D"/>
    <w:multiLevelType w:val="hybridMultilevel"/>
    <w:tmpl w:val="E55C8750"/>
    <w:lvl w:ilvl="0" w:tplc="F2C63940">
      <w:numFmt w:val="bullet"/>
      <w:lvlText w:val="-"/>
      <w:lvlJc w:val="left"/>
      <w:pPr>
        <w:ind w:left="720" w:hanging="360"/>
      </w:pPr>
      <w:rPr>
        <w:rFonts w:ascii="Arial" w:eastAsia="WenQuanYi Zen He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17D90"/>
    <w:multiLevelType w:val="multilevel"/>
    <w:tmpl w:val="5FDE4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B41203"/>
    <w:multiLevelType w:val="hybridMultilevel"/>
    <w:tmpl w:val="3FF8673A"/>
    <w:lvl w:ilvl="0" w:tplc="439AE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673034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Vrinda" w:hint="default"/>
        <w:b/>
        <w:bCs/>
      </w:rPr>
    </w:lvl>
    <w:lvl w:ilvl="2" w:tplc="A94A2DB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A4318"/>
    <w:multiLevelType w:val="hybridMultilevel"/>
    <w:tmpl w:val="696EFB0E"/>
    <w:lvl w:ilvl="0" w:tplc="939E98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13095"/>
    <w:multiLevelType w:val="hybridMultilevel"/>
    <w:tmpl w:val="9F9CA616"/>
    <w:lvl w:ilvl="0" w:tplc="439AE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673034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Vrinda"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D3779B"/>
    <w:multiLevelType w:val="hybridMultilevel"/>
    <w:tmpl w:val="8668BD20"/>
    <w:lvl w:ilvl="0" w:tplc="67303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Vrind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E196C"/>
    <w:multiLevelType w:val="hybridMultilevel"/>
    <w:tmpl w:val="FA02D6B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F687D31"/>
    <w:multiLevelType w:val="hybridMultilevel"/>
    <w:tmpl w:val="1E9A5748"/>
    <w:lvl w:ilvl="0" w:tplc="939E98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44A40"/>
    <w:multiLevelType w:val="hybridMultilevel"/>
    <w:tmpl w:val="7BBE96A2"/>
    <w:lvl w:ilvl="0" w:tplc="67303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64DF8"/>
    <w:multiLevelType w:val="hybridMultilevel"/>
    <w:tmpl w:val="302EB01E"/>
    <w:lvl w:ilvl="0" w:tplc="5C909D7C">
      <w:start w:val="1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64D2C"/>
    <w:multiLevelType w:val="hybridMultilevel"/>
    <w:tmpl w:val="88524126"/>
    <w:lvl w:ilvl="0" w:tplc="FBF0B7FA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DA0950"/>
    <w:multiLevelType w:val="hybridMultilevel"/>
    <w:tmpl w:val="D1A65F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31498"/>
    <w:multiLevelType w:val="multilevel"/>
    <w:tmpl w:val="77E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02128"/>
    <w:multiLevelType w:val="hybridMultilevel"/>
    <w:tmpl w:val="623CEF78"/>
    <w:lvl w:ilvl="0" w:tplc="78BAE44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Helv" w:hAnsi="Helv" w:cs="Helv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2D15D8"/>
    <w:multiLevelType w:val="hybridMultilevel"/>
    <w:tmpl w:val="3FF8673A"/>
    <w:lvl w:ilvl="0" w:tplc="439AE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673034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Vrinda" w:hint="default"/>
        <w:b/>
        <w:bCs/>
      </w:rPr>
    </w:lvl>
    <w:lvl w:ilvl="2" w:tplc="A94A2DB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017F74"/>
    <w:multiLevelType w:val="hybridMultilevel"/>
    <w:tmpl w:val="B834276E"/>
    <w:lvl w:ilvl="0" w:tplc="939E98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E1E96"/>
    <w:multiLevelType w:val="hybridMultilevel"/>
    <w:tmpl w:val="3814CD30"/>
    <w:lvl w:ilvl="0" w:tplc="939E98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81F22"/>
    <w:multiLevelType w:val="hybridMultilevel"/>
    <w:tmpl w:val="25523D0E"/>
    <w:lvl w:ilvl="0" w:tplc="67303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Vrind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24762"/>
    <w:multiLevelType w:val="hybridMultilevel"/>
    <w:tmpl w:val="4906E906"/>
    <w:lvl w:ilvl="0" w:tplc="0CA09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86A3F"/>
    <w:multiLevelType w:val="hybridMultilevel"/>
    <w:tmpl w:val="96A4B2AC"/>
    <w:lvl w:ilvl="0" w:tplc="67303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Vrind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465"/>
    <w:multiLevelType w:val="hybridMultilevel"/>
    <w:tmpl w:val="45C4C59C"/>
    <w:lvl w:ilvl="0" w:tplc="67303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Vrinda" w:hint="default"/>
      </w:rPr>
    </w:lvl>
    <w:lvl w:ilvl="1" w:tplc="673034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Vrind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B0942"/>
    <w:multiLevelType w:val="multilevel"/>
    <w:tmpl w:val="5FDE4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26"/>
  </w:num>
  <w:num w:numId="7">
    <w:abstractNumId w:val="25"/>
  </w:num>
  <w:num w:numId="8">
    <w:abstractNumId w:val="22"/>
  </w:num>
  <w:num w:numId="9">
    <w:abstractNumId w:val="0"/>
  </w:num>
  <w:num w:numId="10">
    <w:abstractNumId w:val="17"/>
  </w:num>
  <w:num w:numId="11">
    <w:abstractNumId w:val="23"/>
  </w:num>
  <w:num w:numId="12">
    <w:abstractNumId w:val="5"/>
  </w:num>
  <w:num w:numId="13">
    <w:abstractNumId w:val="15"/>
  </w:num>
  <w:num w:numId="14">
    <w:abstractNumId w:val="27"/>
  </w:num>
  <w:num w:numId="15">
    <w:abstractNumId w:val="24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14"/>
  </w:num>
  <w:num w:numId="21">
    <w:abstractNumId w:val="19"/>
  </w:num>
  <w:num w:numId="22">
    <w:abstractNumId w:val="9"/>
  </w:num>
  <w:num w:numId="23">
    <w:abstractNumId w:val="28"/>
  </w:num>
  <w:num w:numId="24">
    <w:abstractNumId w:val="29"/>
  </w:num>
  <w:num w:numId="25">
    <w:abstractNumId w:val="8"/>
  </w:num>
  <w:num w:numId="26">
    <w:abstractNumId w:val="16"/>
  </w:num>
  <w:num w:numId="27">
    <w:abstractNumId w:val="20"/>
  </w:num>
  <w:num w:numId="28">
    <w:abstractNumId w:val="13"/>
  </w:num>
  <w:num w:numId="29">
    <w:abstractNumId w:val="7"/>
  </w:num>
  <w:num w:numId="30">
    <w:abstractNumId w:val="32"/>
  </w:num>
  <w:num w:numId="31">
    <w:abstractNumId w:val="33"/>
  </w:num>
  <w:num w:numId="32">
    <w:abstractNumId w:val="21"/>
  </w:num>
  <w:num w:numId="33">
    <w:abstractNumId w:val="18"/>
  </w:num>
  <w:num w:numId="34">
    <w:abstractNumId w:val="3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20"/>
    <w:rsid w:val="00004135"/>
    <w:rsid w:val="000048DE"/>
    <w:rsid w:val="00021C67"/>
    <w:rsid w:val="000254F0"/>
    <w:rsid w:val="0002560A"/>
    <w:rsid w:val="00031585"/>
    <w:rsid w:val="00033763"/>
    <w:rsid w:val="000453C3"/>
    <w:rsid w:val="00057A47"/>
    <w:rsid w:val="00062EA5"/>
    <w:rsid w:val="00073984"/>
    <w:rsid w:val="000B3D54"/>
    <w:rsid w:val="000C3621"/>
    <w:rsid w:val="000C505D"/>
    <w:rsid w:val="000C54DB"/>
    <w:rsid w:val="000D02E0"/>
    <w:rsid w:val="000D2A72"/>
    <w:rsid w:val="000E0652"/>
    <w:rsid w:val="000E6F64"/>
    <w:rsid w:val="00100D1E"/>
    <w:rsid w:val="0014475F"/>
    <w:rsid w:val="001457F2"/>
    <w:rsid w:val="00156858"/>
    <w:rsid w:val="00175BF6"/>
    <w:rsid w:val="001768DB"/>
    <w:rsid w:val="001866E2"/>
    <w:rsid w:val="001A2851"/>
    <w:rsid w:val="001A3A73"/>
    <w:rsid w:val="001A46A2"/>
    <w:rsid w:val="001A78EA"/>
    <w:rsid w:val="001B2405"/>
    <w:rsid w:val="001B4E9E"/>
    <w:rsid w:val="001C02D8"/>
    <w:rsid w:val="001C3781"/>
    <w:rsid w:val="001D06D2"/>
    <w:rsid w:val="001D37A3"/>
    <w:rsid w:val="001D4A7C"/>
    <w:rsid w:val="001E352D"/>
    <w:rsid w:val="001F572F"/>
    <w:rsid w:val="001F6D59"/>
    <w:rsid w:val="002050D6"/>
    <w:rsid w:val="0022161C"/>
    <w:rsid w:val="00227F46"/>
    <w:rsid w:val="00234AEF"/>
    <w:rsid w:val="00235B04"/>
    <w:rsid w:val="00235CFA"/>
    <w:rsid w:val="00267A95"/>
    <w:rsid w:val="00270DEB"/>
    <w:rsid w:val="00272F88"/>
    <w:rsid w:val="0027392E"/>
    <w:rsid w:val="00276641"/>
    <w:rsid w:val="00285561"/>
    <w:rsid w:val="002C0C5A"/>
    <w:rsid w:val="002D260D"/>
    <w:rsid w:val="002E4EDC"/>
    <w:rsid w:val="002E5070"/>
    <w:rsid w:val="002E6DB5"/>
    <w:rsid w:val="00310321"/>
    <w:rsid w:val="00320F64"/>
    <w:rsid w:val="003227CA"/>
    <w:rsid w:val="00336988"/>
    <w:rsid w:val="0034521F"/>
    <w:rsid w:val="00346F7E"/>
    <w:rsid w:val="00355F23"/>
    <w:rsid w:val="003710E1"/>
    <w:rsid w:val="00372FB1"/>
    <w:rsid w:val="0037503A"/>
    <w:rsid w:val="00375576"/>
    <w:rsid w:val="00382AA1"/>
    <w:rsid w:val="00384E9A"/>
    <w:rsid w:val="00397CCA"/>
    <w:rsid w:val="003A443F"/>
    <w:rsid w:val="003C1AE4"/>
    <w:rsid w:val="003C23A6"/>
    <w:rsid w:val="003C53B6"/>
    <w:rsid w:val="003D3351"/>
    <w:rsid w:val="003D501E"/>
    <w:rsid w:val="003E3222"/>
    <w:rsid w:val="003F07D0"/>
    <w:rsid w:val="0040011A"/>
    <w:rsid w:val="00400917"/>
    <w:rsid w:val="0040700F"/>
    <w:rsid w:val="00444461"/>
    <w:rsid w:val="004473EA"/>
    <w:rsid w:val="00455CF3"/>
    <w:rsid w:val="00472C30"/>
    <w:rsid w:val="00481942"/>
    <w:rsid w:val="004844A3"/>
    <w:rsid w:val="004A6804"/>
    <w:rsid w:val="004C2FEA"/>
    <w:rsid w:val="004C61EB"/>
    <w:rsid w:val="004C7B71"/>
    <w:rsid w:val="004E587E"/>
    <w:rsid w:val="005036B2"/>
    <w:rsid w:val="005038A1"/>
    <w:rsid w:val="00510E5D"/>
    <w:rsid w:val="00514FCC"/>
    <w:rsid w:val="00516E75"/>
    <w:rsid w:val="0054340F"/>
    <w:rsid w:val="00553107"/>
    <w:rsid w:val="00570CD7"/>
    <w:rsid w:val="00585E74"/>
    <w:rsid w:val="00590AA9"/>
    <w:rsid w:val="00594E2B"/>
    <w:rsid w:val="005B71B1"/>
    <w:rsid w:val="005D7364"/>
    <w:rsid w:val="005F1353"/>
    <w:rsid w:val="005F501F"/>
    <w:rsid w:val="006007CD"/>
    <w:rsid w:val="0060699B"/>
    <w:rsid w:val="006173AD"/>
    <w:rsid w:val="00637F6A"/>
    <w:rsid w:val="00644509"/>
    <w:rsid w:val="00644F17"/>
    <w:rsid w:val="00645376"/>
    <w:rsid w:val="006858B8"/>
    <w:rsid w:val="00690427"/>
    <w:rsid w:val="00691861"/>
    <w:rsid w:val="00693D13"/>
    <w:rsid w:val="00696B65"/>
    <w:rsid w:val="006A28C8"/>
    <w:rsid w:val="006A7CAB"/>
    <w:rsid w:val="006B0F51"/>
    <w:rsid w:val="006B2F1D"/>
    <w:rsid w:val="006C31E6"/>
    <w:rsid w:val="006D1BBF"/>
    <w:rsid w:val="006D263D"/>
    <w:rsid w:val="006D4000"/>
    <w:rsid w:val="006D4C8E"/>
    <w:rsid w:val="006D7F49"/>
    <w:rsid w:val="006E30EA"/>
    <w:rsid w:val="006E3420"/>
    <w:rsid w:val="006E386A"/>
    <w:rsid w:val="006E6020"/>
    <w:rsid w:val="00704137"/>
    <w:rsid w:val="00713370"/>
    <w:rsid w:val="00716800"/>
    <w:rsid w:val="0072486B"/>
    <w:rsid w:val="007331FB"/>
    <w:rsid w:val="00733A17"/>
    <w:rsid w:val="007462EC"/>
    <w:rsid w:val="00746CE0"/>
    <w:rsid w:val="00746F2C"/>
    <w:rsid w:val="00752B5F"/>
    <w:rsid w:val="00770B86"/>
    <w:rsid w:val="00773712"/>
    <w:rsid w:val="007919AD"/>
    <w:rsid w:val="00794146"/>
    <w:rsid w:val="007A08FB"/>
    <w:rsid w:val="007A270F"/>
    <w:rsid w:val="007B3AEA"/>
    <w:rsid w:val="007B4CAD"/>
    <w:rsid w:val="007C78C0"/>
    <w:rsid w:val="007D6251"/>
    <w:rsid w:val="007D7508"/>
    <w:rsid w:val="00800558"/>
    <w:rsid w:val="008058C8"/>
    <w:rsid w:val="00805E4B"/>
    <w:rsid w:val="00806B22"/>
    <w:rsid w:val="0081335B"/>
    <w:rsid w:val="008179EF"/>
    <w:rsid w:val="00833CE6"/>
    <w:rsid w:val="00835291"/>
    <w:rsid w:val="00844387"/>
    <w:rsid w:val="00844CB2"/>
    <w:rsid w:val="008545E3"/>
    <w:rsid w:val="00854FA3"/>
    <w:rsid w:val="008579E0"/>
    <w:rsid w:val="0088457D"/>
    <w:rsid w:val="0089408C"/>
    <w:rsid w:val="008961FF"/>
    <w:rsid w:val="0089703C"/>
    <w:rsid w:val="008A35FB"/>
    <w:rsid w:val="008C1693"/>
    <w:rsid w:val="008C3877"/>
    <w:rsid w:val="008C68CE"/>
    <w:rsid w:val="008D79F7"/>
    <w:rsid w:val="008F63D7"/>
    <w:rsid w:val="00906FEC"/>
    <w:rsid w:val="00914261"/>
    <w:rsid w:val="009151C4"/>
    <w:rsid w:val="0091540C"/>
    <w:rsid w:val="00931048"/>
    <w:rsid w:val="00931303"/>
    <w:rsid w:val="00931339"/>
    <w:rsid w:val="00931EE5"/>
    <w:rsid w:val="00934A2C"/>
    <w:rsid w:val="00940549"/>
    <w:rsid w:val="00957C8F"/>
    <w:rsid w:val="0096002B"/>
    <w:rsid w:val="009711BE"/>
    <w:rsid w:val="009711C5"/>
    <w:rsid w:val="0097590D"/>
    <w:rsid w:val="00976D59"/>
    <w:rsid w:val="00983169"/>
    <w:rsid w:val="00986BF2"/>
    <w:rsid w:val="0099244F"/>
    <w:rsid w:val="009A648F"/>
    <w:rsid w:val="009A7709"/>
    <w:rsid w:val="009B02EE"/>
    <w:rsid w:val="009B138A"/>
    <w:rsid w:val="009B296B"/>
    <w:rsid w:val="009B3A71"/>
    <w:rsid w:val="009D7139"/>
    <w:rsid w:val="009E2B89"/>
    <w:rsid w:val="00A0083C"/>
    <w:rsid w:val="00A02FFD"/>
    <w:rsid w:val="00A04F95"/>
    <w:rsid w:val="00A10D88"/>
    <w:rsid w:val="00A11A0A"/>
    <w:rsid w:val="00A15C28"/>
    <w:rsid w:val="00A70EF9"/>
    <w:rsid w:val="00A80D22"/>
    <w:rsid w:val="00A82202"/>
    <w:rsid w:val="00AA1273"/>
    <w:rsid w:val="00AA2565"/>
    <w:rsid w:val="00AA7BA8"/>
    <w:rsid w:val="00AB12DD"/>
    <w:rsid w:val="00AD4924"/>
    <w:rsid w:val="00AE217A"/>
    <w:rsid w:val="00AF20C0"/>
    <w:rsid w:val="00B00FEB"/>
    <w:rsid w:val="00B01FEF"/>
    <w:rsid w:val="00B11D8D"/>
    <w:rsid w:val="00B25C8F"/>
    <w:rsid w:val="00B30EAA"/>
    <w:rsid w:val="00B31FC0"/>
    <w:rsid w:val="00B33300"/>
    <w:rsid w:val="00B479BB"/>
    <w:rsid w:val="00B500DC"/>
    <w:rsid w:val="00B60D6F"/>
    <w:rsid w:val="00B75170"/>
    <w:rsid w:val="00B76407"/>
    <w:rsid w:val="00BA55F1"/>
    <w:rsid w:val="00BB20C9"/>
    <w:rsid w:val="00BB2D66"/>
    <w:rsid w:val="00BB39DF"/>
    <w:rsid w:val="00BB5294"/>
    <w:rsid w:val="00BC3C60"/>
    <w:rsid w:val="00BD019D"/>
    <w:rsid w:val="00BE65D2"/>
    <w:rsid w:val="00BF1FE8"/>
    <w:rsid w:val="00C07F6F"/>
    <w:rsid w:val="00C145D1"/>
    <w:rsid w:val="00C26226"/>
    <w:rsid w:val="00C316BE"/>
    <w:rsid w:val="00C47A68"/>
    <w:rsid w:val="00C47C88"/>
    <w:rsid w:val="00C64260"/>
    <w:rsid w:val="00C871F7"/>
    <w:rsid w:val="00C928E3"/>
    <w:rsid w:val="00C93381"/>
    <w:rsid w:val="00C93F8D"/>
    <w:rsid w:val="00CA03CA"/>
    <w:rsid w:val="00CA1805"/>
    <w:rsid w:val="00CA24F7"/>
    <w:rsid w:val="00CA5D80"/>
    <w:rsid w:val="00CC3924"/>
    <w:rsid w:val="00CD763C"/>
    <w:rsid w:val="00CE6983"/>
    <w:rsid w:val="00CE7FCD"/>
    <w:rsid w:val="00CF1AD3"/>
    <w:rsid w:val="00CF49BA"/>
    <w:rsid w:val="00D00920"/>
    <w:rsid w:val="00D067A8"/>
    <w:rsid w:val="00D10D52"/>
    <w:rsid w:val="00D25C7A"/>
    <w:rsid w:val="00D321EC"/>
    <w:rsid w:val="00D4131A"/>
    <w:rsid w:val="00D45D77"/>
    <w:rsid w:val="00D546C7"/>
    <w:rsid w:val="00D72814"/>
    <w:rsid w:val="00D87E58"/>
    <w:rsid w:val="00DB700C"/>
    <w:rsid w:val="00DC0977"/>
    <w:rsid w:val="00DE4A45"/>
    <w:rsid w:val="00DF0F9E"/>
    <w:rsid w:val="00E0599D"/>
    <w:rsid w:val="00E123F9"/>
    <w:rsid w:val="00E14C35"/>
    <w:rsid w:val="00E1634C"/>
    <w:rsid w:val="00E17D6D"/>
    <w:rsid w:val="00E3449F"/>
    <w:rsid w:val="00E34AD7"/>
    <w:rsid w:val="00E378F3"/>
    <w:rsid w:val="00E41167"/>
    <w:rsid w:val="00E47AAA"/>
    <w:rsid w:val="00E5156A"/>
    <w:rsid w:val="00E52127"/>
    <w:rsid w:val="00E6451F"/>
    <w:rsid w:val="00E739B1"/>
    <w:rsid w:val="00E81AF4"/>
    <w:rsid w:val="00E85387"/>
    <w:rsid w:val="00E93DE2"/>
    <w:rsid w:val="00EA608A"/>
    <w:rsid w:val="00EB1CB1"/>
    <w:rsid w:val="00EB2135"/>
    <w:rsid w:val="00EB404A"/>
    <w:rsid w:val="00EB4981"/>
    <w:rsid w:val="00ED0F1B"/>
    <w:rsid w:val="00ED262F"/>
    <w:rsid w:val="00ED2694"/>
    <w:rsid w:val="00ED2B1C"/>
    <w:rsid w:val="00ED5176"/>
    <w:rsid w:val="00ED66CD"/>
    <w:rsid w:val="00F04AA8"/>
    <w:rsid w:val="00F104A9"/>
    <w:rsid w:val="00F110FE"/>
    <w:rsid w:val="00F13855"/>
    <w:rsid w:val="00F30F0E"/>
    <w:rsid w:val="00F32091"/>
    <w:rsid w:val="00F3561D"/>
    <w:rsid w:val="00F42F44"/>
    <w:rsid w:val="00F46D76"/>
    <w:rsid w:val="00F52623"/>
    <w:rsid w:val="00F53A33"/>
    <w:rsid w:val="00F70E55"/>
    <w:rsid w:val="00F72627"/>
    <w:rsid w:val="00F81D8F"/>
    <w:rsid w:val="00FA17EC"/>
    <w:rsid w:val="00FB45AE"/>
    <w:rsid w:val="00FB74A5"/>
    <w:rsid w:val="00FC33D2"/>
    <w:rsid w:val="00FC6098"/>
    <w:rsid w:val="00FD44AB"/>
    <w:rsid w:val="00FE2DB8"/>
    <w:rsid w:val="00FE5B40"/>
    <w:rsid w:val="00FE64D8"/>
    <w:rsid w:val="00FE736B"/>
    <w:rsid w:val="00FF05F6"/>
    <w:rsid w:val="00FF2CB3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7686C8B"/>
  <w15:chartTrackingRefBased/>
  <w15:docId w15:val="{77E6DABD-D5A2-49B7-8AA5-CBF1D46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AE4"/>
    <w:rPr>
      <w:rFonts w:cs="Vrinda"/>
      <w:sz w:val="24"/>
      <w:szCs w:val="24"/>
      <w:lang w:bidi="bn-IN"/>
    </w:rPr>
  </w:style>
  <w:style w:type="paragraph" w:styleId="Titre3">
    <w:name w:val="heading 3"/>
    <w:basedOn w:val="Normal"/>
    <w:qFormat/>
    <w:rsid w:val="00733A17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173A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516E75"/>
    <w:rPr>
      <w:rFonts w:cs="Times New Roman"/>
      <w:sz w:val="20"/>
      <w:szCs w:val="20"/>
      <w:lang w:bidi="ar-SA"/>
    </w:rPr>
  </w:style>
  <w:style w:type="character" w:styleId="Appelnotedebasdep">
    <w:name w:val="footnote reference"/>
    <w:semiHidden/>
    <w:rsid w:val="00516E75"/>
    <w:rPr>
      <w:vertAlign w:val="superscript"/>
    </w:rPr>
  </w:style>
  <w:style w:type="paragraph" w:styleId="NormalWeb">
    <w:name w:val="Normal (Web)"/>
    <w:basedOn w:val="Normal"/>
    <w:uiPriority w:val="99"/>
    <w:rsid w:val="00733A17"/>
    <w:pPr>
      <w:spacing w:before="100" w:beforeAutospacing="1" w:after="100" w:afterAutospacing="1"/>
    </w:pPr>
    <w:rPr>
      <w:rFonts w:cs="Times New Roman"/>
      <w:lang w:bidi="ar-SA"/>
    </w:rPr>
  </w:style>
  <w:style w:type="character" w:styleId="lev">
    <w:name w:val="Strong"/>
    <w:uiPriority w:val="22"/>
    <w:qFormat/>
    <w:rsid w:val="00310321"/>
    <w:rPr>
      <w:b/>
      <w:bCs/>
    </w:rPr>
  </w:style>
  <w:style w:type="paragraph" w:styleId="En-tte">
    <w:name w:val="header"/>
    <w:basedOn w:val="Normal"/>
    <w:rsid w:val="00D413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4131A"/>
    <w:pPr>
      <w:tabs>
        <w:tab w:val="center" w:pos="4536"/>
        <w:tab w:val="right" w:pos="9072"/>
      </w:tabs>
    </w:pPr>
  </w:style>
  <w:style w:type="character" w:customStyle="1" w:styleId="spipsurligne">
    <w:name w:val="spip_surligne"/>
    <w:basedOn w:val="Policepardfaut"/>
    <w:rsid w:val="00844387"/>
  </w:style>
  <w:style w:type="paragraph" w:styleId="Notedefin">
    <w:name w:val="endnote text"/>
    <w:basedOn w:val="Normal"/>
    <w:link w:val="NotedefinCar"/>
    <w:rsid w:val="006E3420"/>
    <w:rPr>
      <w:sz w:val="20"/>
      <w:szCs w:val="25"/>
    </w:rPr>
  </w:style>
  <w:style w:type="character" w:customStyle="1" w:styleId="NotedefinCar">
    <w:name w:val="Note de fin Car"/>
    <w:link w:val="Notedefin"/>
    <w:rsid w:val="006E3420"/>
    <w:rPr>
      <w:rFonts w:cs="Vrinda"/>
      <w:szCs w:val="25"/>
      <w:lang w:bidi="bn-IN"/>
    </w:rPr>
  </w:style>
  <w:style w:type="character" w:styleId="Appeldenotedefin">
    <w:name w:val="endnote reference"/>
    <w:rsid w:val="006E3420"/>
    <w:rPr>
      <w:vertAlign w:val="superscript"/>
    </w:rPr>
  </w:style>
  <w:style w:type="character" w:customStyle="1" w:styleId="apple-converted-space">
    <w:name w:val="apple-converted-space"/>
    <w:rsid w:val="006E3420"/>
  </w:style>
  <w:style w:type="paragraph" w:styleId="Paragraphedeliste">
    <w:name w:val="List Paragraph"/>
    <w:basedOn w:val="Normal"/>
    <w:uiPriority w:val="34"/>
    <w:qFormat/>
    <w:rsid w:val="00FE2DB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Grilledutableau">
    <w:name w:val="Table Grid"/>
    <w:basedOn w:val="TableauNormal"/>
    <w:rsid w:val="0034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2ABA-E717-4580-87D9-04AE9C14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2067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thématiques pour la Fondation Philanthropique Suisse</vt:lpstr>
    </vt:vector>
  </TitlesOfParts>
  <Company>CARITAS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thématiques pour la Fondation Philanthropique Suisse</dc:title>
  <dc:subject/>
  <dc:creator>CARITAS</dc:creator>
  <cp:keywords/>
  <cp:lastModifiedBy>BIANCHI Chantal</cp:lastModifiedBy>
  <cp:revision>5</cp:revision>
  <cp:lastPrinted>2019-03-22T09:37:00Z</cp:lastPrinted>
  <dcterms:created xsi:type="dcterms:W3CDTF">2021-11-29T19:42:00Z</dcterms:created>
  <dcterms:modified xsi:type="dcterms:W3CDTF">2021-11-29T20:15:00Z</dcterms:modified>
</cp:coreProperties>
</file>