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EA" w:rsidRPr="00163C64" w:rsidRDefault="00CA7C03" w:rsidP="00CA7C03">
      <w:pPr>
        <w:pStyle w:val="Heading3"/>
        <w:rPr>
          <w:sz w:val="24"/>
          <w:szCs w:val="24"/>
          <w:lang w:val="en-US"/>
        </w:rPr>
      </w:pPr>
      <w:r w:rsidRPr="00163C64">
        <w:rPr>
          <w:sz w:val="24"/>
          <w:szCs w:val="24"/>
          <w:lang w:val="en-US"/>
        </w:rPr>
        <w:t xml:space="preserve">FRESH FRUIT JUICE PROCESSING AND MARKETING </w:t>
      </w:r>
    </w:p>
    <w:p w:rsidR="00CA7C03" w:rsidRPr="00163C64" w:rsidRDefault="00CA7C03" w:rsidP="00CA7C03">
      <w:pPr>
        <w:rPr>
          <w:b/>
          <w:lang w:val="en-US"/>
        </w:rPr>
      </w:pPr>
    </w:p>
    <w:p w:rsidR="00CA7C03" w:rsidRDefault="00163C64" w:rsidP="00CA7C03">
      <w:pPr>
        <w:rPr>
          <w:b/>
          <w:lang w:val="en-US"/>
        </w:rPr>
      </w:pPr>
      <w:r w:rsidRPr="00163C64">
        <w:rPr>
          <w:b/>
          <w:lang w:val="en-US"/>
        </w:rPr>
        <w:t>Introduction</w:t>
      </w:r>
    </w:p>
    <w:p w:rsidR="00163C64" w:rsidRPr="00163C64" w:rsidRDefault="00163C64" w:rsidP="00CA7C03">
      <w:pPr>
        <w:rPr>
          <w:b/>
          <w:lang w:val="en-US"/>
        </w:rPr>
      </w:pPr>
    </w:p>
    <w:p w:rsidR="00CA7C03" w:rsidRPr="00CA7C03" w:rsidRDefault="00CA7C03" w:rsidP="00CA7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/>
        </w:rPr>
        <w:t>Given that FORUDEF has started producing and selling local fresh fruits juice at the local markets, there is evidence that supply is low given the demand for fresh fruits juice.</w:t>
      </w:r>
      <w:r w:rsidRPr="00CA7C03">
        <w:rPr>
          <w:rFonts w:ascii="Arial" w:hAnsi="Arial" w:cs="Arial"/>
          <w:lang w:val="en-US"/>
        </w:rPr>
        <w:t xml:space="preserve">  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There are no equipments and storage facilities that will enhance mass production so as to meet the growing demand for locally-produced fresh fruits juice in our markets. This project will support </w:t>
      </w:r>
      <w:r w:rsidR="007C639F">
        <w:rPr>
          <w:rFonts w:ascii="Times New Roman" w:hAnsi="Times New Roman" w:cs="Times New Roman"/>
          <w:sz w:val="24"/>
          <w:szCs w:val="24"/>
          <w:lang w:val="en-US"/>
        </w:rPr>
        <w:t>FORUDEF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who plan</w:t>
      </w:r>
      <w:r w:rsidR="007C63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to convert fruits to specialty juice to commercialize locally-produced fruits juice in the South West Region.  Particularly, the focus will be on the production of locally produced fresh fruits juice that can reliably generate income.  A successful transition to locally produce fresh fruits juice is needed to ensure the economic well-being of the FORUDEF and the community at large. </w:t>
      </w:r>
    </w:p>
    <w:p w:rsidR="00CA7C03" w:rsidRPr="00CA7C03" w:rsidRDefault="00CA7C03" w:rsidP="00CA7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7C03" w:rsidRPr="00CA7C03" w:rsidRDefault="00CA7C03" w:rsidP="00CA7C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b/>
          <w:sz w:val="24"/>
          <w:szCs w:val="24"/>
          <w:lang w:val="en-US"/>
        </w:rPr>
        <w:t>Goal: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The project is </w:t>
      </w:r>
      <w:r w:rsidR="008E3B49">
        <w:rPr>
          <w:rFonts w:ascii="Times New Roman" w:hAnsi="Times New Roman" w:cs="Times New Roman"/>
          <w:sz w:val="24"/>
          <w:szCs w:val="24"/>
          <w:lang w:val="en-US"/>
        </w:rPr>
        <w:t>aimed at increasing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the income </w:t>
      </w:r>
      <w:r w:rsidR="00BE01B5">
        <w:rPr>
          <w:rFonts w:ascii="Times New Roman" w:hAnsi="Times New Roman" w:cs="Times New Roman"/>
          <w:sz w:val="24"/>
          <w:szCs w:val="24"/>
          <w:lang w:val="en-US"/>
        </w:rPr>
        <w:t>and sustainability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of FORUDEF to enable her to better serve her beneficiaries</w:t>
      </w:r>
      <w:r w:rsidR="00BE01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7C03" w:rsidRPr="00CA7C03" w:rsidRDefault="00CA7C03" w:rsidP="00CA7C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b/>
          <w:sz w:val="24"/>
          <w:szCs w:val="24"/>
          <w:lang w:val="en-US"/>
        </w:rPr>
        <w:t>Specific Objectives</w:t>
      </w:r>
    </w:p>
    <w:p w:rsidR="00CA7C03" w:rsidRPr="00CA7C03" w:rsidRDefault="00CA7C03" w:rsidP="00CA7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 w:eastAsia="en-US"/>
        </w:rPr>
        <w:t>To acquire equipments for the processing, storage and marketing of fresh fruits juice</w:t>
      </w:r>
    </w:p>
    <w:p w:rsidR="00CA7C03" w:rsidRPr="00CA7C03" w:rsidRDefault="00CA7C03" w:rsidP="00CA7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 w:eastAsia="en-US"/>
        </w:rPr>
        <w:t>To produce 15,000litres of fresh fruits juice by 2014</w:t>
      </w:r>
    </w:p>
    <w:p w:rsidR="00CA7C03" w:rsidRPr="00CA7C03" w:rsidRDefault="00CA7C03" w:rsidP="00CA7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 w:eastAsia="en-US"/>
        </w:rPr>
        <w:t>To train 30 women on fresh fruits juice processing</w:t>
      </w:r>
    </w:p>
    <w:p w:rsidR="00CA7C03" w:rsidRPr="00BE01B5" w:rsidRDefault="00CA7C03" w:rsidP="00CA7C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 w:eastAsia="en-US"/>
        </w:rPr>
        <w:t>To train 30 women on basic marketing techniques</w:t>
      </w:r>
    </w:p>
    <w:p w:rsidR="00CA7C03" w:rsidRPr="00CA7C03" w:rsidRDefault="00CA7C03" w:rsidP="00CA7C03">
      <w:pPr>
        <w:ind w:left="851"/>
        <w:rPr>
          <w:rFonts w:ascii="Arial" w:hAnsi="Arial" w:cs="Arial"/>
          <w:b/>
          <w:lang w:val="en-US"/>
        </w:rPr>
      </w:pPr>
      <w:r w:rsidRPr="00CA7C03">
        <w:rPr>
          <w:rFonts w:ascii="Times New Roman" w:hAnsi="Times New Roman" w:cs="Times New Roman"/>
          <w:b/>
          <w:sz w:val="24"/>
          <w:szCs w:val="24"/>
          <w:lang w:val="en-US"/>
        </w:rPr>
        <w:t>Expected result</w:t>
      </w:r>
    </w:p>
    <w:p w:rsidR="00CA7C03" w:rsidRPr="00CA7C03" w:rsidRDefault="00BE01B5" w:rsidP="00CA7C03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Bought necessary equipment</w:t>
      </w:r>
      <w:r w:rsidR="00CA7C03"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used  for the production of fresh fruits juice</w:t>
      </w:r>
    </w:p>
    <w:p w:rsidR="00CA7C03" w:rsidRPr="00CA7C03" w:rsidRDefault="00CA7C03" w:rsidP="00CA7C03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/>
        </w:rPr>
        <w:t>At least 15,000litres of fresh fruits juice produced</w:t>
      </w:r>
    </w:p>
    <w:p w:rsidR="00CA7C03" w:rsidRPr="00CA7C03" w:rsidRDefault="00CA7C03" w:rsidP="00CA7C03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/>
        </w:rPr>
        <w:t>30 women trained on fresh fruits juice production techniques</w:t>
      </w:r>
    </w:p>
    <w:p w:rsidR="00CA7C03" w:rsidRPr="00CA7C03" w:rsidRDefault="00CA7C03" w:rsidP="00CA7C03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At least 15,000 </w:t>
      </w:r>
      <w:r w:rsidR="00A54373" w:rsidRPr="00CA7C03">
        <w:rPr>
          <w:rFonts w:ascii="Times New Roman" w:hAnsi="Times New Roman" w:cs="Times New Roman"/>
          <w:sz w:val="24"/>
          <w:szCs w:val="24"/>
          <w:lang w:val="en-US"/>
        </w:rPr>
        <w:t>liters</w:t>
      </w:r>
      <w:r w:rsidRPr="00CA7C03">
        <w:rPr>
          <w:rFonts w:ascii="Times New Roman" w:hAnsi="Times New Roman" w:cs="Times New Roman"/>
          <w:sz w:val="24"/>
          <w:szCs w:val="24"/>
          <w:lang w:val="en-US"/>
        </w:rPr>
        <w:t xml:space="preserve"> of fresh fruits juice sold </w:t>
      </w:r>
    </w:p>
    <w:p w:rsidR="00CA7C03" w:rsidRPr="00CA7C03" w:rsidRDefault="00CA7C03" w:rsidP="00CA7C03">
      <w:pPr>
        <w:pStyle w:val="ListParagraph"/>
        <w:numPr>
          <w:ilvl w:val="0"/>
          <w:numId w:val="3"/>
        </w:num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7C03">
        <w:rPr>
          <w:rFonts w:ascii="Times New Roman" w:hAnsi="Times New Roman" w:cs="Times New Roman"/>
          <w:sz w:val="24"/>
          <w:szCs w:val="24"/>
          <w:lang w:val="en-US"/>
        </w:rPr>
        <w:t>At least 30 women trained on basic marketing techniques</w:t>
      </w:r>
    </w:p>
    <w:p w:rsidR="000D4606" w:rsidRDefault="000D4606" w:rsidP="00CA7C03">
      <w:pPr>
        <w:rPr>
          <w:b/>
          <w:lang w:val="en-US"/>
        </w:rPr>
      </w:pPr>
      <w:proofErr w:type="gramStart"/>
      <w:r>
        <w:rPr>
          <w:b/>
          <w:lang w:val="en-US"/>
        </w:rPr>
        <w:t>Required Equipment:  Juice Extractor and Blenders.</w:t>
      </w:r>
      <w:proofErr w:type="gramEnd"/>
      <w:r>
        <w:rPr>
          <w:b/>
          <w:lang w:val="en-US"/>
        </w:rPr>
        <w:t xml:space="preserve"> (</w:t>
      </w:r>
      <w:r w:rsidRPr="000D4606">
        <w:rPr>
          <w:lang w:val="en-US"/>
        </w:rPr>
        <w:t xml:space="preserve">Matt there </w:t>
      </w:r>
      <w:proofErr w:type="gramStart"/>
      <w:r w:rsidRPr="000D4606">
        <w:rPr>
          <w:lang w:val="en-US"/>
        </w:rPr>
        <w:t>are</w:t>
      </w:r>
      <w:proofErr w:type="gramEnd"/>
      <w:r w:rsidRPr="000D4606">
        <w:rPr>
          <w:lang w:val="en-US"/>
        </w:rPr>
        <w:t xml:space="preserve"> several types of juice extr</w:t>
      </w:r>
      <w:r w:rsidR="00351A62">
        <w:rPr>
          <w:lang w:val="en-US"/>
        </w:rPr>
        <w:t xml:space="preserve">actors.  I am not sure the best </w:t>
      </w:r>
      <w:proofErr w:type="gramStart"/>
      <w:r w:rsidR="00351A62">
        <w:rPr>
          <w:lang w:val="en-US"/>
        </w:rPr>
        <w:t>The</w:t>
      </w:r>
      <w:proofErr w:type="gramEnd"/>
      <w:r w:rsidR="00351A62">
        <w:rPr>
          <w:lang w:val="en-US"/>
        </w:rPr>
        <w:t xml:space="preserve"> blenders are available here but the extractors might just be ordered from abroad).  The machines are</w:t>
      </w:r>
      <w:r w:rsidRPr="000D4606">
        <w:rPr>
          <w:lang w:val="en-US"/>
        </w:rPr>
        <w:t xml:space="preserve"> not </w:t>
      </w:r>
      <w:r w:rsidR="00351A62" w:rsidRPr="000D4606">
        <w:rPr>
          <w:lang w:val="en-US"/>
        </w:rPr>
        <w:t>available</w:t>
      </w:r>
      <w:r w:rsidRPr="000D4606">
        <w:rPr>
          <w:lang w:val="en-US"/>
        </w:rPr>
        <w:t xml:space="preserve"> here in Cameroon. One would have to order).</w:t>
      </w:r>
    </w:p>
    <w:p w:rsidR="000D4606" w:rsidRDefault="000D4606" w:rsidP="00CA7C03">
      <w:pPr>
        <w:rPr>
          <w:b/>
          <w:lang w:val="en-US"/>
        </w:rPr>
      </w:pPr>
    </w:p>
    <w:p w:rsidR="000D4606" w:rsidRPr="000D4606" w:rsidRDefault="000D4606" w:rsidP="00CA7C03">
      <w:pPr>
        <w:rPr>
          <w:lang w:val="en-US"/>
        </w:rPr>
      </w:pPr>
      <w:r w:rsidRPr="000D4606">
        <w:rPr>
          <w:lang w:val="en-US"/>
        </w:rPr>
        <w:t xml:space="preserve">We produce juice from: carrots, </w:t>
      </w:r>
      <w:proofErr w:type="spellStart"/>
      <w:r w:rsidRPr="000D4606">
        <w:rPr>
          <w:lang w:val="en-US"/>
        </w:rPr>
        <w:t>pinapple</w:t>
      </w:r>
      <w:proofErr w:type="spellEnd"/>
      <w:r w:rsidRPr="000D4606">
        <w:rPr>
          <w:lang w:val="en-US"/>
        </w:rPr>
        <w:t xml:space="preserve">, sour </w:t>
      </w:r>
      <w:proofErr w:type="spellStart"/>
      <w:r w:rsidRPr="000D4606">
        <w:rPr>
          <w:lang w:val="en-US"/>
        </w:rPr>
        <w:t>sop</w:t>
      </w:r>
      <w:proofErr w:type="spellEnd"/>
      <w:r w:rsidRPr="000D4606">
        <w:rPr>
          <w:lang w:val="en-US"/>
        </w:rPr>
        <w:t>, paw-paw, and oranges.</w:t>
      </w:r>
    </w:p>
    <w:p w:rsidR="000D4606" w:rsidRDefault="000D4606" w:rsidP="00CA7C03">
      <w:pPr>
        <w:rPr>
          <w:b/>
          <w:lang w:val="en-US"/>
        </w:rPr>
      </w:pPr>
    </w:p>
    <w:p w:rsidR="000D4606" w:rsidRPr="000D4606" w:rsidRDefault="000D4606" w:rsidP="00CA7C03">
      <w:pPr>
        <w:rPr>
          <w:lang w:val="en-US"/>
        </w:rPr>
      </w:pPr>
      <w:r>
        <w:rPr>
          <w:b/>
          <w:lang w:val="en-US"/>
        </w:rPr>
        <w:lastRenderedPageBreak/>
        <w:t xml:space="preserve">Time frame:  </w:t>
      </w:r>
      <w:r w:rsidRPr="000D4606">
        <w:rPr>
          <w:lang w:val="en-US"/>
        </w:rPr>
        <w:t xml:space="preserve">This project will continue for as long as possible.  It is part of the nutrition programme: Feed Well, Feed Right, </w:t>
      </w:r>
      <w:proofErr w:type="gramStart"/>
      <w:r w:rsidRPr="000D4606">
        <w:rPr>
          <w:lang w:val="en-US"/>
        </w:rPr>
        <w:t>Fee</w:t>
      </w:r>
      <w:r>
        <w:rPr>
          <w:lang w:val="en-US"/>
        </w:rPr>
        <w:t>l</w:t>
      </w:r>
      <w:proofErr w:type="gramEnd"/>
      <w:r>
        <w:rPr>
          <w:lang w:val="en-US"/>
        </w:rPr>
        <w:t xml:space="preserve"> H</w:t>
      </w:r>
      <w:r w:rsidRPr="000D4606">
        <w:rPr>
          <w:lang w:val="en-US"/>
        </w:rPr>
        <w:t>ealthy.</w:t>
      </w:r>
      <w:r>
        <w:rPr>
          <w:lang w:val="en-US"/>
        </w:rPr>
        <w:t xml:space="preserve">  However, as soon as we have money, we would train some women on this process too.</w:t>
      </w:r>
    </w:p>
    <w:p w:rsidR="00A54373" w:rsidRDefault="00A54373" w:rsidP="00CA7C03">
      <w:pPr>
        <w:rPr>
          <w:b/>
          <w:lang w:val="en-US"/>
        </w:rPr>
      </w:pPr>
    </w:p>
    <w:tbl>
      <w:tblPr>
        <w:tblW w:w="8400" w:type="dxa"/>
        <w:tblInd w:w="93" w:type="dxa"/>
        <w:tblLook w:val="04A0"/>
      </w:tblPr>
      <w:tblGrid>
        <w:gridCol w:w="3639"/>
        <w:gridCol w:w="1487"/>
        <w:gridCol w:w="1220"/>
        <w:gridCol w:w="1040"/>
        <w:gridCol w:w="1200"/>
      </w:tblGrid>
      <w:tr w:rsidR="00A54373" w:rsidRPr="00A54373" w:rsidTr="00A54373">
        <w:trPr>
          <w:trHeight w:val="315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Envisaged Budget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One year</w:t>
            </w:r>
          </w:p>
        </w:tc>
      </w:tr>
      <w:tr w:rsidR="00A54373" w:rsidRPr="00A54373" w:rsidTr="00A54373">
        <w:trPr>
          <w:trHeight w:val="123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Item/Details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Unit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Quantity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Unit Price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Amount</w:t>
            </w:r>
          </w:p>
        </w:tc>
      </w:tr>
      <w:tr w:rsidR="00A54373" w:rsidRPr="00A54373" w:rsidTr="00A54373">
        <w:trPr>
          <w:trHeight w:val="450"/>
        </w:trPr>
        <w:tc>
          <w:tcPr>
            <w:tcW w:w="3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Activity 1 Mobilisation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54373" w:rsidRPr="00A54373" w:rsidTr="00A54373">
        <w:trPr>
          <w:trHeight w:val="100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1.1 Consult with village heads and community members to plan workshops, and </w:t>
            </w:r>
            <w:proofErr w:type="gram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give  information</w:t>
            </w:r>
            <w:proofErr w:type="gramEnd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about the entire project.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54373" w:rsidRPr="00A54373" w:rsidTr="00A54373">
        <w:trPr>
          <w:trHeight w:val="300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Activity 2  Organize training workshop on juice processing techniques</w:t>
            </w:r>
          </w:p>
        </w:tc>
      </w:tr>
      <w:tr w:rsidR="00A54373" w:rsidRPr="00A54373" w:rsidTr="00A54373">
        <w:trPr>
          <w:trHeight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 Flip Charts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15 000</w:t>
            </w:r>
          </w:p>
        </w:tc>
      </w:tr>
      <w:tr w:rsidR="00A54373" w:rsidRPr="00A54373" w:rsidTr="00A54373">
        <w:trPr>
          <w:trHeight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 Bold markers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Packet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12 000</w:t>
            </w:r>
          </w:p>
        </w:tc>
      </w:tr>
      <w:tr w:rsidR="00A54373" w:rsidRPr="00A54373" w:rsidTr="00A54373">
        <w:trPr>
          <w:trHeight w:val="34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 Masking tape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Tape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1 500</w:t>
            </w:r>
          </w:p>
        </w:tc>
      </w:tr>
      <w:tr w:rsidR="00A54373" w:rsidRPr="00A54373" w:rsidTr="00A54373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 Feeding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</w:t>
            </w:r>
            <w:proofErr w:type="spellEnd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/day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32/2days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96,000</w:t>
            </w:r>
          </w:p>
        </w:tc>
      </w:tr>
      <w:tr w:rsidR="00A54373" w:rsidRPr="00A54373" w:rsidTr="00A54373">
        <w:trPr>
          <w:trHeight w:val="37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 Resource person fee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1/2days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100,000</w:t>
            </w:r>
          </w:p>
        </w:tc>
      </w:tr>
      <w:tr w:rsidR="00A54373" w:rsidRPr="00A54373" w:rsidTr="00A54373">
        <w:trPr>
          <w:trHeight w:val="40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2.6 Transportation </w:t>
            </w: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Resouce</w:t>
            </w:r>
            <w:proofErr w:type="spellEnd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person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1/return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5,000</w:t>
            </w:r>
          </w:p>
        </w:tc>
      </w:tr>
      <w:tr w:rsidR="00A54373" w:rsidRPr="00A54373" w:rsidTr="00A54373">
        <w:trPr>
          <w:trHeight w:val="37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 Lodging resource person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1/3nights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30,000</w:t>
            </w:r>
          </w:p>
        </w:tc>
      </w:tr>
      <w:tr w:rsidR="00A54373" w:rsidRPr="00A54373" w:rsidTr="00A54373">
        <w:trPr>
          <w:trHeight w:val="31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2.9 Hire of hall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2days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Sub-total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251,000</w:t>
            </w:r>
          </w:p>
        </w:tc>
      </w:tr>
      <w:tr w:rsidR="00A54373" w:rsidRPr="00A54373" w:rsidTr="00A54373">
        <w:trPr>
          <w:trHeight w:val="31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Activity 3:  Processing Equipment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 Fridge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Fridge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450,000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 Juice extractor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Machine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400,000</w:t>
            </w:r>
          </w:p>
        </w:tc>
      </w:tr>
      <w:tr w:rsidR="00A54373" w:rsidRPr="00A54373" w:rsidTr="00A54373">
        <w:trPr>
          <w:trHeight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 Blenders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Blender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270,000</w:t>
            </w:r>
          </w:p>
        </w:tc>
      </w:tr>
      <w:tr w:rsidR="00A54373" w:rsidRPr="00A54373" w:rsidTr="00A54373">
        <w:trPr>
          <w:trHeight w:val="51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 Pots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Stainless steel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 sets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90,000</w:t>
            </w:r>
          </w:p>
        </w:tc>
      </w:tr>
      <w:tr w:rsidR="00A54373" w:rsidRPr="00A54373" w:rsidTr="00A54373">
        <w:trPr>
          <w:trHeight w:val="34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 Basins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washing basins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20,000</w:t>
            </w:r>
          </w:p>
        </w:tc>
      </w:tr>
      <w:tr w:rsidR="00A54373" w:rsidRPr="00A54373" w:rsidTr="00A54373">
        <w:trPr>
          <w:trHeight w:val="31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 Knives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Stainless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1,500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9,000</w:t>
            </w:r>
          </w:p>
        </w:tc>
      </w:tr>
      <w:tr w:rsidR="00A54373" w:rsidRPr="00A54373" w:rsidTr="00A54373">
        <w:trPr>
          <w:trHeight w:val="36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 Bottles (</w:t>
            </w: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litres</w:t>
            </w:r>
            <w:proofErr w:type="spellEnd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Glass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375,000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3.8 </w:t>
            </w: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Seave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Seave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 Fruits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Assorted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150,000</w:t>
            </w:r>
          </w:p>
        </w:tc>
      </w:tr>
      <w:tr w:rsidR="00A54373" w:rsidRPr="00A54373" w:rsidTr="00A54373">
        <w:trPr>
          <w:trHeight w:val="36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3.10 Safari cooling Box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200,000</w:t>
            </w:r>
          </w:p>
        </w:tc>
      </w:tr>
      <w:tr w:rsidR="00A54373" w:rsidRPr="00A54373" w:rsidTr="00A54373">
        <w:trPr>
          <w:trHeight w:val="36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3.11 Push Truck for selling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Push Truck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225,000</w:t>
            </w:r>
          </w:p>
        </w:tc>
      </w:tr>
      <w:tr w:rsidR="00A54373" w:rsidRPr="00A54373" w:rsidTr="00A54373">
        <w:trPr>
          <w:trHeight w:val="31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3.12 Labeling machine (small)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Labelling</w:t>
            </w:r>
            <w:proofErr w:type="spellEnd"/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machine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250,000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Sub-total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2,514,000</w:t>
            </w:r>
          </w:p>
        </w:tc>
      </w:tr>
      <w:tr w:rsidR="00A54373" w:rsidRPr="00A54373" w:rsidTr="00A54373">
        <w:trPr>
          <w:trHeight w:val="300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Activity  3:Organise Training Workshop on Basic Marketing Techniques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4.1 Bloc notes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Booklets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1 500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48,000</w:t>
            </w:r>
          </w:p>
        </w:tc>
      </w:tr>
      <w:tr w:rsidR="00A54373" w:rsidRPr="00A54373" w:rsidTr="00A54373">
        <w:trPr>
          <w:trHeight w:val="37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4.2 Transportation for Resource person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color w:val="000000"/>
                <w:lang w:val="en-US"/>
              </w:rPr>
              <w:t>Person/return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1/Return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10 000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4.3  Feeding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32/2days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128,000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  Resource Persons' fee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1/2days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100,000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 Lodging Resource person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1/3nights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30,000</w:t>
            </w:r>
          </w:p>
        </w:tc>
      </w:tr>
      <w:tr w:rsidR="00A54373" w:rsidRPr="00A54373" w:rsidTr="00A54373">
        <w:trPr>
          <w:trHeight w:val="27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Sub-total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306,000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ACTIVITY COSTS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3,071,000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Administrative Cost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Rents of sales point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12months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600,000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3,671,000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Contingency 5%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183,550</w:t>
            </w:r>
          </w:p>
        </w:tc>
      </w:tr>
      <w:tr w:rsidR="00A54373" w:rsidRPr="00A54373" w:rsidTr="00A5437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GRAND 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4373" w:rsidRPr="00A54373" w:rsidRDefault="00A54373" w:rsidP="00A54373">
            <w:pPr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543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373" w:rsidRPr="00A54373" w:rsidRDefault="00A54373" w:rsidP="00A54373">
            <w:pPr>
              <w:spacing w:after="0"/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5437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3,854,550</w:t>
            </w:r>
          </w:p>
        </w:tc>
      </w:tr>
    </w:tbl>
    <w:p w:rsidR="00A54373" w:rsidRDefault="00A54373" w:rsidP="00CA7C03">
      <w:pPr>
        <w:rPr>
          <w:b/>
          <w:lang w:val="en-US"/>
        </w:rPr>
      </w:pPr>
    </w:p>
    <w:p w:rsidR="00351A62" w:rsidRDefault="00A54373" w:rsidP="00CA7C03">
      <w:pPr>
        <w:rPr>
          <w:b/>
          <w:lang w:val="en-US"/>
        </w:rPr>
      </w:pPr>
      <w:r>
        <w:rPr>
          <w:b/>
          <w:lang w:val="en-US"/>
        </w:rPr>
        <w:t>(About $8,030 at $1=480FCFA)</w:t>
      </w:r>
    </w:p>
    <w:p w:rsidR="00351A62" w:rsidRDefault="00351A62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p w:rsidR="00910C58" w:rsidRDefault="00910C58" w:rsidP="00CA7C03">
      <w:pPr>
        <w:rPr>
          <w:b/>
          <w:lang w:val="en-US"/>
        </w:rPr>
      </w:pPr>
    </w:p>
    <w:sectPr w:rsidR="00910C58" w:rsidSect="00B6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C04"/>
    <w:multiLevelType w:val="multilevel"/>
    <w:tmpl w:val="6D023C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EA3E0F"/>
    <w:multiLevelType w:val="hybridMultilevel"/>
    <w:tmpl w:val="28C8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95406"/>
    <w:multiLevelType w:val="hybridMultilevel"/>
    <w:tmpl w:val="046CEB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C03"/>
    <w:rsid w:val="00052C33"/>
    <w:rsid w:val="00076EB3"/>
    <w:rsid w:val="000D4606"/>
    <w:rsid w:val="00163C64"/>
    <w:rsid w:val="00320983"/>
    <w:rsid w:val="00351A62"/>
    <w:rsid w:val="0038487F"/>
    <w:rsid w:val="004A1601"/>
    <w:rsid w:val="005E0ED2"/>
    <w:rsid w:val="00616223"/>
    <w:rsid w:val="00667DE5"/>
    <w:rsid w:val="00667ED1"/>
    <w:rsid w:val="006935C5"/>
    <w:rsid w:val="007B16D7"/>
    <w:rsid w:val="007C639F"/>
    <w:rsid w:val="00863A7A"/>
    <w:rsid w:val="008E3B49"/>
    <w:rsid w:val="00910C58"/>
    <w:rsid w:val="009250BE"/>
    <w:rsid w:val="0092535D"/>
    <w:rsid w:val="009F5F24"/>
    <w:rsid w:val="00A54373"/>
    <w:rsid w:val="00A84C72"/>
    <w:rsid w:val="00B537B0"/>
    <w:rsid w:val="00B613EA"/>
    <w:rsid w:val="00BE01B5"/>
    <w:rsid w:val="00CA7C03"/>
    <w:rsid w:val="00D454BB"/>
    <w:rsid w:val="00E3265E"/>
    <w:rsid w:val="00FF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EA"/>
    <w:rPr>
      <w:lang w:val="en-GB"/>
    </w:rPr>
  </w:style>
  <w:style w:type="paragraph" w:styleId="Heading3">
    <w:name w:val="heading 3"/>
    <w:basedOn w:val="Normal"/>
    <w:next w:val="Normal"/>
    <w:link w:val="Heading3Char"/>
    <w:autoRedefine/>
    <w:qFormat/>
    <w:rsid w:val="00CA7C03"/>
    <w:pPr>
      <w:keepNext/>
      <w:keepLines/>
      <w:spacing w:after="0"/>
      <w:ind w:left="0"/>
      <w:outlineLvl w:val="2"/>
    </w:pPr>
    <w:rPr>
      <w:rFonts w:ascii="Arial" w:eastAsia="Times New Roman" w:hAnsi="Arial" w:cs="Arial"/>
      <w:b/>
      <w:bCs/>
      <w:smallCaps/>
      <w:snapToGrid w:val="0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C03"/>
    <w:pPr>
      <w:keepNext/>
      <w:keepLines/>
      <w:spacing w:before="200" w:after="0" w:line="276" w:lineRule="auto"/>
      <w:ind w:lef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7C03"/>
    <w:rPr>
      <w:rFonts w:ascii="Arial" w:eastAsia="Times New Roman" w:hAnsi="Arial" w:cs="Arial"/>
      <w:b/>
      <w:bCs/>
      <w:smallCaps/>
      <w:snapToGrid w:val="0"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CA7C03"/>
    <w:pPr>
      <w:spacing w:after="200" w:line="276" w:lineRule="auto"/>
      <w:contextualSpacing/>
    </w:pPr>
    <w:rPr>
      <w:rFonts w:eastAsiaTheme="minorEastAsia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CA7C03"/>
    <w:rPr>
      <w:rFonts w:asciiTheme="majorHAnsi" w:eastAsiaTheme="majorEastAsia" w:hAnsiTheme="majorHAnsi" w:cstheme="majorBidi"/>
      <w:b/>
      <w:bCs/>
      <w:i/>
      <w:iCs/>
      <w:color w:val="4F81BD" w:themeColor="accent1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910C5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51A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TABE</dc:creator>
  <cp:lastModifiedBy>MR TABE</cp:lastModifiedBy>
  <cp:revision>8</cp:revision>
  <dcterms:created xsi:type="dcterms:W3CDTF">2013-05-05T19:35:00Z</dcterms:created>
  <dcterms:modified xsi:type="dcterms:W3CDTF">2013-05-17T11:54:00Z</dcterms:modified>
</cp:coreProperties>
</file>